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30"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UNITED STATES</w:t>
      </w:r>
    </w:p>
    <w:p>
      <w:pPr>
        <w:spacing w:after="0" w:line="4"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42" w:lineRule="exact"/>
        <w:rPr>
          <w:sz w:val="24"/>
          <w:szCs w:val="24"/>
          <w:color w:val="auto"/>
        </w:rPr>
      </w:pPr>
    </w:p>
    <w:p>
      <w:pPr>
        <w:ind w:left="2460"/>
        <w:spacing w:after="0"/>
        <w:rPr>
          <w:sz w:val="20"/>
          <w:szCs w:val="20"/>
          <w:color w:val="auto"/>
        </w:rPr>
      </w:pPr>
      <w:r>
        <w:rPr>
          <w:rFonts w:ascii="Courier New" w:cs="Courier New" w:eastAsia="Courier New" w:hAnsi="Courier New"/>
          <w:sz w:val="14"/>
          <w:szCs w:val="14"/>
          <w:color w:val="auto"/>
        </w:rPr>
        <w:t>WASHINGTON, D.C. 20549</w:t>
      </w:r>
    </w:p>
    <w:p>
      <w:pPr>
        <w:spacing w:after="0" w:line="168"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FORM 10-K</w:t>
      </w:r>
    </w:p>
    <w:p>
      <w:pPr>
        <w:spacing w:after="0" w:line="168" w:lineRule="exact"/>
        <w:rPr>
          <w:sz w:val="24"/>
          <w:szCs w:val="24"/>
          <w:color w:val="auto"/>
        </w:rPr>
      </w:pPr>
    </w:p>
    <w:p>
      <w:pPr>
        <w:ind w:left="1280"/>
        <w:spacing w:after="0"/>
        <w:rPr>
          <w:sz w:val="20"/>
          <w:szCs w:val="20"/>
          <w:color w:val="auto"/>
        </w:rPr>
      </w:pPr>
      <w:r>
        <w:rPr>
          <w:rFonts w:ascii="Courier New" w:cs="Courier New" w:eastAsia="Courier New" w:hAnsi="Courier New"/>
          <w:sz w:val="14"/>
          <w:szCs w:val="14"/>
          <w:color w:val="auto"/>
        </w:rPr>
        <w:t>[X] ANNUAL REPORT PURSUANT TO SECTION 13 OR 15(D)</w:t>
      </w:r>
    </w:p>
    <w:p>
      <w:pPr>
        <w:spacing w:after="0" w:line="30" w:lineRule="exact"/>
        <w:rPr>
          <w:sz w:val="24"/>
          <w:szCs w:val="24"/>
          <w:color w:val="auto"/>
        </w:rPr>
      </w:pPr>
    </w:p>
    <w:p>
      <w:pPr>
        <w:ind w:left="1780"/>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4" w:lineRule="exact"/>
        <w:rPr>
          <w:sz w:val="24"/>
          <w:szCs w:val="24"/>
          <w:color w:val="auto"/>
        </w:rPr>
      </w:pPr>
    </w:p>
    <w:p>
      <w:pPr>
        <w:ind w:left="1540"/>
        <w:spacing w:after="0"/>
        <w:rPr>
          <w:sz w:val="20"/>
          <w:szCs w:val="20"/>
          <w:color w:val="auto"/>
        </w:rPr>
      </w:pPr>
      <w:r>
        <w:rPr>
          <w:rFonts w:ascii="Courier New" w:cs="Courier New" w:eastAsia="Courier New" w:hAnsi="Courier New"/>
          <w:sz w:val="14"/>
          <w:szCs w:val="14"/>
          <w:color w:val="auto"/>
        </w:rPr>
        <w:t>FOR THE FISCAL YEAR ENDED DECEMBER 31, 1999</w:t>
      </w:r>
    </w:p>
    <w:p>
      <w:pPr>
        <w:spacing w:after="0" w:line="142" w:lineRule="exact"/>
        <w:rPr>
          <w:sz w:val="24"/>
          <w:szCs w:val="24"/>
          <w:color w:val="auto"/>
        </w:rPr>
      </w:pPr>
    </w:p>
    <w:p>
      <w:pPr>
        <w:ind w:left="1780" w:right="4559" w:hanging="671"/>
        <w:spacing w:after="0" w:line="366" w:lineRule="auto"/>
        <w:tabs>
          <w:tab w:leader="none" w:pos="127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6"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COMMISSION FILE NUMBER: 0-25245</w:t>
      </w:r>
    </w:p>
    <w:p>
      <w:pPr>
        <w:spacing w:after="0" w:line="168"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PRISON REALTY TRUST, INC.</w:t>
      </w:r>
    </w:p>
    <w:p>
      <w:pPr>
        <w:spacing w:after="0" w:line="30"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159"/>
          </w:cols>
          <w:pgMar w:left="300" w:top="202" w:right="1440" w:bottom="1440" w:gutter="0" w:footer="0" w:header="0"/>
        </w:sectPr>
      </w:pPr>
    </w:p>
    <w:p>
      <w:pPr>
        <w:spacing w:after="0" w:line="200" w:lineRule="exact"/>
        <w:rPr>
          <w:sz w:val="24"/>
          <w:szCs w:val="24"/>
          <w:color w:val="auto"/>
        </w:rPr>
      </w:pPr>
    </w:p>
    <w:p>
      <w:pPr>
        <w:spacing w:after="0" w:line="268" w:lineRule="exact"/>
        <w:rPr>
          <w:sz w:val="24"/>
          <w:szCs w:val="24"/>
          <w:color w:val="auto"/>
        </w:rPr>
      </w:pPr>
    </w:p>
    <w:p>
      <w:pPr>
        <w:ind w:left="2040"/>
        <w:spacing w:after="0"/>
        <w:rPr>
          <w:sz w:val="20"/>
          <w:szCs w:val="20"/>
          <w:color w:val="auto"/>
        </w:rPr>
      </w:pPr>
      <w:r>
        <w:rPr>
          <w:rFonts w:ascii="Courier New" w:cs="Courier New" w:eastAsia="Courier New" w:hAnsi="Courier New"/>
          <w:sz w:val="14"/>
          <w:szCs w:val="14"/>
          <w:color w:val="auto"/>
        </w:rPr>
        <w:t>MARYLAND</w:t>
      </w:r>
    </w:p>
    <w:p>
      <w:pPr>
        <w:spacing w:after="0" w:line="30" w:lineRule="exact"/>
        <w:rPr>
          <w:sz w:val="24"/>
          <w:szCs w:val="24"/>
          <w:color w:val="auto"/>
        </w:rPr>
      </w:pPr>
    </w:p>
    <w:p>
      <w:pPr>
        <w:ind w:left="1100"/>
        <w:spacing w:after="0"/>
        <w:rPr>
          <w:sz w:val="20"/>
          <w:szCs w:val="20"/>
          <w:color w:val="auto"/>
        </w:rPr>
      </w:pPr>
      <w:r>
        <w:rPr>
          <w:rFonts w:ascii="Courier New" w:cs="Courier New" w:eastAsia="Courier New" w:hAnsi="Courier New"/>
          <w:sz w:val="14"/>
          <w:szCs w:val="14"/>
          <w:color w:val="auto"/>
        </w:rPr>
        <w:t>(State or other jurisdiction of</w:t>
      </w:r>
    </w:p>
    <w:p>
      <w:pPr>
        <w:spacing w:after="0" w:line="4" w:lineRule="exact"/>
        <w:rPr>
          <w:sz w:val="24"/>
          <w:szCs w:val="24"/>
          <w:color w:val="auto"/>
        </w:rPr>
      </w:pPr>
    </w:p>
    <w:p>
      <w:pPr>
        <w:ind w:left="1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62-1763875</w:t>
      </w:r>
    </w:p>
    <w:p>
      <w:pPr>
        <w:spacing w:after="0" w:line="30"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42" w:lineRule="exact"/>
        <w:rPr>
          <w:sz w:val="24"/>
          <w:szCs w:val="24"/>
          <w:color w:val="auto"/>
        </w:rPr>
      </w:pPr>
    </w:p>
    <w:p>
      <w:pPr>
        <w:sectPr>
          <w:pgSz w:w="11900" w:h="16838" w:orient="portrait"/>
          <w:cols w:equalWidth="0" w:num="2">
            <w:col w:w="3780" w:space="720"/>
            <w:col w:w="5659"/>
          </w:cols>
          <w:pgMar w:left="300" w:top="202" w:right="1440" w:bottom="1440" w:gutter="0" w:footer="0" w:header="0"/>
          <w:type w:val="continuous"/>
        </w:sectPr>
      </w:pPr>
    </w:p>
    <w:p>
      <w:pPr>
        <w:jc w:val="center"/>
        <w:ind w:right="3359"/>
        <w:spacing w:after="0"/>
        <w:rPr>
          <w:sz w:val="20"/>
          <w:szCs w:val="20"/>
          <w:color w:val="auto"/>
        </w:rPr>
      </w:pPr>
      <w:r>
        <w:rPr>
          <w:rFonts w:ascii="Courier New" w:cs="Courier New" w:eastAsia="Courier New" w:hAnsi="Courier New"/>
          <w:sz w:val="14"/>
          <w:szCs w:val="14"/>
          <w:color w:val="auto"/>
        </w:rPr>
        <w:t>10 BURTON HILLS BLVD., SUITE 100, NASHVILLE,</w:t>
      </w:r>
    </w:p>
    <w:p>
      <w:pPr>
        <w:spacing w:after="0" w:line="30" w:lineRule="exact"/>
        <w:rPr>
          <w:sz w:val="24"/>
          <w:szCs w:val="24"/>
          <w:color w:val="auto"/>
        </w:rPr>
      </w:pPr>
    </w:p>
    <w:p>
      <w:pPr>
        <w:ind w:left="1700"/>
        <w:spacing w:after="0"/>
        <w:rPr>
          <w:sz w:val="20"/>
          <w:szCs w:val="20"/>
          <w:color w:val="auto"/>
        </w:rPr>
      </w:pPr>
      <w:r>
        <w:rPr>
          <w:rFonts w:ascii="Courier New" w:cs="Courier New" w:eastAsia="Courier New" w:hAnsi="Courier New"/>
          <w:sz w:val="14"/>
          <w:szCs w:val="14"/>
          <w:color w:val="auto"/>
        </w:rPr>
        <w:t>TENNESSEE 37215 (Address and zip code of</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4"/>
          <w:szCs w:val="14"/>
          <w:color w:val="auto"/>
        </w:rPr>
        <w:t>principal executive office)</w:t>
      </w:r>
    </w:p>
    <w:p>
      <w:pPr>
        <w:spacing w:after="0" w:line="142"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REGISTRANT'S TELEPHONE NUMBER, INCLUDING AREA CODE: (615) 263-0200</w:t>
      </w:r>
    </w:p>
    <w:p>
      <w:pPr>
        <w:spacing w:after="0" w:line="168"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159"/>
          </w:cols>
          <w:pgMar w:left="300" w:top="202" w:right="1440" w:bottom="1440" w:gutter="0" w:footer="0" w:header="0"/>
          <w:type w:val="continuous"/>
        </w:sectPr>
      </w:pPr>
    </w:p>
    <w:p>
      <w:pPr>
        <w:spacing w:after="0" w:line="331" w:lineRule="exact"/>
        <w:rPr>
          <w:sz w:val="24"/>
          <w:szCs w:val="24"/>
          <w:color w:val="auto"/>
        </w:rPr>
      </w:pPr>
    </w:p>
    <w:p>
      <w:pPr>
        <w:ind w:left="1540"/>
        <w:spacing w:after="0"/>
        <w:rPr>
          <w:sz w:val="20"/>
          <w:szCs w:val="20"/>
          <w:color w:val="auto"/>
        </w:rPr>
      </w:pPr>
      <w:r>
        <w:rPr>
          <w:rFonts w:ascii="Courier New" w:cs="Courier New" w:eastAsia="Courier New" w:hAnsi="Courier New"/>
          <w:sz w:val="14"/>
          <w:szCs w:val="14"/>
          <w:color w:val="auto"/>
        </w:rPr>
        <w:t>Title of each class</w:t>
      </w:r>
    </w:p>
    <w:p>
      <w:pPr>
        <w:spacing w:after="0" w:line="30" w:lineRule="exact"/>
        <w:rPr>
          <w:sz w:val="24"/>
          <w:szCs w:val="24"/>
          <w:color w:val="auto"/>
        </w:rPr>
      </w:pPr>
    </w:p>
    <w:p>
      <w:pPr>
        <w:ind w:left="1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3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4"/>
          <w:szCs w:val="24"/>
          <w:color w:val="auto"/>
        </w:rPr>
      </w:pPr>
    </w:p>
    <w:p>
      <w:pPr>
        <w:sectPr>
          <w:pgSz w:w="11900" w:h="16838" w:orient="portrait"/>
          <w:cols w:equalWidth="0" w:num="2">
            <w:col w:w="5400" w:space="720"/>
            <w:col w:w="4039"/>
          </w:cols>
          <w:pgMar w:left="300" w:top="202"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4"/>
          <w:szCs w:val="14"/>
          <w:color w:val="auto"/>
        </w:rPr>
        <w:t>Common Stock, $.01 par value per share</w:t>
      </w:r>
    </w:p>
    <w:p>
      <w:pPr>
        <w:spacing w:after="0" w:line="3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8.0% Series A Cumulative Preferred Stock, $.01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3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00" w:lineRule="exact"/>
        <w:rPr>
          <w:sz w:val="24"/>
          <w:szCs w:val="24"/>
          <w:color w:val="auto"/>
        </w:rPr>
      </w:pPr>
    </w:p>
    <w:p>
      <w:pPr>
        <w:sectPr>
          <w:pgSz w:w="11900" w:h="16838" w:orient="portrait"/>
          <w:cols w:equalWidth="0" w:num="2">
            <w:col w:w="6080" w:space="720"/>
            <w:col w:w="3359"/>
          </w:cols>
          <w:pgMar w:left="300" w:top="202" w:right="1440" w:bottom="1440" w:gutter="0" w:footer="0" w:header="0"/>
          <w:type w:val="continuous"/>
        </w:sectPr>
      </w:pPr>
    </w:p>
    <w:p>
      <w:pPr>
        <w:spacing w:after="0" w:line="105" w:lineRule="exact"/>
        <w:rPr>
          <w:sz w:val="24"/>
          <w:szCs w:val="24"/>
          <w:color w:val="auto"/>
        </w:rPr>
      </w:pPr>
    </w:p>
    <w:p>
      <w:pPr>
        <w:ind w:left="680"/>
        <w:spacing w:after="0"/>
        <w:rPr>
          <w:sz w:val="20"/>
          <w:szCs w:val="20"/>
          <w:color w:val="auto"/>
        </w:rPr>
      </w:pPr>
      <w:r>
        <w:rPr>
          <w:rFonts w:ascii="Courier New" w:cs="Courier New" w:eastAsia="Courier New" w:hAnsi="Courier New"/>
          <w:sz w:val="14"/>
          <w:szCs w:val="14"/>
          <w:color w:val="auto"/>
        </w:rPr>
        <w:t>SECURITIES REGISTERED PURSUANT TO SECTION 12(G) OF THE ACT: NONE</w:t>
      </w:r>
    </w:p>
    <w:p>
      <w:pPr>
        <w:spacing w:after="0" w:line="168" w:lineRule="exact"/>
        <w:rPr>
          <w:sz w:val="24"/>
          <w:szCs w:val="24"/>
          <w:color w:val="auto"/>
        </w:rPr>
      </w:pPr>
    </w:p>
    <w:p>
      <w:pPr>
        <w:ind w:right="3459" w:firstLine="763"/>
        <w:spacing w:after="0" w:line="276"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67" w:lineRule="exact"/>
        <w:rPr>
          <w:sz w:val="24"/>
          <w:szCs w:val="24"/>
          <w:color w:val="auto"/>
        </w:rPr>
      </w:pPr>
    </w:p>
    <w:p>
      <w:pPr>
        <w:ind w:right="3539" w:firstLine="763"/>
        <w:spacing w:after="0" w:line="276"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67" w:lineRule="exact"/>
        <w:rPr>
          <w:sz w:val="24"/>
          <w:szCs w:val="24"/>
          <w:color w:val="auto"/>
        </w:rPr>
      </w:pPr>
    </w:p>
    <w:p>
      <w:pPr>
        <w:ind w:right="3539" w:firstLine="763"/>
        <w:spacing w:after="0" w:line="276" w:lineRule="auto"/>
        <w:rPr>
          <w:sz w:val="20"/>
          <w:szCs w:val="20"/>
          <w:color w:val="auto"/>
        </w:rPr>
      </w:pPr>
      <w:r>
        <w:rPr>
          <w:rFonts w:ascii="Courier New" w:cs="Courier New" w:eastAsia="Courier New" w:hAnsi="Courier New"/>
          <w:sz w:val="14"/>
          <w:szCs w:val="14"/>
          <w:color w:val="auto"/>
        </w:rPr>
        <w:t>The aggregate market value of the shares of the registrant's Common Stock held by non-affiliates was approximately $461,439,580 as of March 15, 2000, based on the closing price of such shares on the New York Stock Exchange on that day. The number of shares of the Registrant's Common Stock outstanding on March 15, 2000 was 118,395,379.</w:t>
      </w:r>
    </w:p>
    <w:p>
      <w:pPr>
        <w:sectPr>
          <w:pgSz w:w="11900" w:h="16838" w:orient="portrait"/>
          <w:cols w:equalWidth="0" w:num="1">
            <w:col w:w="10159"/>
          </w:cols>
          <w:pgMar w:left="300" w:top="202"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w:t>
            </w:r>
          </w:p>
        </w:tc>
        <w:tc>
          <w:tcPr>
            <w:tcW w:w="8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720" w:type="dxa"/>
            <w:vAlign w:val="bottom"/>
          </w:tcPr>
          <w:p>
            <w:pPr>
              <w:spacing w:after="0"/>
              <w:rPr>
                <w:sz w:val="24"/>
                <w:szCs w:val="2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PRISON REALTY TRUST, INC.</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20" w:type="dxa"/>
            <w:vAlign w:val="bottom"/>
          </w:tcPr>
          <w:p>
            <w:pPr>
              <w:spacing w:after="0"/>
              <w:rPr>
                <w:sz w:val="21"/>
                <w:szCs w:val="21"/>
                <w:color w:val="auto"/>
              </w:rPr>
            </w:pPr>
          </w:p>
        </w:tc>
        <w:tc>
          <w:tcPr>
            <w:tcW w:w="8700" w:type="dxa"/>
            <w:vAlign w:val="bottom"/>
          </w:tcPr>
          <w:p>
            <w:pPr>
              <w:ind w:left="2260"/>
              <w:spacing w:after="0"/>
              <w:rPr>
                <w:sz w:val="20"/>
                <w:szCs w:val="20"/>
                <w:color w:val="auto"/>
              </w:rPr>
            </w:pPr>
            <w:r>
              <w:rPr>
                <w:rFonts w:ascii="Courier New" w:cs="Courier New" w:eastAsia="Courier New" w:hAnsi="Courier New"/>
                <w:sz w:val="14"/>
                <w:szCs w:val="14"/>
                <w:color w:val="auto"/>
              </w:rPr>
              <w:t>FORM 10-K</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FOR THE FISCAL YEAR ENDED DECEMBER 31, 1999</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720" w:type="dxa"/>
            <w:vAlign w:val="bottom"/>
          </w:tcPr>
          <w:p>
            <w:pPr>
              <w:spacing w:after="0"/>
              <w:rPr>
                <w:sz w:val="24"/>
                <w:szCs w:val="24"/>
                <w:color w:val="auto"/>
              </w:rPr>
            </w:pPr>
          </w:p>
        </w:tc>
        <w:tc>
          <w:tcPr>
            <w:tcW w:w="8700" w:type="dxa"/>
            <w:vAlign w:val="bottom"/>
          </w:tcPr>
          <w:p>
            <w:pPr>
              <w:ind w:left="1920"/>
              <w:spacing w:after="0"/>
              <w:rPr>
                <w:sz w:val="20"/>
                <w:szCs w:val="20"/>
                <w:color w:val="auto"/>
              </w:rPr>
            </w:pPr>
            <w:r>
              <w:rPr>
                <w:rFonts w:ascii="Courier New" w:cs="Courier New" w:eastAsia="Courier New" w:hAnsi="Courier New"/>
                <w:sz w:val="14"/>
                <w:szCs w:val="14"/>
                <w:color w:val="auto"/>
              </w:rPr>
              <w:t>TABLE OF CONTENTS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720" w:type="dxa"/>
            <w:vAlign w:val="bottom"/>
          </w:tcPr>
          <w:p>
            <w:pPr>
              <w:spacing w:after="0"/>
              <w:rPr>
                <w:sz w:val="20"/>
                <w:szCs w:val="20"/>
                <w:color w:val="auto"/>
              </w:rPr>
            </w:pPr>
            <w:r>
              <w:rPr>
                <w:rFonts w:ascii="Courier New" w:cs="Courier New" w:eastAsia="Courier New" w:hAnsi="Courier New"/>
                <w:sz w:val="14"/>
                <w:szCs w:val="14"/>
                <w:color w:val="auto"/>
              </w:rPr>
              <w:t>Item No.</w:t>
            </w:r>
          </w:p>
        </w:tc>
        <w:tc>
          <w:tcPr>
            <w:tcW w:w="8700" w:type="dxa"/>
            <w:vAlign w:val="bottom"/>
          </w:tcPr>
          <w:p>
            <w:pPr>
              <w:spacing w:after="0"/>
              <w:rPr>
                <w:sz w:val="24"/>
                <w:szCs w:val="2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Page</w:t>
            </w:r>
          </w:p>
        </w:tc>
        <w:tc>
          <w:tcPr>
            <w:tcW w:w="0" w:type="dxa"/>
            <w:vAlign w:val="bottom"/>
          </w:tcPr>
          <w:p>
            <w:pPr>
              <w:spacing w:after="0"/>
              <w:rPr>
                <w:sz w:val="1"/>
                <w:szCs w:val="1"/>
                <w:color w:val="auto"/>
              </w:rPr>
            </w:pPr>
          </w:p>
        </w:tc>
      </w:tr>
      <w:tr>
        <w:trPr>
          <w:trHeight w:val="238"/>
        </w:trPr>
        <w:tc>
          <w:tcPr>
            <w:tcW w:w="94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6"/>
        </w:trPr>
        <w:tc>
          <w:tcPr>
            <w:tcW w:w="720" w:type="dxa"/>
            <w:vAlign w:val="bottom"/>
          </w:tcPr>
          <w:p>
            <w:pPr>
              <w:spacing w:after="0"/>
              <w:rPr>
                <w:sz w:val="24"/>
                <w:szCs w:val="24"/>
                <w:color w:val="auto"/>
              </w:rPr>
            </w:pPr>
          </w:p>
        </w:tc>
        <w:tc>
          <w:tcPr>
            <w:tcW w:w="8700" w:type="dxa"/>
            <w:vAlign w:val="bottom"/>
          </w:tcPr>
          <w:p>
            <w:pPr>
              <w:ind w:left="4380"/>
              <w:spacing w:after="0"/>
              <w:rPr>
                <w:sz w:val="20"/>
                <w:szCs w:val="20"/>
                <w:color w:val="auto"/>
              </w:rPr>
            </w:pPr>
            <w:r>
              <w:rPr>
                <w:rFonts w:ascii="Courier New" w:cs="Courier New" w:eastAsia="Courier New" w:hAnsi="Courier New"/>
                <w:sz w:val="14"/>
                <w:szCs w:val="14"/>
                <w:color w:val="auto"/>
              </w:rPr>
              <w:t>PART I</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7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8700" w:type="dxa"/>
            <w:vAlign w:val="bottom"/>
          </w:tcPr>
          <w:p>
            <w:pPr>
              <w:ind w:left="60"/>
              <w:spacing w:after="0"/>
              <w:rPr>
                <w:sz w:val="20"/>
                <w:szCs w:val="20"/>
                <w:color w:val="auto"/>
              </w:rPr>
            </w:pPr>
            <w:r>
              <w:rPr>
                <w:rFonts w:ascii="Courier New" w:cs="Courier New" w:eastAsia="Courier New" w:hAnsi="Courier New"/>
                <w:sz w:val="14"/>
                <w:szCs w:val="14"/>
                <w:color w:val="auto"/>
              </w:rPr>
              <w:t>Business</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General Development of Business</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The Company</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CCA, PMSI and JJFMSI</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The 1999 Merger</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Recent Developments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Restructuring and Related Transactions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Proposed Restructuring Led by Affiliates of Fortress and Blackstone</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Proposed Restructuring Led by Pacific Life</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Determination of Proposed Restructuring</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Transactions Between the Company and CCA</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Solicitation of Consents for Waivers of, and Amendments to, Provisions of the</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840"/>
              <w:spacing w:after="0"/>
              <w:rPr>
                <w:sz w:val="20"/>
                <w:szCs w:val="20"/>
                <w:color w:val="auto"/>
              </w:rPr>
            </w:pPr>
            <w:r>
              <w:rPr>
                <w:rFonts w:ascii="Courier New" w:cs="Courier New" w:eastAsia="Courier New" w:hAnsi="Courier New"/>
                <w:sz w:val="14"/>
                <w:szCs w:val="14"/>
                <w:color w:val="auto"/>
              </w:rPr>
              <w:t>Company's and CCA's Outstanding Indebtedness</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1999 Financial Statements and Going Concern Matters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Shareholder Litigation</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Shelf Registration</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Dividend Reinvestment Plan</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Senior Notes Offering</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Issuance of Convertible, Subordinated Notes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Sale of Maurice H. Sigler Detention Center</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Financial Information About Industry Segments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Narrative Description of Business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Business Objectives and Strategies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Leases and Other Contractual Relationships with Primary Tenant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Leases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Other Contractual Relationships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Government Regulation</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Environmental Matters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Americans with Disabilities Act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Insurance</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Employees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Legal Proceedings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Competition</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820"/>
              <w:spacing w:after="0"/>
              <w:rPr>
                <w:sz w:val="20"/>
                <w:szCs w:val="20"/>
                <w:color w:val="auto"/>
              </w:rPr>
            </w:pPr>
            <w:r>
              <w:rPr>
                <w:rFonts w:ascii="Courier New" w:cs="Courier New" w:eastAsia="Courier New" w:hAnsi="Courier New"/>
                <w:sz w:val="14"/>
                <w:szCs w:val="14"/>
                <w:color w:val="auto"/>
              </w:rPr>
              <w:t>Risk Factors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The Company is Subject to Risks Inherent in the</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740"/>
              <w:spacing w:after="0"/>
              <w:rPr>
                <w:sz w:val="20"/>
                <w:szCs w:val="20"/>
                <w:color w:val="auto"/>
              </w:rPr>
            </w:pPr>
            <w:r>
              <w:rPr>
                <w:rFonts w:ascii="Courier New" w:cs="Courier New" w:eastAsia="Courier New" w:hAnsi="Courier New"/>
                <w:sz w:val="14"/>
                <w:szCs w:val="14"/>
                <w:color w:val="auto"/>
              </w:rPr>
              <w:t>Corrections and Detention Industry</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The Company is Subject to Tax Related Risks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The Company is Subject to Risks Inherent in Investment in Real Estate Properties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Dependence on Tenants for Revenue</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Dependence on Outside Financing to Support the</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32</w:t>
            </w: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840"/>
              <w:spacing w:after="0"/>
              <w:rPr>
                <w:sz w:val="20"/>
                <w:szCs w:val="20"/>
                <w:color w:val="auto"/>
              </w:rPr>
            </w:pPr>
            <w:r>
              <w:rPr>
                <w:rFonts w:ascii="Courier New" w:cs="Courier New" w:eastAsia="Courier New" w:hAnsi="Courier New"/>
                <w:sz w:val="14"/>
                <w:szCs w:val="14"/>
                <w:color w:val="auto"/>
              </w:rPr>
              <w:t>Company's Growth; Dilutive Effect of Such Financing</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Lack of Control Over Day-to-Day Operations and Management of its Facilities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32</w:t>
            </w: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8700" w:type="dxa"/>
            <w:vAlign w:val="bottom"/>
          </w:tcPr>
          <w:p>
            <w:pPr>
              <w:ind w:left="1580"/>
              <w:spacing w:after="0"/>
              <w:rPr>
                <w:sz w:val="20"/>
                <w:szCs w:val="20"/>
                <w:color w:val="auto"/>
              </w:rPr>
            </w:pPr>
            <w:r>
              <w:rPr>
                <w:rFonts w:ascii="Courier New" w:cs="Courier New" w:eastAsia="Courier New" w:hAnsi="Courier New"/>
                <w:sz w:val="14"/>
                <w:szCs w:val="14"/>
                <w:color w:val="auto"/>
              </w:rPr>
              <w:t>Potential Conflicts of Interest May Have an Effect on the Company</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33</w:t>
            </w:r>
          </w:p>
        </w:tc>
        <w:tc>
          <w:tcPr>
            <w:tcW w:w="0" w:type="dxa"/>
            <w:vAlign w:val="bottom"/>
          </w:tcPr>
          <w:p>
            <w:pPr>
              <w:spacing w:after="0"/>
              <w:rPr>
                <w:sz w:val="1"/>
                <w:szCs w:val="1"/>
                <w:color w:val="auto"/>
              </w:rPr>
            </w:pPr>
          </w:p>
        </w:tc>
      </w:tr>
    </w:tbl>
    <w:p>
      <w:pPr>
        <w:sectPr>
          <w:pgSz w:w="11900" w:h="16838" w:orient="portrait"/>
          <w:cols w:equalWidth="0" w:num="1">
            <w:col w:w="10260"/>
          </w:cols>
          <w:pgMar w:left="300" w:top="257" w:right="133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Tax Status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Taxation as a REIT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Taxation as a C corporation</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0" w:type="dxa"/>
            <w:vAlign w:val="bottom"/>
          </w:tcPr>
          <w:p>
            <w:pPr>
              <w:spacing w:after="0"/>
              <w:rPr>
                <w:sz w:val="1"/>
                <w:szCs w:val="1"/>
                <w:color w:val="auto"/>
              </w:rPr>
            </w:pPr>
          </w:p>
        </w:tc>
      </w:tr>
      <w:tr>
        <w:trPr>
          <w:trHeight w:val="163"/>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2.</w:t>
            </w: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Foreign Operations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0" w:type="dxa"/>
            <w:vAlign w:val="bottom"/>
          </w:tcPr>
          <w:p>
            <w:pPr>
              <w:spacing w:after="0"/>
              <w:rPr>
                <w:sz w:val="1"/>
                <w:szCs w:val="1"/>
                <w:color w:val="auto"/>
              </w:rPr>
            </w:pPr>
          </w:p>
        </w:tc>
      </w:tr>
      <w:tr>
        <w:trPr>
          <w:trHeight w:val="163"/>
        </w:trPr>
        <w:tc>
          <w:tcPr>
            <w:tcW w:w="520" w:type="dxa"/>
            <w:vAlign w:val="bottom"/>
            <w:vMerge w:val="continue"/>
          </w:tcPr>
          <w:p>
            <w:pPr>
              <w:spacing w:after="0"/>
              <w:rPr>
                <w:sz w:val="14"/>
                <w:szCs w:val="14"/>
                <w:color w:val="auto"/>
              </w:rPr>
            </w:pPr>
          </w:p>
        </w:tc>
        <w:tc>
          <w:tcPr>
            <w:tcW w:w="8860" w:type="dxa"/>
            <w:vAlign w:val="bottom"/>
          </w:tcPr>
          <w:p>
            <w:pPr>
              <w:ind w:left="260"/>
              <w:spacing w:after="0"/>
              <w:rPr>
                <w:sz w:val="20"/>
                <w:szCs w:val="20"/>
                <w:color w:val="auto"/>
              </w:rPr>
            </w:pPr>
            <w:r>
              <w:rPr>
                <w:rFonts w:ascii="Courier New" w:cs="Courier New" w:eastAsia="Courier New" w:hAnsi="Courier New"/>
                <w:sz w:val="14"/>
                <w:szCs w:val="14"/>
                <w:color w:val="auto"/>
              </w:rPr>
              <w:t>Properties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General</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The Facilities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General</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0" w:type="dxa"/>
            <w:vAlign w:val="bottom"/>
          </w:tcPr>
          <w:p>
            <w:pPr>
              <w:spacing w:after="0"/>
              <w:rPr>
                <w:sz w:val="1"/>
                <w:szCs w:val="1"/>
                <w:color w:val="auto"/>
              </w:rPr>
            </w:pPr>
          </w:p>
        </w:tc>
      </w:tr>
      <w:tr>
        <w:trPr>
          <w:trHeight w:val="163"/>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3.</w:t>
            </w: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Facilities Under Construction or Development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0" w:type="dxa"/>
            <w:vAlign w:val="bottom"/>
          </w:tcPr>
          <w:p>
            <w:pPr>
              <w:spacing w:after="0"/>
              <w:rPr>
                <w:sz w:val="1"/>
                <w:szCs w:val="1"/>
                <w:color w:val="auto"/>
              </w:rPr>
            </w:pPr>
          </w:p>
        </w:tc>
      </w:tr>
      <w:tr>
        <w:trPr>
          <w:trHeight w:val="163"/>
        </w:trPr>
        <w:tc>
          <w:tcPr>
            <w:tcW w:w="520" w:type="dxa"/>
            <w:vAlign w:val="bottom"/>
            <w:vMerge w:val="continue"/>
          </w:tcPr>
          <w:p>
            <w:pPr>
              <w:spacing w:after="0"/>
              <w:rPr>
                <w:sz w:val="14"/>
                <w:szCs w:val="14"/>
                <w:color w:val="auto"/>
              </w:rPr>
            </w:pPr>
          </w:p>
        </w:tc>
        <w:tc>
          <w:tcPr>
            <w:tcW w:w="8860" w:type="dxa"/>
            <w:vAlign w:val="bottom"/>
          </w:tcPr>
          <w:p>
            <w:pPr>
              <w:ind w:left="260"/>
              <w:spacing w:after="0"/>
              <w:rPr>
                <w:sz w:val="20"/>
                <w:szCs w:val="20"/>
                <w:color w:val="auto"/>
              </w:rPr>
            </w:pPr>
            <w:r>
              <w:rPr>
                <w:rFonts w:ascii="Courier New" w:cs="Courier New" w:eastAsia="Courier New" w:hAnsi="Courier New"/>
                <w:sz w:val="14"/>
                <w:szCs w:val="14"/>
                <w:color w:val="auto"/>
              </w:rPr>
              <w:t>Legal Proceedings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8860" w:type="dxa"/>
            <w:vAlign w:val="bottom"/>
          </w:tcPr>
          <w:p>
            <w:pPr>
              <w:ind w:left="26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0" w:type="dxa"/>
            <w:vAlign w:val="bottom"/>
          </w:tcPr>
          <w:p>
            <w:pPr>
              <w:spacing w:after="0"/>
              <w:rPr>
                <w:sz w:val="1"/>
                <w:szCs w:val="1"/>
                <w:color w:val="auto"/>
              </w:rPr>
            </w:pPr>
          </w:p>
        </w:tc>
      </w:tr>
      <w:tr>
        <w:trPr>
          <w:trHeight w:val="326"/>
        </w:trPr>
        <w:tc>
          <w:tcPr>
            <w:tcW w:w="520" w:type="dxa"/>
            <w:vAlign w:val="bottom"/>
          </w:tcPr>
          <w:p>
            <w:pPr>
              <w:spacing w:after="0"/>
              <w:rPr>
                <w:sz w:val="24"/>
                <w:szCs w:val="24"/>
                <w:color w:val="auto"/>
              </w:rPr>
            </w:pPr>
          </w:p>
        </w:tc>
        <w:tc>
          <w:tcPr>
            <w:tcW w:w="8860" w:type="dxa"/>
            <w:vAlign w:val="bottom"/>
          </w:tcPr>
          <w:p>
            <w:pPr>
              <w:ind w:left="4500"/>
              <w:spacing w:after="0"/>
              <w:rPr>
                <w:sz w:val="20"/>
                <w:szCs w:val="20"/>
                <w:color w:val="auto"/>
              </w:rPr>
            </w:pPr>
            <w:r>
              <w:rPr>
                <w:rFonts w:ascii="Courier New" w:cs="Courier New" w:eastAsia="Courier New" w:hAnsi="Courier New"/>
                <w:sz w:val="14"/>
                <w:szCs w:val="14"/>
                <w:color w:val="auto"/>
              </w:rPr>
              <w:t>PART II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2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8860" w:type="dxa"/>
            <w:vAlign w:val="bottom"/>
          </w:tcPr>
          <w:p>
            <w:pPr>
              <w:ind w:left="260"/>
              <w:spacing w:after="0"/>
              <w:rPr>
                <w:sz w:val="20"/>
                <w:szCs w:val="20"/>
                <w:color w:val="auto"/>
              </w:rPr>
            </w:pPr>
            <w:r>
              <w:rPr>
                <w:rFonts w:ascii="Courier New" w:cs="Courier New" w:eastAsia="Courier New" w:hAnsi="Courier New"/>
                <w:sz w:val="14"/>
                <w:szCs w:val="14"/>
                <w:color w:val="auto"/>
              </w:rPr>
              <w:t>Market for Registrant's Common Equity and Related Stockholder Matters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Market Price of and Distributions on Common Stock</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The Company</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Old Prison Realty</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Old CCA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Sale of Unregistered Securities and Use of Proceeds from Sale of Registered Securities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Sale of Unregistered Securities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0" w:type="dxa"/>
            <w:vAlign w:val="bottom"/>
          </w:tcPr>
          <w:p>
            <w:pPr>
              <w:spacing w:after="0"/>
              <w:rPr>
                <w:sz w:val="1"/>
                <w:szCs w:val="1"/>
                <w:color w:val="auto"/>
              </w:rPr>
            </w:pPr>
          </w:p>
        </w:tc>
      </w:tr>
      <w:tr>
        <w:trPr>
          <w:trHeight w:val="163"/>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6.</w:t>
            </w: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Use of Proceeds from the Sale of Registered Securities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0" w:type="dxa"/>
            <w:vAlign w:val="bottom"/>
          </w:tcPr>
          <w:p>
            <w:pPr>
              <w:spacing w:after="0"/>
              <w:rPr>
                <w:sz w:val="1"/>
                <w:szCs w:val="1"/>
                <w:color w:val="auto"/>
              </w:rPr>
            </w:pPr>
          </w:p>
        </w:tc>
      </w:tr>
      <w:tr>
        <w:trPr>
          <w:trHeight w:val="163"/>
        </w:trPr>
        <w:tc>
          <w:tcPr>
            <w:tcW w:w="520" w:type="dxa"/>
            <w:vAlign w:val="bottom"/>
            <w:vMerge w:val="continue"/>
          </w:tcPr>
          <w:p>
            <w:pPr>
              <w:spacing w:after="0"/>
              <w:rPr>
                <w:sz w:val="14"/>
                <w:szCs w:val="14"/>
                <w:color w:val="auto"/>
              </w:rPr>
            </w:pPr>
          </w:p>
        </w:tc>
        <w:tc>
          <w:tcPr>
            <w:tcW w:w="8860" w:type="dxa"/>
            <w:vAlign w:val="bottom"/>
          </w:tcPr>
          <w:p>
            <w:pPr>
              <w:ind w:left="260"/>
              <w:spacing w:after="0"/>
              <w:rPr>
                <w:sz w:val="20"/>
                <w:szCs w:val="20"/>
                <w:color w:val="auto"/>
              </w:rPr>
            </w:pPr>
            <w:r>
              <w:rPr>
                <w:rFonts w:ascii="Courier New" w:cs="Courier New" w:eastAsia="Courier New" w:hAnsi="Courier New"/>
                <w:sz w:val="14"/>
                <w:szCs w:val="14"/>
                <w:color w:val="auto"/>
              </w:rPr>
              <w:t>Selected Financial Data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8860" w:type="dxa"/>
            <w:vAlign w:val="bottom"/>
          </w:tcPr>
          <w:p>
            <w:pPr>
              <w:ind w:left="260"/>
              <w:spacing w:after="0"/>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Overview</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Results of Operations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Prospective Restructuring and Related Equity Investment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Year ended December 31, 1999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Year ended December 31, 1998 compared with year ended December 31, 1997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Liquidity and Capital Resources for the year ended December 31, 1999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Cash Flow Related to CCA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Commitments and Contingencies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Liquidity and Capital Resources for the Year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260"/>
              <w:spacing w:after="0"/>
              <w:rPr>
                <w:sz w:val="20"/>
                <w:szCs w:val="20"/>
                <w:color w:val="auto"/>
              </w:rPr>
            </w:pPr>
            <w:r>
              <w:rPr>
                <w:rFonts w:ascii="Courier New" w:cs="Courier New" w:eastAsia="Courier New" w:hAnsi="Courier New"/>
                <w:sz w:val="14"/>
                <w:szCs w:val="14"/>
                <w:color w:val="auto"/>
              </w:rPr>
              <w:t>December 31, 1998 as Compared to the Year Ended</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75</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260"/>
              <w:spacing w:after="0"/>
              <w:rPr>
                <w:sz w:val="20"/>
                <w:szCs w:val="20"/>
                <w:color w:val="auto"/>
              </w:rPr>
            </w:pPr>
            <w:r>
              <w:rPr>
                <w:rFonts w:ascii="Courier New" w:cs="Courier New" w:eastAsia="Courier New" w:hAnsi="Courier New"/>
                <w:sz w:val="14"/>
                <w:szCs w:val="14"/>
                <w:color w:val="auto"/>
              </w:rPr>
              <w:t>December 31, 1997</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Year 2000 Compliance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Funds from Operations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0" w:type="dxa"/>
            <w:vAlign w:val="bottom"/>
          </w:tcPr>
          <w:p>
            <w:pPr>
              <w:spacing w:after="0"/>
              <w:rPr>
                <w:sz w:val="1"/>
                <w:szCs w:val="1"/>
                <w:color w:val="auto"/>
              </w:rPr>
            </w:pPr>
          </w:p>
        </w:tc>
      </w:tr>
      <w:tr>
        <w:trPr>
          <w:trHeight w:val="163"/>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7A.</w:t>
            </w: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Inflation</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c>
          <w:tcPr>
            <w:tcW w:w="0" w:type="dxa"/>
            <w:vAlign w:val="bottom"/>
          </w:tcPr>
          <w:p>
            <w:pPr>
              <w:spacing w:after="0"/>
              <w:rPr>
                <w:sz w:val="1"/>
                <w:szCs w:val="1"/>
                <w:color w:val="auto"/>
              </w:rPr>
            </w:pPr>
          </w:p>
        </w:tc>
      </w:tr>
      <w:tr>
        <w:trPr>
          <w:trHeight w:val="163"/>
        </w:trPr>
        <w:tc>
          <w:tcPr>
            <w:tcW w:w="520" w:type="dxa"/>
            <w:vAlign w:val="bottom"/>
            <w:vMerge w:val="continue"/>
          </w:tcPr>
          <w:p>
            <w:pPr>
              <w:spacing w:after="0"/>
              <w:rPr>
                <w:sz w:val="14"/>
                <w:szCs w:val="14"/>
                <w:color w:val="auto"/>
              </w:rPr>
            </w:pPr>
          </w:p>
        </w:tc>
        <w:tc>
          <w:tcPr>
            <w:tcW w:w="8860" w:type="dxa"/>
            <w:vAlign w:val="bottom"/>
          </w:tcPr>
          <w:p>
            <w:pPr>
              <w:ind w:left="260"/>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8860" w:type="dxa"/>
            <w:vAlign w:val="bottom"/>
          </w:tcPr>
          <w:p>
            <w:pPr>
              <w:ind w:left="26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8860" w:type="dxa"/>
            <w:vAlign w:val="bottom"/>
          </w:tcPr>
          <w:p>
            <w:pPr>
              <w:ind w:left="260"/>
              <w:spacing w:after="0"/>
              <w:rPr>
                <w:sz w:val="20"/>
                <w:szCs w:val="20"/>
                <w:color w:val="auto"/>
              </w:rPr>
            </w:pPr>
            <w:r>
              <w:rPr>
                <w:rFonts w:ascii="Courier New" w:cs="Courier New" w:eastAsia="Courier New" w:hAnsi="Courier New"/>
                <w:sz w:val="14"/>
                <w:szCs w:val="14"/>
                <w:color w:val="auto"/>
              </w:rPr>
              <w:t>Changes in and Disagreements with Accountants on Accounting and Financial Disclosure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c>
          <w:tcPr>
            <w:tcW w:w="0" w:type="dxa"/>
            <w:vAlign w:val="bottom"/>
          </w:tcPr>
          <w:p>
            <w:pPr>
              <w:spacing w:after="0"/>
              <w:rPr>
                <w:sz w:val="1"/>
                <w:szCs w:val="1"/>
                <w:color w:val="auto"/>
              </w:rPr>
            </w:pPr>
          </w:p>
        </w:tc>
      </w:tr>
      <w:tr>
        <w:trPr>
          <w:trHeight w:val="326"/>
        </w:trPr>
        <w:tc>
          <w:tcPr>
            <w:tcW w:w="520" w:type="dxa"/>
            <w:vAlign w:val="bottom"/>
          </w:tcPr>
          <w:p>
            <w:pPr>
              <w:spacing w:after="0"/>
              <w:rPr>
                <w:sz w:val="24"/>
                <w:szCs w:val="24"/>
                <w:color w:val="auto"/>
              </w:rPr>
            </w:pPr>
          </w:p>
        </w:tc>
        <w:tc>
          <w:tcPr>
            <w:tcW w:w="8860" w:type="dxa"/>
            <w:vAlign w:val="bottom"/>
          </w:tcPr>
          <w:p>
            <w:pPr>
              <w:ind w:left="4500"/>
              <w:spacing w:after="0"/>
              <w:rPr>
                <w:sz w:val="20"/>
                <w:szCs w:val="20"/>
                <w:color w:val="auto"/>
              </w:rPr>
            </w:pPr>
            <w:r>
              <w:rPr>
                <w:rFonts w:ascii="Courier New" w:cs="Courier New" w:eastAsia="Courier New" w:hAnsi="Courier New"/>
                <w:sz w:val="14"/>
                <w:szCs w:val="14"/>
                <w:color w:val="auto"/>
              </w:rPr>
              <w:t>PART III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2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8860" w:type="dxa"/>
            <w:vAlign w:val="bottom"/>
          </w:tcPr>
          <w:p>
            <w:pPr>
              <w:ind w:left="26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Information Regarding Members of the Current Board of Directors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Class I Directors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Class II Directors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Class III Directors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Information Regarding Executive Officers of the Company who are not Directors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020"/>
              <w:spacing w:after="0"/>
              <w:rPr>
                <w:sz w:val="20"/>
                <w:szCs w:val="20"/>
                <w:color w:val="auto"/>
              </w:rPr>
            </w:pPr>
            <w:r>
              <w:rPr>
                <w:rFonts w:ascii="Courier New" w:cs="Courier New" w:eastAsia="Courier New" w:hAnsi="Courier New"/>
                <w:sz w:val="14"/>
                <w:szCs w:val="14"/>
                <w:color w:val="auto"/>
              </w:rPr>
              <w:t>Committees of the Company's Board</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Audit Committee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Compensation Committee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Independent Committee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8860" w:type="dxa"/>
            <w:vAlign w:val="bottom"/>
          </w:tcPr>
          <w:p>
            <w:pPr>
              <w:ind w:left="1780"/>
              <w:spacing w:after="0"/>
              <w:rPr>
                <w:sz w:val="20"/>
                <w:szCs w:val="20"/>
                <w:color w:val="auto"/>
              </w:rPr>
            </w:pPr>
            <w:r>
              <w:rPr>
                <w:rFonts w:ascii="Courier New" w:cs="Courier New" w:eastAsia="Courier New" w:hAnsi="Courier New"/>
                <w:sz w:val="14"/>
                <w:szCs w:val="14"/>
                <w:color w:val="auto"/>
              </w:rPr>
              <w:t>Special Committee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0" w:type="dxa"/>
            <w:vAlign w:val="bottom"/>
          </w:tcPr>
          <w:p>
            <w:pPr>
              <w:spacing w:after="0"/>
              <w:rPr>
                <w:sz w:val="1"/>
                <w:szCs w:val="1"/>
                <w:color w:val="auto"/>
              </w:rPr>
            </w:pPr>
          </w:p>
        </w:tc>
      </w:tr>
    </w:tbl>
    <w:p>
      <w:pPr>
        <w:sectPr>
          <w:pgSz w:w="11900" w:h="16838" w:orient="portrait"/>
          <w:cols w:equalWidth="0" w:num="1">
            <w:col w:w="10159"/>
          </w:cols>
          <w:pgMar w:left="300" w:top="257"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1"/>
        </w:trPr>
        <w:tc>
          <w:tcPr>
            <w:tcW w:w="260" w:type="dxa"/>
            <w:vAlign w:val="bottom"/>
          </w:tcPr>
          <w:p>
            <w:pPr>
              <w:spacing w:after="0"/>
              <w:rPr>
                <w:sz w:val="24"/>
                <w:szCs w:val="24"/>
                <w:color w:val="auto"/>
              </w:rPr>
            </w:pPr>
          </w:p>
        </w:tc>
        <w:tc>
          <w:tcPr>
            <w:tcW w:w="9080" w:type="dxa"/>
            <w:vAlign w:val="bottom"/>
          </w:tcPr>
          <w:p>
            <w:pPr>
              <w:ind w:left="1280"/>
              <w:spacing w:after="0"/>
              <w:rPr>
                <w:sz w:val="20"/>
                <w:szCs w:val="20"/>
                <w:color w:val="auto"/>
              </w:rPr>
            </w:pPr>
            <w:r>
              <w:rPr>
                <w:rFonts w:ascii="Courier New" w:cs="Courier New" w:eastAsia="Courier New" w:hAnsi="Courier New"/>
                <w:sz w:val="14"/>
                <w:szCs w:val="14"/>
                <w:color w:val="auto"/>
              </w:rPr>
              <w:t>Meetings of the Company's Board</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1280"/>
              <w:spacing w:after="0"/>
              <w:rPr>
                <w:sz w:val="20"/>
                <w:szCs w:val="20"/>
                <w:color w:val="auto"/>
              </w:rPr>
            </w:pPr>
            <w:r>
              <w:rPr>
                <w:rFonts w:ascii="Courier New" w:cs="Courier New" w:eastAsia="Courier New" w:hAnsi="Courier New"/>
                <w:sz w:val="14"/>
                <w:szCs w:val="14"/>
                <w:color w:val="auto"/>
              </w:rPr>
              <w:t>Compensation of the Company's Directors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0" w:type="dxa"/>
            <w:vAlign w:val="bottom"/>
          </w:tcPr>
          <w:p>
            <w:pPr>
              <w:spacing w:after="0"/>
              <w:rPr>
                <w:sz w:val="1"/>
                <w:szCs w:val="1"/>
                <w:color w:val="auto"/>
              </w:rPr>
            </w:pPr>
          </w:p>
        </w:tc>
      </w:tr>
      <w:tr>
        <w:trPr>
          <w:trHeight w:val="163"/>
        </w:trPr>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11.</w:t>
            </w:r>
          </w:p>
        </w:tc>
        <w:tc>
          <w:tcPr>
            <w:tcW w:w="9080" w:type="dxa"/>
            <w:vAlign w:val="bottom"/>
          </w:tcPr>
          <w:p>
            <w:pPr>
              <w:ind w:left="1280"/>
              <w:spacing w:after="0"/>
              <w:rPr>
                <w:sz w:val="20"/>
                <w:szCs w:val="20"/>
                <w:color w:val="auto"/>
              </w:rPr>
            </w:pPr>
            <w:r>
              <w:rPr>
                <w:rFonts w:ascii="Courier New" w:cs="Courier New" w:eastAsia="Courier New" w:hAnsi="Courier New"/>
                <w:sz w:val="14"/>
                <w:szCs w:val="14"/>
                <w:color w:val="auto"/>
              </w:rPr>
              <w:t>Section 16(a) Beneficial Ownership Reporting Compliance</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c>
          <w:tcPr>
            <w:tcW w:w="0" w:type="dxa"/>
            <w:vAlign w:val="bottom"/>
          </w:tcPr>
          <w:p>
            <w:pPr>
              <w:spacing w:after="0"/>
              <w:rPr>
                <w:sz w:val="1"/>
                <w:szCs w:val="1"/>
                <w:color w:val="auto"/>
              </w:rPr>
            </w:pPr>
          </w:p>
        </w:tc>
      </w:tr>
      <w:tr>
        <w:trPr>
          <w:trHeight w:val="163"/>
        </w:trPr>
        <w:tc>
          <w:tcPr>
            <w:tcW w:w="260" w:type="dxa"/>
            <w:vAlign w:val="bottom"/>
            <w:vMerge w:val="continue"/>
          </w:tcPr>
          <w:p>
            <w:pPr>
              <w:spacing w:after="0"/>
              <w:rPr>
                <w:sz w:val="14"/>
                <w:szCs w:val="14"/>
                <w:color w:val="auto"/>
              </w:rPr>
            </w:pPr>
          </w:p>
        </w:tc>
        <w:tc>
          <w:tcPr>
            <w:tcW w:w="9080" w:type="dxa"/>
            <w:vAlign w:val="bottom"/>
          </w:tcPr>
          <w:p>
            <w:pPr>
              <w:ind w:left="520"/>
              <w:spacing w:after="0"/>
              <w:rPr>
                <w:sz w:val="20"/>
                <w:szCs w:val="20"/>
                <w:color w:val="auto"/>
              </w:rPr>
            </w:pPr>
            <w:r>
              <w:rPr>
                <w:rFonts w:ascii="Courier New" w:cs="Courier New" w:eastAsia="Courier New" w:hAnsi="Courier New"/>
                <w:sz w:val="14"/>
                <w:szCs w:val="14"/>
                <w:color w:val="auto"/>
              </w:rPr>
              <w:t>Executive Compensation</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1280"/>
              <w:spacing w:after="0"/>
              <w:rPr>
                <w:sz w:val="20"/>
                <w:szCs w:val="20"/>
                <w:color w:val="auto"/>
              </w:rPr>
            </w:pPr>
            <w:r>
              <w:rPr>
                <w:rFonts w:ascii="Courier New" w:cs="Courier New" w:eastAsia="Courier New" w:hAnsi="Courier New"/>
                <w:sz w:val="14"/>
                <w:szCs w:val="14"/>
                <w:color w:val="auto"/>
              </w:rPr>
              <w:t>Summary Compensation Table</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1280"/>
              <w:spacing w:after="0"/>
              <w:rPr>
                <w:sz w:val="20"/>
                <w:szCs w:val="20"/>
                <w:color w:val="auto"/>
              </w:rPr>
            </w:pPr>
            <w:r>
              <w:rPr>
                <w:rFonts w:ascii="Courier New" w:cs="Courier New" w:eastAsia="Courier New" w:hAnsi="Courier New"/>
                <w:sz w:val="14"/>
                <w:szCs w:val="14"/>
                <w:color w:val="auto"/>
              </w:rPr>
              <w:t>Option/SAR Grants in Last Fiscal Year</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1280"/>
              <w:spacing w:after="0"/>
              <w:rPr>
                <w:sz w:val="20"/>
                <w:szCs w:val="20"/>
                <w:color w:val="auto"/>
              </w:rPr>
            </w:pPr>
            <w:r>
              <w:rPr>
                <w:rFonts w:ascii="Courier New" w:cs="Courier New" w:eastAsia="Courier New" w:hAnsi="Courier New"/>
                <w:sz w:val="14"/>
                <w:szCs w:val="14"/>
                <w:color w:val="auto"/>
              </w:rPr>
              <w:t>Aggregated Option/SAR Exercises in the Last Year and Fiscal Year-End Option/SAR Values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1280"/>
              <w:spacing w:after="0"/>
              <w:rPr>
                <w:sz w:val="20"/>
                <w:szCs w:val="20"/>
                <w:color w:val="auto"/>
              </w:rPr>
            </w:pPr>
            <w:r>
              <w:rPr>
                <w:rFonts w:ascii="Courier New" w:cs="Courier New" w:eastAsia="Courier New" w:hAnsi="Courier New"/>
                <w:sz w:val="14"/>
                <w:szCs w:val="14"/>
                <w:color w:val="auto"/>
              </w:rPr>
              <w:t>Employment and Severance Agreements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1280"/>
              <w:spacing w:after="0"/>
              <w:rPr>
                <w:sz w:val="20"/>
                <w:szCs w:val="20"/>
                <w:color w:val="auto"/>
              </w:rPr>
            </w:pPr>
            <w:r>
              <w:rPr>
                <w:rFonts w:ascii="Courier New" w:cs="Courier New" w:eastAsia="Courier New" w:hAnsi="Courier New"/>
                <w:sz w:val="14"/>
                <w:szCs w:val="14"/>
                <w:color w:val="auto"/>
              </w:rPr>
              <w:t>Change of Control Provisions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2040"/>
              <w:spacing w:after="0"/>
              <w:rPr>
                <w:sz w:val="20"/>
                <w:szCs w:val="20"/>
                <w:color w:val="auto"/>
              </w:rPr>
            </w:pPr>
            <w:r>
              <w:rPr>
                <w:rFonts w:ascii="Courier New" w:cs="Courier New" w:eastAsia="Courier New" w:hAnsi="Courier New"/>
                <w:sz w:val="14"/>
                <w:szCs w:val="14"/>
                <w:color w:val="auto"/>
              </w:rPr>
              <w:t>Deferred Stock Agreements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1280"/>
              <w:spacing w:after="0"/>
              <w:rPr>
                <w:sz w:val="20"/>
                <w:szCs w:val="20"/>
                <w:color w:val="auto"/>
              </w:rPr>
            </w:pPr>
            <w:r>
              <w:rPr>
                <w:rFonts w:ascii="Courier New" w:cs="Courier New" w:eastAsia="Courier New" w:hAnsi="Courier New"/>
                <w:sz w:val="14"/>
                <w:szCs w:val="14"/>
                <w:color w:val="auto"/>
              </w:rPr>
              <w:t>Report of the Compensation Committee</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2040"/>
              <w:spacing w:after="0"/>
              <w:rPr>
                <w:sz w:val="20"/>
                <w:szCs w:val="20"/>
                <w:color w:val="auto"/>
              </w:rPr>
            </w:pPr>
            <w:r>
              <w:rPr>
                <w:rFonts w:ascii="Courier New" w:cs="Courier New" w:eastAsia="Courier New" w:hAnsi="Courier New"/>
                <w:sz w:val="14"/>
                <w:szCs w:val="14"/>
                <w:color w:val="auto"/>
              </w:rPr>
              <w:t>Objectives of Executive Compensation</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2040"/>
              <w:spacing w:after="0"/>
              <w:rPr>
                <w:sz w:val="20"/>
                <w:szCs w:val="20"/>
                <w:color w:val="auto"/>
              </w:rPr>
            </w:pPr>
            <w:r>
              <w:rPr>
                <w:rFonts w:ascii="Courier New" w:cs="Courier New" w:eastAsia="Courier New" w:hAnsi="Courier New"/>
                <w:sz w:val="14"/>
                <w:szCs w:val="14"/>
                <w:color w:val="auto"/>
              </w:rPr>
              <w:t>Compensation Committee Procedures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2040"/>
              <w:spacing w:after="0"/>
              <w:rPr>
                <w:sz w:val="20"/>
                <w:szCs w:val="20"/>
                <w:color w:val="auto"/>
              </w:rPr>
            </w:pPr>
            <w:r>
              <w:rPr>
                <w:rFonts w:ascii="Courier New" w:cs="Courier New" w:eastAsia="Courier New" w:hAnsi="Courier New"/>
                <w:sz w:val="14"/>
                <w:szCs w:val="14"/>
                <w:color w:val="auto"/>
              </w:rPr>
              <w:t>Base Salary</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2040"/>
              <w:spacing w:after="0"/>
              <w:rPr>
                <w:sz w:val="20"/>
                <w:szCs w:val="20"/>
                <w:color w:val="auto"/>
              </w:rPr>
            </w:pPr>
            <w:r>
              <w:rPr>
                <w:rFonts w:ascii="Courier New" w:cs="Courier New" w:eastAsia="Courier New" w:hAnsi="Courier New"/>
                <w:sz w:val="14"/>
                <w:szCs w:val="14"/>
                <w:color w:val="auto"/>
              </w:rPr>
              <w:t>Annual Incentives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2040"/>
              <w:spacing w:after="0"/>
              <w:rPr>
                <w:sz w:val="20"/>
                <w:szCs w:val="20"/>
                <w:color w:val="auto"/>
              </w:rPr>
            </w:pPr>
            <w:r>
              <w:rPr>
                <w:rFonts w:ascii="Courier New" w:cs="Courier New" w:eastAsia="Courier New" w:hAnsi="Courier New"/>
                <w:sz w:val="14"/>
                <w:szCs w:val="14"/>
                <w:color w:val="auto"/>
              </w:rPr>
              <w:t>Long-Term Incentives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2040"/>
              <w:spacing w:after="0"/>
              <w:rPr>
                <w:sz w:val="20"/>
                <w:szCs w:val="20"/>
                <w:color w:val="auto"/>
              </w:rPr>
            </w:pPr>
            <w:r>
              <w:rPr>
                <w:rFonts w:ascii="Courier New" w:cs="Courier New" w:eastAsia="Courier New" w:hAnsi="Courier New"/>
                <w:sz w:val="14"/>
                <w:szCs w:val="14"/>
                <w:color w:val="auto"/>
              </w:rPr>
              <w:t>Executive Equity Loan Plan</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2040"/>
              <w:spacing w:after="0"/>
              <w:rPr>
                <w:sz w:val="20"/>
                <w:szCs w:val="20"/>
                <w:color w:val="auto"/>
              </w:rPr>
            </w:pPr>
            <w:r>
              <w:rPr>
                <w:rFonts w:ascii="Courier New" w:cs="Courier New" w:eastAsia="Courier New" w:hAnsi="Courier New"/>
                <w:sz w:val="14"/>
                <w:szCs w:val="14"/>
                <w:color w:val="auto"/>
              </w:rPr>
              <w:t>Compensation of Chief Executive Officer in 1999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2040"/>
              <w:spacing w:after="0"/>
              <w:rPr>
                <w:sz w:val="20"/>
                <w:szCs w:val="20"/>
                <w:color w:val="auto"/>
              </w:rPr>
            </w:pPr>
            <w:r>
              <w:rPr>
                <w:rFonts w:ascii="Courier New" w:cs="Courier New" w:eastAsia="Courier New" w:hAnsi="Courier New"/>
                <w:sz w:val="14"/>
                <w:szCs w:val="14"/>
                <w:color w:val="auto"/>
              </w:rPr>
              <w:t>Tax Deductibility of Compensation</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1280"/>
              <w:spacing w:after="0"/>
              <w:rPr>
                <w:sz w:val="20"/>
                <w:szCs w:val="20"/>
                <w:color w:val="auto"/>
              </w:rPr>
            </w:pPr>
            <w:r>
              <w:rPr>
                <w:rFonts w:ascii="Courier New" w:cs="Courier New" w:eastAsia="Courier New" w:hAnsi="Courier New"/>
                <w:sz w:val="14"/>
                <w:szCs w:val="14"/>
                <w:color w:val="auto"/>
              </w:rPr>
              <w:t>Performance Graph</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2040"/>
              <w:spacing w:after="0"/>
              <w:rPr>
                <w:sz w:val="20"/>
                <w:szCs w:val="20"/>
                <w:color w:val="auto"/>
              </w:rPr>
            </w:pPr>
            <w:r>
              <w:rPr>
                <w:rFonts w:ascii="Courier New" w:cs="Courier New" w:eastAsia="Courier New" w:hAnsi="Courier New"/>
                <w:sz w:val="14"/>
                <w:szCs w:val="14"/>
                <w:color w:val="auto"/>
              </w:rPr>
              <w:t>The Company</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2040"/>
              <w:spacing w:after="0"/>
              <w:rPr>
                <w:sz w:val="20"/>
                <w:szCs w:val="20"/>
                <w:color w:val="auto"/>
              </w:rPr>
            </w:pPr>
            <w:r>
              <w:rPr>
                <w:rFonts w:ascii="Courier New" w:cs="Courier New" w:eastAsia="Courier New" w:hAnsi="Courier New"/>
                <w:sz w:val="14"/>
                <w:szCs w:val="14"/>
                <w:color w:val="auto"/>
              </w:rPr>
              <w:t>Old Prison Realty</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0" w:type="dxa"/>
            <w:vAlign w:val="bottom"/>
          </w:tcPr>
          <w:p>
            <w:pPr>
              <w:spacing w:after="0"/>
              <w:rPr>
                <w:sz w:val="1"/>
                <w:szCs w:val="1"/>
                <w:color w:val="auto"/>
              </w:rPr>
            </w:pPr>
          </w:p>
        </w:tc>
      </w:tr>
      <w:tr>
        <w:trPr>
          <w:trHeight w:val="163"/>
        </w:trPr>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12.</w:t>
            </w:r>
          </w:p>
        </w:tc>
        <w:tc>
          <w:tcPr>
            <w:tcW w:w="9080" w:type="dxa"/>
            <w:vAlign w:val="bottom"/>
          </w:tcPr>
          <w:p>
            <w:pPr>
              <w:ind w:left="2040"/>
              <w:spacing w:after="0"/>
              <w:rPr>
                <w:sz w:val="20"/>
                <w:szCs w:val="20"/>
                <w:color w:val="auto"/>
              </w:rPr>
            </w:pPr>
            <w:r>
              <w:rPr>
                <w:rFonts w:ascii="Courier New" w:cs="Courier New" w:eastAsia="Courier New" w:hAnsi="Courier New"/>
                <w:sz w:val="14"/>
                <w:szCs w:val="14"/>
                <w:color w:val="auto"/>
              </w:rPr>
              <w:t>Old CCA</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0" w:type="dxa"/>
            <w:vAlign w:val="bottom"/>
          </w:tcPr>
          <w:p>
            <w:pPr>
              <w:spacing w:after="0"/>
              <w:rPr>
                <w:sz w:val="1"/>
                <w:szCs w:val="1"/>
                <w:color w:val="auto"/>
              </w:rPr>
            </w:pPr>
          </w:p>
        </w:tc>
      </w:tr>
      <w:tr>
        <w:trPr>
          <w:trHeight w:val="163"/>
        </w:trPr>
        <w:tc>
          <w:tcPr>
            <w:tcW w:w="260" w:type="dxa"/>
            <w:vAlign w:val="bottom"/>
            <w:vMerge w:val="continue"/>
          </w:tcPr>
          <w:p>
            <w:pPr>
              <w:spacing w:after="0"/>
              <w:rPr>
                <w:sz w:val="14"/>
                <w:szCs w:val="14"/>
                <w:color w:val="auto"/>
              </w:rPr>
            </w:pPr>
          </w:p>
        </w:tc>
        <w:tc>
          <w:tcPr>
            <w:tcW w:w="9080" w:type="dxa"/>
            <w:vAlign w:val="bottom"/>
          </w:tcPr>
          <w:p>
            <w:pPr>
              <w:ind w:left="52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080" w:type="dxa"/>
            <w:vAlign w:val="bottom"/>
          </w:tcPr>
          <w:p>
            <w:pPr>
              <w:ind w:left="1280"/>
              <w:spacing w:after="0"/>
              <w:rPr>
                <w:sz w:val="20"/>
                <w:szCs w:val="20"/>
                <w:color w:val="auto"/>
              </w:rPr>
            </w:pPr>
            <w:r>
              <w:rPr>
                <w:rFonts w:ascii="Courier New" w:cs="Courier New" w:eastAsia="Courier New" w:hAnsi="Courier New"/>
                <w:sz w:val="14"/>
                <w:szCs w:val="14"/>
                <w:color w:val="auto"/>
              </w:rPr>
              <w:t>Ownership of the Company's Common Stock</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0" w:type="dxa"/>
            <w:vAlign w:val="bottom"/>
          </w:tcPr>
          <w:p>
            <w:pPr>
              <w:spacing w:after="0"/>
              <w:rPr>
                <w:sz w:val="1"/>
                <w:szCs w:val="1"/>
                <w:color w:val="auto"/>
              </w:rPr>
            </w:pPr>
          </w:p>
        </w:tc>
      </w:tr>
      <w:tr>
        <w:trPr>
          <w:trHeight w:val="163"/>
        </w:trPr>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13.</w:t>
            </w:r>
          </w:p>
        </w:tc>
        <w:tc>
          <w:tcPr>
            <w:tcW w:w="9080" w:type="dxa"/>
            <w:vAlign w:val="bottom"/>
          </w:tcPr>
          <w:p>
            <w:pPr>
              <w:ind w:left="1280"/>
              <w:spacing w:after="0"/>
              <w:rPr>
                <w:sz w:val="20"/>
                <w:szCs w:val="20"/>
                <w:color w:val="auto"/>
              </w:rPr>
            </w:pPr>
            <w:r>
              <w:rPr>
                <w:rFonts w:ascii="Courier New" w:cs="Courier New" w:eastAsia="Courier New" w:hAnsi="Courier New"/>
                <w:sz w:val="14"/>
                <w:szCs w:val="14"/>
                <w:color w:val="auto"/>
              </w:rPr>
              <w:t>Ownership of the Company's Series A Preferred Stock</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238"/>
        </w:trPr>
        <w:tc>
          <w:tcPr>
            <w:tcW w:w="260" w:type="dxa"/>
            <w:vAlign w:val="bottom"/>
            <w:vMerge w:val="continue"/>
          </w:tcPr>
          <w:p>
            <w:pPr>
              <w:spacing w:after="0"/>
              <w:rPr>
                <w:sz w:val="20"/>
                <w:szCs w:val="20"/>
                <w:color w:val="auto"/>
              </w:rPr>
            </w:pPr>
          </w:p>
        </w:tc>
        <w:tc>
          <w:tcPr>
            <w:tcW w:w="9080" w:type="dxa"/>
            <w:vAlign w:val="bottom"/>
          </w:tcPr>
          <w:p>
            <w:pPr>
              <w:ind w:left="52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326"/>
        </w:trPr>
        <w:tc>
          <w:tcPr>
            <w:tcW w:w="260" w:type="dxa"/>
            <w:vAlign w:val="bottom"/>
          </w:tcPr>
          <w:p>
            <w:pPr>
              <w:spacing w:after="0"/>
              <w:rPr>
                <w:sz w:val="24"/>
                <w:szCs w:val="24"/>
                <w:color w:val="auto"/>
              </w:rPr>
            </w:pPr>
          </w:p>
        </w:tc>
        <w:tc>
          <w:tcPr>
            <w:tcW w:w="9080" w:type="dxa"/>
            <w:vAlign w:val="bottom"/>
          </w:tcPr>
          <w:p>
            <w:pPr>
              <w:ind w:left="4840"/>
              <w:spacing w:after="0"/>
              <w:rPr>
                <w:sz w:val="20"/>
                <w:szCs w:val="20"/>
                <w:color w:val="auto"/>
              </w:rPr>
            </w:pPr>
            <w:r>
              <w:rPr>
                <w:rFonts w:ascii="Courier New" w:cs="Courier New" w:eastAsia="Courier New" w:hAnsi="Courier New"/>
                <w:sz w:val="14"/>
                <w:szCs w:val="14"/>
                <w:color w:val="auto"/>
              </w:rPr>
              <w:t>PART IV</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14.</w:t>
            </w:r>
          </w:p>
        </w:tc>
        <w:tc>
          <w:tcPr>
            <w:tcW w:w="9080" w:type="dxa"/>
            <w:vAlign w:val="bottom"/>
          </w:tcPr>
          <w:p>
            <w:pPr>
              <w:ind w:left="520"/>
              <w:spacing w:after="0"/>
              <w:rPr>
                <w:sz w:val="20"/>
                <w:szCs w:val="20"/>
                <w:color w:val="auto"/>
              </w:rPr>
            </w:pPr>
            <w:r>
              <w:rPr>
                <w:rFonts w:ascii="Courier New" w:cs="Courier New" w:eastAsia="Courier New" w:hAnsi="Courier New"/>
                <w:sz w:val="14"/>
                <w:szCs w:val="14"/>
                <w:color w:val="auto"/>
              </w:rPr>
              <w:t>Exhibits, Financial Statement Schedules and Reports on Form 8-K</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c>
          <w:tcPr>
            <w:tcW w:w="0" w:type="dxa"/>
            <w:vAlign w:val="bottom"/>
          </w:tcPr>
          <w:p>
            <w:pPr>
              <w:spacing w:after="0"/>
              <w:rPr>
                <w:sz w:val="1"/>
                <w:szCs w:val="1"/>
                <w:color w:val="auto"/>
              </w:rPr>
            </w:pPr>
          </w:p>
        </w:tc>
      </w:tr>
      <w:tr>
        <w:trPr>
          <w:trHeight w:val="326"/>
        </w:trPr>
        <w:tc>
          <w:tcPr>
            <w:tcW w:w="260" w:type="dxa"/>
            <w:vAlign w:val="bottom"/>
          </w:tcPr>
          <w:p>
            <w:pPr>
              <w:spacing w:after="0"/>
              <w:rPr>
                <w:sz w:val="24"/>
                <w:szCs w:val="24"/>
                <w:color w:val="auto"/>
              </w:rPr>
            </w:pPr>
          </w:p>
        </w:tc>
        <w:tc>
          <w:tcPr>
            <w:tcW w:w="9080" w:type="dxa"/>
            <w:vAlign w:val="bottom"/>
          </w:tcPr>
          <w:p>
            <w:pPr>
              <w:ind w:left="4660"/>
              <w:spacing w:after="0"/>
              <w:rPr>
                <w:sz w:val="20"/>
                <w:szCs w:val="20"/>
                <w:color w:val="auto"/>
              </w:rPr>
            </w:pPr>
            <w:r>
              <w:rPr>
                <w:rFonts w:ascii="Courier New" w:cs="Courier New" w:eastAsia="Courier New" w:hAnsi="Courier New"/>
                <w:sz w:val="14"/>
                <w:szCs w:val="14"/>
                <w:color w:val="auto"/>
              </w:rPr>
              <w:t>SIGNATURES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25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331"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NOTE CONCERNING</w:t>
      </w:r>
    </w:p>
    <w:p>
      <w:pPr>
        <w:spacing w:after="0" w:line="30"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FORWARD-LOOKING STATEMENTS</w:t>
      </w:r>
    </w:p>
    <w:p>
      <w:pPr>
        <w:spacing w:after="0" w:line="142" w:lineRule="exact"/>
        <w:rPr>
          <w:sz w:val="20"/>
          <w:szCs w:val="20"/>
          <w:color w:val="auto"/>
        </w:rPr>
      </w:pPr>
    </w:p>
    <w:p>
      <w:pPr>
        <w:ind w:right="3459" w:firstLine="763"/>
        <w:spacing w:after="0" w:line="260" w:lineRule="auto"/>
        <w:rPr>
          <w:sz w:val="20"/>
          <w:szCs w:val="20"/>
          <w:color w:val="auto"/>
        </w:rPr>
      </w:pPr>
      <w:r>
        <w:rPr>
          <w:rFonts w:ascii="Courier New" w:cs="Courier New" w:eastAsia="Courier New" w:hAnsi="Courier New"/>
          <w:sz w:val="14"/>
          <w:szCs w:val="14"/>
          <w:color w:val="auto"/>
        </w:rPr>
        <w:t>This Annual Report on Form 10-K (the "Annual Report") filed by Prison Realty Trust, Inc. (formerly Prison Realty Corporation), a Maryland corporation (the "Company" or "Prison Realty"), contains forward-looking statements within the meaning of Section 27A of the Securities Act of 1933, as amended (the "Securities Act"), and Section 21E of the Securities Exchange Act of 1934, as amended (the "Exchange Act"). Those statements include statements with respect to the Company's financial condition, results of operations, business, future profitability, growth strategy and its assumptions regarding other matters. Words such as "believes," "expects," "anticipates," "intends," "estimates," "plans," "seeks" or similar expressions identify forward-looking statements.</w:t>
      </w:r>
    </w:p>
    <w:p>
      <w:pPr>
        <w:spacing w:after="0" w:line="76" w:lineRule="exact"/>
        <w:rPr>
          <w:sz w:val="20"/>
          <w:szCs w:val="20"/>
          <w:color w:val="auto"/>
        </w:rPr>
      </w:pPr>
    </w:p>
    <w:p>
      <w:pPr>
        <w:ind w:right="3459" w:firstLine="763"/>
        <w:spacing w:after="0" w:line="254" w:lineRule="auto"/>
        <w:rPr>
          <w:sz w:val="20"/>
          <w:szCs w:val="20"/>
          <w:color w:val="auto"/>
        </w:rPr>
      </w:pPr>
      <w:r>
        <w:rPr>
          <w:rFonts w:ascii="Courier New" w:cs="Courier New" w:eastAsia="Courier New" w:hAnsi="Courier New"/>
          <w:sz w:val="14"/>
          <w:szCs w:val="14"/>
          <w:color w:val="auto"/>
        </w:rPr>
        <w:t>You should be aware that, while the Company believes the expectations reflected in these forward-looking statements are reasonable, they are inherently subject to risks and uncertainties which could cause the Company's future results and shareholder values to differ materially from the Company's expectations. These risks and uncertainties are disclosed under "Risk Factors" set forth herein, and in "Management's Discussion and Analysis of Financial Condition and Results of Operations" set forth herein. Because of these risks and uncertainties, there can be no assurance that the forward-looking statements included or incorporated by reference herein will prove to be accurate. You should not regard the forward-looking statements included or incorporated by reference herein as a representation by the Company or any other person that the objectives and plans of the Company will be achieved. In addition, the Company does not intend to, and is not obligated to, update these forward-looking statements after the date of this Annual Report, even if new information, future events or other circumstances have made them incorrect or misleading as of any future date.</w:t>
      </w:r>
    </w:p>
    <w:p>
      <w:pPr>
        <w:spacing w:after="0" w:line="250"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PART I.</w:t>
      </w:r>
    </w:p>
    <w:p>
      <w:pPr>
        <w:spacing w:after="0" w:line="16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DEVELOPMENT OF BUSINESS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Company is a Maryland corporation which commenced operations 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 1999, following the mergers of each of the old Corrections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of America, a Tennessee corporation ("Old CCA"), and CCA Prison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Trust, a Maryland real estate investment trust ("Old Prison Realty"),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and into the Company (such mergers referred to collectively herein as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Merger"). The Company has operated so as to preserve its ability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qualify as a real estate investment trust, or REIT, for federal income tax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commencing with its taxable year ending December 31, 1999. 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Developments--Restructuring and Related Transactions." Currently,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is the largest self-administered and self-managed entity specializing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acquiring, developing and owning correctional and detention facilities.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March 15, 2000, the Company owned, or was in the process of developing, 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correctional and detention facilities in 17 states, the District of Columbia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United Kingdom, of which 43 facilities were operating, four were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construction or expansion and three were in the planning stages. As of March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2000, Corrections Corporation of America (formerly Correctional Management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Corporation), or CCA, the Company's primary tenant, leased 34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facilities, government agencies leased six of the Company's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and private operators leased three of Prison Realty's facilities.</w:t>
      </w:r>
    </w:p>
    <w:p>
      <w:pPr>
        <w:spacing w:after="0" w:line="142" w:lineRule="exact"/>
        <w:rPr>
          <w:sz w:val="20"/>
          <w:szCs w:val="20"/>
          <w:color w:val="auto"/>
        </w:rPr>
      </w:pPr>
    </w:p>
    <w:p>
      <w:pPr>
        <w:ind w:right="3539" w:firstLine="763"/>
        <w:spacing w:after="0" w:line="256" w:lineRule="auto"/>
        <w:rPr>
          <w:sz w:val="20"/>
          <w:szCs w:val="20"/>
          <w:color w:val="auto"/>
        </w:rPr>
      </w:pPr>
      <w:r>
        <w:rPr>
          <w:rFonts w:ascii="Courier New" w:cs="Courier New" w:eastAsia="Courier New" w:hAnsi="Courier New"/>
          <w:sz w:val="14"/>
          <w:szCs w:val="14"/>
          <w:color w:val="auto"/>
        </w:rPr>
        <w:t>Prison Realty has entered into lease agreements with CCA with respect to the correctional and detention facilities owned by Prison Realty and operated by CCA, as well as a series of additional agreements relating to the payment of certain fees by Prison Realty to CCA. See "--Recent Developments</w:t>
      </w:r>
    </w:p>
    <w:p>
      <w:pPr>
        <w:spacing w:after="0" w:line="2" w:lineRule="exact"/>
        <w:rPr>
          <w:sz w:val="20"/>
          <w:szCs w:val="20"/>
          <w:color w:val="auto"/>
        </w:rPr>
      </w:pPr>
    </w:p>
    <w:p>
      <w:pPr>
        <w:ind w:right="3539" w:firstLine="7"/>
        <w:spacing w:after="0" w:line="266" w:lineRule="auto"/>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Between the Company and CCA." Prison Realty also owns 9.5% of the capital stock, consisting of non-voting common stock, of CCA. In addition, Prison Realty owns 100% of the non-voting common stock of Prison Management Services, Inc., or PMSI, and Juvenile and Jail Facility Management Services, Inc., or JJFMSI, both of which are privately-held service companies</w:t>
      </w:r>
    </w:p>
    <w:p>
      <w:pPr>
        <w:spacing w:after="0" w:line="23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25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331" w:lineRule="exact"/>
        <w:rPr>
          <w:sz w:val="20"/>
          <w:szCs w:val="20"/>
          <w:color w:val="auto"/>
        </w:rPr>
      </w:pPr>
    </w:p>
    <w:p>
      <w:pPr>
        <w:ind w:right="3459"/>
        <w:spacing w:after="0" w:line="286" w:lineRule="auto"/>
        <w:rPr>
          <w:sz w:val="20"/>
          <w:szCs w:val="20"/>
          <w:color w:val="auto"/>
        </w:rPr>
      </w:pPr>
      <w:r>
        <w:rPr>
          <w:rFonts w:ascii="Courier New" w:cs="Courier New" w:eastAsia="Courier New" w:hAnsi="Courier New"/>
          <w:sz w:val="14"/>
          <w:szCs w:val="14"/>
          <w:color w:val="auto"/>
        </w:rPr>
        <w:t>which manage certain government-owned prison and jail facilities under the "Corrections Corporation of America" name. As the owner of the non-voting common stock of the two service companies, Prison Realty is entitled to receive 95% of each company's net income as dividends on such shares.</w:t>
      </w: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PMSI AND JJFMSI</w:t>
      </w:r>
    </w:p>
    <w:p>
      <w:pPr>
        <w:spacing w:after="0" w:line="168" w:lineRule="exact"/>
        <w:rPr>
          <w:sz w:val="20"/>
          <w:szCs w:val="20"/>
          <w:color w:val="auto"/>
        </w:rPr>
      </w:pPr>
    </w:p>
    <w:p>
      <w:pPr>
        <w:ind w:right="3459" w:firstLine="763"/>
        <w:spacing w:after="0" w:line="256" w:lineRule="auto"/>
        <w:rPr>
          <w:sz w:val="20"/>
          <w:szCs w:val="20"/>
          <w:color w:val="auto"/>
        </w:rPr>
      </w:pPr>
      <w:r>
        <w:rPr>
          <w:rFonts w:ascii="Courier New" w:cs="Courier New" w:eastAsia="Courier New" w:hAnsi="Courier New"/>
          <w:sz w:val="14"/>
          <w:szCs w:val="14"/>
          <w:color w:val="auto"/>
        </w:rPr>
        <w:t>CCA was formed in August 1998 and commenced operations on December 31, 1998, in connection with the 1999 Merger. CCA was formed to manage and operate certain facilities operated and managed by Old CCA and owned by Old Prison Realty prior to the 1999 Merger. At March 15, 2000, CCA had contracts to manage 45 correctional and detention facilities with a total design capacity of 47,669 beds, of which 39 facilities with a total design capacity of 36,959 beds were in operation. At March 15, 2000, CCA's system-wide occupancy level was approximately 80.4%. CCA operates and manages the substantial majority of the facilities owned by the Company and leases these facilities from the Company under long-term "triple-net" leases as described herein. At March 15, 2000, CCA leased 34 of the facilities owned by the Company. CCA also provides certain business and facility development services for the Company in exchange for cash fees. See "--Recent Developments--Transactions Between the Company and CCA."</w:t>
      </w:r>
    </w:p>
    <w:p>
      <w:pPr>
        <w:spacing w:after="0" w:line="84" w:lineRule="exact"/>
        <w:rPr>
          <w:sz w:val="20"/>
          <w:szCs w:val="20"/>
          <w:color w:val="auto"/>
        </w:rPr>
      </w:pPr>
    </w:p>
    <w:p>
      <w:pPr>
        <w:ind w:right="3459" w:firstLine="763"/>
        <w:spacing w:after="0" w:line="258" w:lineRule="auto"/>
        <w:rPr>
          <w:sz w:val="20"/>
          <w:szCs w:val="20"/>
          <w:color w:val="auto"/>
        </w:rPr>
      </w:pPr>
      <w:r>
        <w:rPr>
          <w:rFonts w:ascii="Courier New" w:cs="Courier New" w:eastAsia="Courier New" w:hAnsi="Courier New"/>
          <w:sz w:val="14"/>
          <w:szCs w:val="14"/>
          <w:color w:val="auto"/>
        </w:rPr>
        <w:t>PMSI was formed in August 1998 and commenced operations on December 31, 1998 in connection with the 1999 Merger. PMSI was formed to manage and operate certain government owned adult prison facilities operated and managed by Old CCA, or its subsidiaries, prior to the 1999 Merger. PMSI provides adult prison facility management services to government agencies under the "Corrections Corporation of America" name pursuant to management contracts with federal, state and local government agencies and authorities in the United States. At March 15, 2000, PMSI had contracts to manage 11 correctional and detention facilities with a total design capacity of 13,276 beds, of which 10 facilities with a total design capacity of 12,026 beds were in operation. At March 15, 2000, PMSI's system-wide occupancy level was 99.2%.</w:t>
      </w:r>
    </w:p>
    <w:p>
      <w:pPr>
        <w:spacing w:after="0" w:line="82" w:lineRule="exact"/>
        <w:rPr>
          <w:sz w:val="20"/>
          <w:szCs w:val="20"/>
          <w:color w:val="auto"/>
        </w:rPr>
      </w:pPr>
    </w:p>
    <w:p>
      <w:pPr>
        <w:ind w:right="3459" w:firstLine="763"/>
        <w:spacing w:after="0" w:line="257" w:lineRule="auto"/>
        <w:rPr>
          <w:sz w:val="20"/>
          <w:szCs w:val="20"/>
          <w:color w:val="auto"/>
        </w:rPr>
      </w:pPr>
      <w:r>
        <w:rPr>
          <w:rFonts w:ascii="Courier New" w:cs="Courier New" w:eastAsia="Courier New" w:hAnsi="Courier New"/>
          <w:sz w:val="14"/>
          <w:szCs w:val="14"/>
          <w:color w:val="auto"/>
        </w:rPr>
        <w:t>JJFMSI was formed in August 1998 and commenced operations on December 31, 1998 in connection with the 1999 Merger. JJFMSI was formed to manage and operate certain government owned juvenile and jail facilities, as well as certain international correctional and detention facilities, operated and managed by Old CCA, or its subsidiaries, prior to the 1999 Merger. JJFMSI provides facility management services to government agencies under the "Corrections Corporation of America" name pursuant to management contracts with federal, state and local government agencies and authorities in the United States and with international authorities in Australia and the UK. At March 15, 2000, JJFMSI had contracts to manage 19 correctional and detention facilities with a total design capacity of 9,156 beds. At March 15, 2000, JJFMSI's system-wide occupancy level was 94.3%.</w:t>
      </w:r>
    </w:p>
    <w:p>
      <w:pPr>
        <w:spacing w:after="0" w:line="82" w:lineRule="exact"/>
        <w:rPr>
          <w:sz w:val="20"/>
          <w:szCs w:val="20"/>
          <w:color w:val="auto"/>
        </w:rPr>
      </w:pPr>
    </w:p>
    <w:p>
      <w:pPr>
        <w:ind w:right="3539" w:firstLine="763"/>
        <w:spacing w:after="0" w:line="256" w:lineRule="auto"/>
        <w:rPr>
          <w:sz w:val="20"/>
          <w:szCs w:val="20"/>
          <w:color w:val="auto"/>
        </w:rPr>
      </w:pPr>
      <w:r>
        <w:rPr>
          <w:rFonts w:ascii="Courier New" w:cs="Courier New" w:eastAsia="Courier New" w:hAnsi="Courier New"/>
          <w:sz w:val="14"/>
          <w:szCs w:val="14"/>
          <w:color w:val="auto"/>
        </w:rPr>
        <w:t>Each of CCA, PMSI and JJFMSI provides correctional and detention facility management services to government agencies under management contracts with federal, state and local government agencies and authorities which generally may be canceled by such agencies and authorities on short notice and without significant penalty. The services provided by each of the companies to government agencies include the comprehensive operation and management of new and existing correctional and detention facilities. In addition to providing the fundamental residential services relating to inmates, each of the companies' facilities offers a large variety of rehabilitation and education programs, including basic education, life skills and employment training and substance abuse treatment. The companies also provide health care (including medical, dental and psychiatric services), institutional food services, transportation requirements, and work and recreational programs.</w:t>
      </w:r>
    </w:p>
    <w:p>
      <w:pPr>
        <w:spacing w:after="0" w:line="84" w:lineRule="exact"/>
        <w:rPr>
          <w:sz w:val="20"/>
          <w:szCs w:val="20"/>
          <w:color w:val="auto"/>
        </w:rPr>
      </w:pPr>
    </w:p>
    <w:p>
      <w:pPr>
        <w:ind w:right="3459" w:firstLine="763"/>
        <w:spacing w:after="0" w:line="260" w:lineRule="auto"/>
        <w:rPr>
          <w:sz w:val="20"/>
          <w:szCs w:val="20"/>
          <w:color w:val="auto"/>
        </w:rPr>
      </w:pPr>
      <w:r>
        <w:rPr>
          <w:rFonts w:ascii="Courier New" w:cs="Courier New" w:eastAsia="Courier New" w:hAnsi="Courier New"/>
          <w:sz w:val="14"/>
          <w:szCs w:val="14"/>
          <w:color w:val="auto"/>
        </w:rPr>
        <w:t>JJFMSI also provides correction and detention facility management services to governments in the United Kingdom (the "U.K.") and Australia through certain of its subsidiaries formed in connection with an international joint venture with Sodexho Alliance, S.A. ("Sodexho"). Old CCA and Sodexho formed an international alliance in 1994 to pursue prison management business outside the United States. In connection with the 1999 Merger, Old CCA's international operations were transferred to JJFMSI, which succeeded to Old CCA's obligations under the joint venture. As the result of the 1999 Merger, Sodexho, a significant shareholder of Old CCA, became a significant shareholder of</w:t>
      </w:r>
    </w:p>
    <w:p>
      <w:pPr>
        <w:spacing w:after="0" w:line="23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5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331" w:lineRule="exact"/>
        <w:rPr>
          <w:sz w:val="20"/>
          <w:szCs w:val="20"/>
          <w:color w:val="auto"/>
        </w:rPr>
      </w:pPr>
    </w:p>
    <w:p>
      <w:pPr>
        <w:ind w:right="3879"/>
        <w:spacing w:after="0" w:line="306" w:lineRule="auto"/>
        <w:rPr>
          <w:sz w:val="20"/>
          <w:szCs w:val="20"/>
          <w:color w:val="auto"/>
        </w:rPr>
      </w:pPr>
      <w:r>
        <w:rPr>
          <w:rFonts w:ascii="Courier New" w:cs="Courier New" w:eastAsia="Courier New" w:hAnsi="Courier New"/>
          <w:sz w:val="14"/>
          <w:szCs w:val="14"/>
          <w:color w:val="auto"/>
        </w:rPr>
        <w:t>Prison Realty. In addition, Jean-Pierre Cuny, Senior Vice President of the Sodexho Group, an affiliate of Sodexho, became a member of the board of directors of Prison Realty in connection with the 1999 Merger.</w:t>
      </w:r>
    </w:p>
    <w:p>
      <w:pPr>
        <w:spacing w:after="0" w:line="46" w:lineRule="exact"/>
        <w:rPr>
          <w:sz w:val="20"/>
          <w:szCs w:val="20"/>
          <w:color w:val="auto"/>
        </w:rPr>
      </w:pPr>
    </w:p>
    <w:p>
      <w:pPr>
        <w:ind w:right="3459" w:firstLine="763"/>
        <w:spacing w:after="0" w:line="266" w:lineRule="auto"/>
        <w:rPr>
          <w:sz w:val="20"/>
          <w:szCs w:val="20"/>
          <w:color w:val="auto"/>
        </w:rPr>
      </w:pPr>
      <w:r>
        <w:rPr>
          <w:rFonts w:ascii="Courier New" w:cs="Courier New" w:eastAsia="Courier New" w:hAnsi="Courier New"/>
          <w:sz w:val="14"/>
          <w:szCs w:val="14"/>
          <w:color w:val="auto"/>
        </w:rPr>
        <w:t>CCA provides business and facility development services for the Company in exchange for cash fees under the terms of a services agreement and a business development agreement. CCA also receives tenant incentives from Prison Realty for the opening of new correctional and detention facilities pursuant to the terms of a tenant incentive agreement. CCA also provides certain administrative services to each of PMSI and JJFMSI for a fee. See "--Recent Developments--Transactions Between the Company and CCA."</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1999 MERGER</w:t>
      </w:r>
    </w:p>
    <w:p>
      <w:pPr>
        <w:spacing w:after="0" w:line="168" w:lineRule="exact"/>
        <w:rPr>
          <w:sz w:val="20"/>
          <w:szCs w:val="20"/>
          <w:color w:val="auto"/>
        </w:rPr>
      </w:pPr>
    </w:p>
    <w:p>
      <w:pPr>
        <w:ind w:right="3459" w:firstLine="763"/>
        <w:spacing w:after="0" w:line="255" w:lineRule="auto"/>
        <w:rPr>
          <w:sz w:val="20"/>
          <w:szCs w:val="20"/>
          <w:color w:val="auto"/>
        </w:rPr>
      </w:pPr>
      <w:r>
        <w:rPr>
          <w:rFonts w:ascii="Courier New" w:cs="Courier New" w:eastAsia="Courier New" w:hAnsi="Courier New"/>
          <w:sz w:val="14"/>
          <w:szCs w:val="14"/>
          <w:color w:val="auto"/>
        </w:rPr>
        <w:t>In the 1999 Merger, each of Old CCA and Old Prison Realty was merged with and into the Company, with the Company being the surviving corporation. In the 1999 Merger, each issued and outstanding share of Old CCA's common stock was converted into the right to receive 0.875 share of common stock, $0.01 par value per share, of the Company (the "Common Stock"). Each issued and outstanding common share of Old Prison Realty was converted into 1.0 share of the Company's Common Stock. Each issued and outstanding 8% Series A Cumulative Preferred Share of Old Prison Realty was converted into 1.0 share of the 8% Series A Cumulative Preferred Stock of the Company (the "Series A Preferred Stock"). Approximately 105,272,183 shares of Common Stock and 4,300,000 shares of Series A Preferred Stock were issued in the 1999 Merger. Following the 1999 Merger, the Company's Common Stock began trading on the New York Stock Exchange (the "NYSE") on January 4, 1999 under the symbol "PZN," and the Series A Preferred Stock began trading on the NYSE under the symbol "PZN PrA" on the same date.</w:t>
      </w:r>
    </w:p>
    <w:p>
      <w:pPr>
        <w:spacing w:after="0" w:line="82" w:lineRule="exact"/>
        <w:rPr>
          <w:sz w:val="20"/>
          <w:szCs w:val="20"/>
          <w:color w:val="auto"/>
        </w:rPr>
      </w:pPr>
    </w:p>
    <w:p>
      <w:pPr>
        <w:ind w:right="3459" w:firstLine="763"/>
        <w:spacing w:after="0" w:line="260" w:lineRule="auto"/>
        <w:rPr>
          <w:sz w:val="20"/>
          <w:szCs w:val="20"/>
          <w:color w:val="auto"/>
        </w:rPr>
      </w:pPr>
      <w:r>
        <w:rPr>
          <w:rFonts w:ascii="Courier New" w:cs="Courier New" w:eastAsia="Courier New" w:hAnsi="Courier New"/>
          <w:sz w:val="14"/>
          <w:szCs w:val="14"/>
          <w:color w:val="auto"/>
        </w:rPr>
        <w:t>On December 31, 1998, immediately prior to the 1999 Merger, and in connection with the 1999 Merger, Old CCA sold to CCA all of the issued and outstanding capital stock of certain wholly-owned corporate subsidiaries of Old CCA, certain management contracts and certain other non-real estate assets related thereto, and entered into the Trade Name Use Agreement, as described below. In exchange, Old CCA received an installment note in the principal amount of $137.0 million (the "CCA Note") and 100% of the non-voting common stock of CCA. Old CCA's ownership interest in the CCA Note and the non-voting common stock of CCA were transferred to the Company as a result of the 1999 Merger.</w:t>
      </w:r>
    </w:p>
    <w:p>
      <w:pPr>
        <w:spacing w:after="0" w:line="76" w:lineRule="exact"/>
        <w:rPr>
          <w:sz w:val="20"/>
          <w:szCs w:val="20"/>
          <w:color w:val="auto"/>
        </w:rPr>
      </w:pPr>
    </w:p>
    <w:p>
      <w:pPr>
        <w:ind w:right="3459" w:firstLine="763"/>
        <w:spacing w:after="0" w:line="256" w:lineRule="auto"/>
        <w:rPr>
          <w:sz w:val="20"/>
          <w:szCs w:val="20"/>
          <w:color w:val="auto"/>
        </w:rPr>
      </w:pPr>
      <w:r>
        <w:rPr>
          <w:rFonts w:ascii="Courier New" w:cs="Courier New" w:eastAsia="Courier New" w:hAnsi="Courier New"/>
          <w:sz w:val="14"/>
          <w:szCs w:val="14"/>
          <w:color w:val="auto"/>
        </w:rPr>
        <w:t>The non-voting common stock of CCA represents approximately a 9.5% economic interest in CCA. During 1999, CCA paid no dividends on the shares of its non-voting common stock. The CCA Note is payable over 10 years and bears interest at a rate of 12% per annum. Interest only is generally payable for the first four years of the CCA Note, and the principal will be amortized over the following six years. Doctor R. Crants, the Chief Executive Officer of the Company and a member of its board of directors, has guaranteed payment of 10% of the outstanding principal amount due under the CCA Note. As a result of CCA's current liquidity position, CCA has been required to defer the first scheduled payment of accrued interest on the CCA Note, which was due December 31, 1999, pursuant to the terms of the Subordination Agreement, as hereinafter defined. See "--Recent Developments--Transactions Between the Company and CCA."</w:t>
      </w:r>
    </w:p>
    <w:p>
      <w:pPr>
        <w:spacing w:after="0" w:line="253" w:lineRule="exact"/>
        <w:rPr>
          <w:sz w:val="20"/>
          <w:szCs w:val="20"/>
          <w:color w:val="auto"/>
        </w:rPr>
      </w:pPr>
    </w:p>
    <w:p>
      <w:pPr>
        <w:ind w:right="3459" w:firstLine="763"/>
        <w:spacing w:after="0" w:line="254" w:lineRule="auto"/>
        <w:rPr>
          <w:sz w:val="20"/>
          <w:szCs w:val="20"/>
          <w:color w:val="auto"/>
        </w:rPr>
      </w:pPr>
      <w:r>
        <w:rPr>
          <w:rFonts w:ascii="Courier New" w:cs="Courier New" w:eastAsia="Courier New" w:hAnsi="Courier New"/>
          <w:sz w:val="14"/>
          <w:szCs w:val="14"/>
          <w:color w:val="auto"/>
        </w:rPr>
        <w:t>On December 31, 1998, immediately prior to the 1999 Merger and in connection with the 1999 Merger, Old CCA sold to Prison Management Services, LLC ("PMS, LLC") and Juvenile and Jail Facility Management Services, LLC ("JJFMS, LLC"), two privately-held Delaware limited liability companies formed in connection with the 1999 Merger, certain management contracts and certain other assets and liabilities relating to government-owned adult prison facilities and government-owned jails and juvenile facilities managed by Old CCA. In exchange, Old CCA received 100% of the non-voting membership interests in Prison Management Services, LLC and Juvenile and Jail Facility Management Services, LLC, which obligated Prison Management Services, LLC and Juvenile and Jail Facility Management Services, LLC to make distributions to Old CCA equal to 95% of each company's net income, as defined. The Company succeeded to these interests as a result of the 1999 Merger. Immediately following the 1999 Merger, Prison Management Services, LLC merged with PMSI, and Juvenile and Jail Facility Management Services, LLC merged with JJFMSI. During 1999, the amount of dividends paid to the Company by PMSI and JJFMSI was</w:t>
      </w:r>
    </w:p>
    <w:p>
      <w:pPr>
        <w:spacing w:after="0" w:line="25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5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331" w:lineRule="exact"/>
        <w:rPr>
          <w:sz w:val="20"/>
          <w:szCs w:val="20"/>
          <w:color w:val="auto"/>
        </w:rPr>
      </w:pPr>
    </w:p>
    <w:p>
      <w:pPr>
        <w:ind w:right="3619"/>
        <w:spacing w:after="0" w:line="286" w:lineRule="auto"/>
        <w:rPr>
          <w:sz w:val="20"/>
          <w:szCs w:val="20"/>
          <w:color w:val="auto"/>
        </w:rPr>
      </w:pPr>
      <w:r>
        <w:rPr>
          <w:rFonts w:ascii="Courier New" w:cs="Courier New" w:eastAsia="Courier New" w:hAnsi="Courier New"/>
          <w:sz w:val="14"/>
          <w:szCs w:val="14"/>
          <w:color w:val="auto"/>
        </w:rPr>
        <w:t>approximately $11.0 million and $10.6 million, respectively, which does not include dividends of approximately $579,300 and $122,400, respectively, which were paid in the first quarter of 2000 with respect to the fourth quarter of 1999.</w:t>
      </w:r>
    </w:p>
    <w:p>
      <w:pPr>
        <w:spacing w:after="0" w:line="59" w:lineRule="exact"/>
        <w:rPr>
          <w:sz w:val="20"/>
          <w:szCs w:val="20"/>
          <w:color w:val="auto"/>
        </w:rPr>
      </w:pPr>
    </w:p>
    <w:p>
      <w:pPr>
        <w:ind w:right="3459" w:firstLine="763"/>
        <w:spacing w:after="0" w:line="260" w:lineRule="auto"/>
        <w:rPr>
          <w:sz w:val="20"/>
          <w:szCs w:val="20"/>
          <w:color w:val="auto"/>
        </w:rPr>
      </w:pPr>
      <w:r>
        <w:rPr>
          <w:rFonts w:ascii="Courier New" w:cs="Courier New" w:eastAsia="Courier New" w:hAnsi="Courier New"/>
          <w:sz w:val="14"/>
          <w:szCs w:val="14"/>
          <w:color w:val="auto"/>
        </w:rPr>
        <w:t>Under a trade name use agreement with Old CCA resulting from the 1999 Merger (the "Trade Name Use Agreement"), CCA pays a licensing fee to the Company, Old CCA's successor, for the right to use the name "Corrections Corporation of America" and derivatives thereof. The Trade Name Use Agreement has a term of 10 years and the licensing fee paid pursuant to the agreement is based upon gross revenues of CCA, subject to a limitation of 2.75% of the gross revenues of the Company. The total amount of payments required to be paid to the Company pursuant to the Trade Name Use Agreement during 1999 was approximately $8.7 million, of which approximately $6.5 million has been paid as of the date of this Annual Report.</w:t>
      </w:r>
    </w:p>
    <w:p>
      <w:pPr>
        <w:spacing w:after="0" w:line="76" w:lineRule="exact"/>
        <w:rPr>
          <w:sz w:val="20"/>
          <w:szCs w:val="20"/>
          <w:color w:val="auto"/>
        </w:rPr>
      </w:pPr>
    </w:p>
    <w:p>
      <w:pPr>
        <w:ind w:right="3539" w:firstLine="763"/>
        <w:spacing w:after="0" w:line="258" w:lineRule="auto"/>
        <w:rPr>
          <w:sz w:val="20"/>
          <w:szCs w:val="20"/>
          <w:color w:val="auto"/>
        </w:rPr>
      </w:pPr>
      <w:r>
        <w:rPr>
          <w:rFonts w:ascii="Courier New" w:cs="Courier New" w:eastAsia="Courier New" w:hAnsi="Courier New"/>
          <w:sz w:val="14"/>
          <w:szCs w:val="14"/>
          <w:color w:val="auto"/>
        </w:rPr>
        <w:t>In connection with the 1999 Merger, the Company entered into lease agreements with CCA with respect to the correctional and detention facilities owned by the Company and operated by CCA (the "CCA Leases"). The terms of the CCA Leases are 12 years which may be extended at fair market rates for three additional five-year periods upon the mutual agreement of the Company and CCA. The total amount of lease payments required to be paid by CCA to the Company during 1999 was approximately $263.5 million, of which approximately $251.6 million has been paid as of the date of this Annual Report. In an effort to address CCA's liquidity needs as discussed herein, the Company and CCA intend to amend the terms of the CCA Leases as described under the heading "--Recent Developments--Proposed Amendment of CCA Leases and Other Agreements."</w:t>
      </w:r>
    </w:p>
    <w:p>
      <w:pPr>
        <w:spacing w:after="0" w:line="82" w:lineRule="exact"/>
        <w:rPr>
          <w:sz w:val="20"/>
          <w:szCs w:val="20"/>
          <w:color w:val="auto"/>
        </w:rPr>
      </w:pPr>
    </w:p>
    <w:p>
      <w:pPr>
        <w:ind w:right="3359" w:firstLine="763"/>
        <w:spacing w:after="0" w:line="250"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services agreement (the "Services Agreement") with CCA pursuant to which CCA agreed to serve as a facilitator of the construction and development of additional facilities on behalf of the Company for a term of five years from the date of the Services Agreement. In such capacity, CCA agreed to perform, at the direction of the Company, such services as are customarily needed in the construction and development of correctional and detention facilities, including services related to construction of the facilities, project bidding, project design, and governmental relations. In consideration for the performance of construction and development services by CCA pursuant to the Services Agreement, the Company agreed to pay a fee equal to 5% of the total capital expenditures (excluding the incentive fee discussed below and the additional 5% fee herein referred to) incurred in connection with the construction and development of a facility, plus an amount equal to approximately $560 per bed for facility preparation services provided by CCA prior to the date on which inmates are first received at such facility. The board of directors of the Company has authorized payments of up to an additional 5% of the total capital expenditures (as determined above) to CCA if additional services are requested by the Company. In connection with such authorization, the Company and CCA entered into an amended and restated services agreement (the "Amended and Restated Services Agreement") authorizing the payment of such additional amount if additional services are requested by the Company. As a result, a majority of the Company's current development projects are subject to a fee totaling 10%. The total amount of fees required to be paid by the Company to CCA pursuant to the Amended and Restated Services Agreement during 1999 was approximately $41.2 million, all of which has been paid. The Company and CCA also intend to amend the terms of the Amended and Restated Services Agreement to defer the payment of fees due under the agreement to CCA from the Company until September 30, 2000 as described under the heading "--Recent Developments--Proposed Amendment of CCA Leases and Other Agreements."</w:t>
      </w:r>
    </w:p>
    <w:p>
      <w:pPr>
        <w:spacing w:after="0" w:line="99" w:lineRule="exact"/>
        <w:rPr>
          <w:sz w:val="20"/>
          <w:szCs w:val="20"/>
          <w:color w:val="auto"/>
        </w:rPr>
      </w:pPr>
    </w:p>
    <w:p>
      <w:pPr>
        <w:ind w:right="3459" w:firstLine="763"/>
        <w:spacing w:after="0" w:line="257"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tenant incentive agreement (the "Tenant Incentive Agreement") with CCA pursuant to which the Company agreed to pay to CCA an incentive fee to induce CCA to enter into CCA Leases with respect to those facilities developed and facilitated by CCA. The amount of the incentive fee was set at $840 per bed for each facility leased by CCA for which CCA served as developer and facilitator. This $840 per bed incentive fee, however, did not include an allowance for rental payments to be paid by CCA. The Company and CCA entered into an amended and restated tenant incentive agreement (the "Amended and Restated Tenant Incentive Agreement"), effective as of January 1, 1999, providing for: (i) a tenant incentive fee of up to $4,000 per bed payable with respect to all future facilities developed and facilitated by CCA, as</w:t>
      </w:r>
    </w:p>
    <w:p>
      <w:pPr>
        <w:spacing w:after="0" w:line="24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5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331"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well as certain other facilities which, although operational on January 1, 1999, had not achieved full occupancy; and (ii) an $840 per bed allowance for all beds in operation at the beginning of January 1999, approximately 21,500 beds, that were not subject to the tenant allowance in the first quarter of 1999. The amount of the amended tenant incentive fee includes an allowance for rental payments to be paid by CCA prior to the facility reaching stabilized occupancy. The term of the Amended and Restated Tenant Incentive Agreement is four years unless extended upon the written agreement of the Company and CCA. The total amount of fees required to be paid by the Company to CCA pursuant to the Amended and Restated Tenant Incentive Agreement during 1999 was approximately $68.6 million, all of which has been paid. The Company and CCA also intend to amend the terms of the Amended and Restated Tenant Incentive Agreement to defer the payment of fees due under the agreement to CCA from the Company until September 30, 2000 as described under the heading "--Recent Developments--Proposed Amendment of CCA Leases and Other Agreements."</w:t>
      </w:r>
    </w:p>
    <w:p>
      <w:pPr>
        <w:spacing w:after="0" w:line="82" w:lineRule="exact"/>
        <w:rPr>
          <w:sz w:val="20"/>
          <w:szCs w:val="20"/>
          <w:color w:val="auto"/>
        </w:rPr>
      </w:pPr>
    </w:p>
    <w:p>
      <w:pPr>
        <w:ind w:right="3539" w:firstLine="763"/>
        <w:spacing w:after="0" w:line="254" w:lineRule="auto"/>
        <w:rPr>
          <w:sz w:val="20"/>
          <w:szCs w:val="20"/>
          <w:color w:val="auto"/>
        </w:rPr>
      </w:pPr>
      <w:r>
        <w:rPr>
          <w:rFonts w:ascii="Courier New" w:cs="Courier New" w:eastAsia="Courier New" w:hAnsi="Courier New"/>
          <w:sz w:val="14"/>
          <w:szCs w:val="14"/>
          <w:color w:val="auto"/>
        </w:rPr>
        <w:t>Effective January 1, 1999, the Company entered into a business development agreement (the "Business Development Agreement") with CCA which provides that CCA will perform, at the direction of the Company, services designed to assist the Company in identifying and obtaining new business. Pursuant to the agreement, the Company agreed to pay to CCA a total fee equal to 4.5% of the total capital expenditures (excluding the amount of the tenant incentive fee and the services fee discussed above as well as the 4.5% fee referred to herein) incurred in connection with the construction and development of each new facility, or the construction and development of an addition to an existing facility, for which CCA performed business development services. The total amount of fees required to be paid by the Company to CCA pursuant to the Business Development Agreement during 1999 was approximately $15.0 million, all of which has been paid. The Company and CCA also intend to amend the terms of the Business Development Agreement to defer the payment of fees due under the agreement to CCA from the Company until September 30, 2000 as described under the heading "--Recent Developments--Proposed Amendment of CCA Leases and Other Agreements."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AND RELATED TRANSACTIONS</w:t>
      </w:r>
    </w:p>
    <w:p>
      <w:pPr>
        <w:spacing w:after="0" w:line="168" w:lineRule="exact"/>
        <w:rPr>
          <w:sz w:val="20"/>
          <w:szCs w:val="20"/>
          <w:color w:val="auto"/>
        </w:rPr>
      </w:pPr>
    </w:p>
    <w:p>
      <w:pPr>
        <w:ind w:right="3459" w:firstLine="763"/>
        <w:spacing w:after="0" w:line="250" w:lineRule="auto"/>
        <w:rPr>
          <w:sz w:val="20"/>
          <w:szCs w:val="20"/>
          <w:color w:val="auto"/>
        </w:rPr>
      </w:pPr>
      <w:r>
        <w:rPr>
          <w:rFonts w:ascii="Courier New" w:cs="Courier New" w:eastAsia="Courier New" w:hAnsi="Courier New"/>
          <w:sz w:val="14"/>
          <w:szCs w:val="14"/>
          <w:color w:val="auto"/>
        </w:rPr>
        <w:t>BACKGROUND OF THE EQUITY INVESTMENT AND RELATED RESTRUCTURING TRANSACTIONS. Prison Realty, in its current form, is the result of the merger between Old Prison Realty and Old CCA which took place on January 1, 1999. As part of that merger, CCA, PMSI and JJFMSI assumed the business of operating correctional facilities, with CCA being the lessee of a substantial number of Prison Realty's facilities. The agreements and contractual obligations entered into by these parties in connection with these transactions are described in detail under the headings "--the 1999 Merger". The rates on the CCA Leases were set with the intention that the public shareholders of Prison Realty would receive as much of the benefit as possible from owning and operating the correctional facilities, while at the same time Prison Realty would be able to maintain its status as a REIT. This status as a REIT would enable Prison Realty to pay no corporate income tax, but would require it to pay out large amounts of dividends to the Prison Realty shareholders. In fact, the CCA Lease rates were set so that CCA was projected to lose money for the first several years of its existence. Both Prison Realty and CCA believed that CCA would have access to adequate debt financing to fund this deficit until CCA became profitable. After completion of the first quarter of 1999, the first quarter in which operations were conducted in this new structure, the management of Prison Realty and the management of CCA discovered that CCA had not performed as well as projected for several reasons: occupancy rates at its facilities were lower than in 1998; operating expenses were higher as a percentage of revenues than in 1998; and certain aspects of the CCA Leases, including the obligation of CCA to begin making full lease payments even before a facility accepted inmates, adversely affected CCA. As a result, in May 1999, Prison Realty and CCA amended certain of the agreements between them to provide CCA with additional cash flow. The objective of these changes was to allow CCA to be able to continue to make its full lease payments, to allow Prison Realty to continue to make dividend payments to its shareholders and to provide time for CCA to improve its operations so that it might ultimately perform as projected and be able to make its full lease payments. However, after these changes were announced, a chain of events occurred which adversely affected both Prison Realty and CCA. Prison Realty's stock price fell dramatically, resulting in the commencement of shareholder</w:t>
      </w:r>
    </w:p>
    <w:p>
      <w:pPr>
        <w:spacing w:after="0" w:line="25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5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331" w:lineRule="exact"/>
        <w:rPr>
          <w:sz w:val="20"/>
          <w:szCs w:val="20"/>
          <w:color w:val="auto"/>
        </w:rPr>
      </w:pPr>
    </w:p>
    <w:p>
      <w:pPr>
        <w:ind w:right="3459"/>
        <w:spacing w:after="0" w:line="257" w:lineRule="auto"/>
        <w:rPr>
          <w:sz w:val="20"/>
          <w:szCs w:val="20"/>
          <w:color w:val="auto"/>
        </w:rPr>
      </w:pPr>
      <w:r>
        <w:rPr>
          <w:rFonts w:ascii="Courier New" w:cs="Courier New" w:eastAsia="Courier New" w:hAnsi="Courier New"/>
          <w:sz w:val="14"/>
          <w:szCs w:val="14"/>
          <w:color w:val="auto"/>
        </w:rPr>
        <w:t>litigation against Prison Realty and its directors. These events made it more difficult for Prison Realty to raise capital. A lower stock price meant that Prison Realty had more restricted access to equity capital, and the uncertainties caused by the falling stock price, the shareholder litigation and the results of operations at CCA made it much more difficult for Prison Realty to obtain debt financing. In addition, the stock prices of REITs generally suffered in the market during this period as a result of both general market and REIT specific factors. During this time, Prison Realty was trying to raise approximately $300.0 million of debt financing through an offering of high-yield notes. Because of these events and the conditions of the capital markets generally, Prison Realty was only able to raise $100.0 million in this financing, and the notes bore interest at a much higher rate than was expected.</w:t>
      </w:r>
    </w:p>
    <w:p>
      <w:pPr>
        <w:spacing w:after="0" w:line="82" w:lineRule="exact"/>
        <w:rPr>
          <w:sz w:val="20"/>
          <w:szCs w:val="20"/>
          <w:color w:val="auto"/>
        </w:rPr>
      </w:pPr>
    </w:p>
    <w:p>
      <w:pPr>
        <w:ind w:right="3459" w:firstLine="763"/>
        <w:spacing w:after="0" w:line="260" w:lineRule="auto"/>
        <w:rPr>
          <w:sz w:val="20"/>
          <w:szCs w:val="20"/>
          <w:color w:val="auto"/>
        </w:rPr>
      </w:pPr>
      <w:r>
        <w:rPr>
          <w:rFonts w:ascii="Courier New" w:cs="Courier New" w:eastAsia="Courier New" w:hAnsi="Courier New"/>
          <w:sz w:val="14"/>
          <w:szCs w:val="14"/>
          <w:color w:val="auto"/>
        </w:rPr>
        <w:t>In addition, during the summer of 1999, the Company was able to increase its credit facility from $650.0 million to $1.0 billion. However, this financing had higher interest rates and transaction costs and also put other significant requirements on the Company. One of the financing requirements was that the Company raise $100.0 million and CCA raise $25.0 million in new equity in order for the Company to make the distributions that would be necessary to enable the Company to qualify as a REIT with respect to its 1999 taxable year in cash; provided, however, that such requirement did not prohibit Prison Realty from making such required distributions in certain combinations of its securities.</w:t>
      </w:r>
    </w:p>
    <w:p>
      <w:pPr>
        <w:spacing w:after="0" w:line="76" w:lineRule="exact"/>
        <w:rPr>
          <w:sz w:val="20"/>
          <w:szCs w:val="20"/>
          <w:color w:val="auto"/>
        </w:rPr>
      </w:pPr>
    </w:p>
    <w:p>
      <w:pPr>
        <w:ind w:right="3619" w:firstLine="763"/>
        <w:spacing w:after="0" w:line="286" w:lineRule="auto"/>
        <w:rPr>
          <w:sz w:val="20"/>
          <w:szCs w:val="20"/>
          <w:color w:val="auto"/>
        </w:rPr>
      </w:pPr>
      <w:r>
        <w:rPr>
          <w:rFonts w:ascii="Courier New" w:cs="Courier New" w:eastAsia="Courier New" w:hAnsi="Courier New"/>
          <w:sz w:val="14"/>
          <w:szCs w:val="14"/>
          <w:color w:val="auto"/>
        </w:rPr>
        <w:t>In order to address the capital and liquidity constraints facing the Company and concerns regarding the corporate structure and management of the Company, the Company intends to complete a comprehensive restructuring (the "Restructuring") pursuant to which the Company will:</w:t>
      </w:r>
    </w:p>
    <w:p>
      <w:pPr>
        <w:spacing w:after="0" w:line="59" w:lineRule="exact"/>
        <w:rPr>
          <w:sz w:val="20"/>
          <w:szCs w:val="20"/>
          <w:color w:val="auto"/>
        </w:rPr>
      </w:pPr>
    </w:p>
    <w:p>
      <w:pPr>
        <w:ind w:left="1540" w:right="3539" w:hanging="770"/>
        <w:spacing w:after="0" w:line="286" w:lineRule="auto"/>
        <w:tabs>
          <w:tab w:leader="none" w:pos="15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combine with each of CCA, PMSI and JJFMSI and operate under the name "Corrections Corporation of America" as a taxable C corporation, rather than as a REIT, for federal income tax purposes (the "Combination");</w:t>
      </w:r>
    </w:p>
    <w:p>
      <w:pPr>
        <w:spacing w:after="0" w:line="59" w:lineRule="exact"/>
        <w:rPr>
          <w:rFonts w:ascii="Courier New" w:cs="Courier New" w:eastAsia="Courier New" w:hAnsi="Courier New"/>
          <w:sz w:val="14"/>
          <w:szCs w:val="14"/>
          <w:color w:val="auto"/>
        </w:rPr>
      </w:pPr>
    </w:p>
    <w:p>
      <w:pPr>
        <w:ind w:left="1540" w:hanging="770"/>
        <w:spacing w:after="0"/>
        <w:tabs>
          <w:tab w:leader="none" w:pos="15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raise additional equity (the "Equity Investment");</w:t>
      </w:r>
    </w:p>
    <w:p>
      <w:pPr>
        <w:spacing w:after="0" w:line="167" w:lineRule="exact"/>
        <w:rPr>
          <w:rFonts w:ascii="Courier New" w:cs="Courier New" w:eastAsia="Courier New" w:hAnsi="Courier New"/>
          <w:sz w:val="14"/>
          <w:szCs w:val="14"/>
          <w:color w:val="auto"/>
        </w:rPr>
      </w:pPr>
    </w:p>
    <w:p>
      <w:pPr>
        <w:jc w:val="both"/>
        <w:ind w:left="1540" w:right="3879" w:hanging="770"/>
        <w:spacing w:after="0" w:line="366" w:lineRule="auto"/>
        <w:tabs>
          <w:tab w:leader="none" w:pos="15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refinance all or a portion of its existing indebtedness, including its existing $1.0 billion credit facility; and</w:t>
      </w:r>
    </w:p>
    <w:p>
      <w:pPr>
        <w:spacing w:after="0" w:line="5" w:lineRule="exact"/>
        <w:rPr>
          <w:rFonts w:ascii="Courier New" w:cs="Courier New" w:eastAsia="Courier New" w:hAnsi="Courier New"/>
          <w:sz w:val="14"/>
          <w:szCs w:val="14"/>
          <w:color w:val="auto"/>
        </w:rPr>
      </w:pPr>
    </w:p>
    <w:p>
      <w:pPr>
        <w:ind w:left="1540" w:hanging="770"/>
        <w:spacing w:after="0"/>
        <w:tabs>
          <w:tab w:leader="none" w:pos="15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restructure existing management.</w:t>
      </w:r>
    </w:p>
    <w:p>
      <w:pPr>
        <w:spacing w:after="0" w:line="168" w:lineRule="exact"/>
        <w:rPr>
          <w:sz w:val="20"/>
          <w:szCs w:val="20"/>
          <w:color w:val="auto"/>
        </w:rPr>
      </w:pPr>
    </w:p>
    <w:p>
      <w:pPr>
        <w:ind w:right="3459" w:firstLine="763"/>
        <w:spacing w:after="0" w:line="256" w:lineRule="auto"/>
        <w:rPr>
          <w:sz w:val="20"/>
          <w:szCs w:val="20"/>
          <w:color w:val="auto"/>
        </w:rPr>
      </w:pPr>
      <w:r>
        <w:rPr>
          <w:rFonts w:ascii="Courier New" w:cs="Courier New" w:eastAsia="Courier New" w:hAnsi="Courier New"/>
          <w:sz w:val="14"/>
          <w:szCs w:val="14"/>
          <w:color w:val="auto"/>
        </w:rPr>
        <w:t>As required by the Company's governing instruments, the Company currently intends to elect to be taxed as a REIT for the year ended December 31, 1999. In the event the Company completes the Fortress/Blackstone Restructuring (as described below) under its existing terms following required shareholder approval in 2000, the Company will be required to be taxed as a C corporation commencing with the taxable year ended December 31, 1999. In either event, the Company expects that it will be taxed as a C corporation in the taxable year ending December 31, 2000 and thereafter. There can be no assurance that the Company will be required not to elect REIT status with respect to its 1999 taxable year under the terms of the Fortress/Blackstone Restructuring or any other Restructuring proposal accepted by the Company. Moreover, there can be no assurance that the Company will qualify to be taxed as a REIT for its 1999 taxable year in the event it elects such. See "--Tax Status."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RESTRUCTURING LED BY AFFILIATES OF FORTRESS AND BLACKSTONE</w:t>
      </w:r>
    </w:p>
    <w:p>
      <w:pPr>
        <w:spacing w:after="0" w:line="168" w:lineRule="exact"/>
        <w:rPr>
          <w:sz w:val="20"/>
          <w:szCs w:val="20"/>
          <w:color w:val="auto"/>
        </w:rPr>
      </w:pPr>
    </w:p>
    <w:p>
      <w:pPr>
        <w:ind w:right="3539" w:firstLine="763"/>
        <w:spacing w:after="0" w:line="266" w:lineRule="auto"/>
        <w:rPr>
          <w:sz w:val="20"/>
          <w:szCs w:val="20"/>
          <w:color w:val="auto"/>
        </w:rPr>
      </w:pPr>
      <w:r>
        <w:rPr>
          <w:rFonts w:ascii="Courier New" w:cs="Courier New" w:eastAsia="Courier New" w:hAnsi="Courier New"/>
          <w:sz w:val="14"/>
          <w:szCs w:val="14"/>
          <w:color w:val="auto"/>
        </w:rPr>
        <w:t>On December 26, 1999, the Company entered into a series of agreements concerning a proposed Restructuring (the "Fortress/Blackstone Restructuring") led by a group of institutional investors consisting of an affiliate of Fortress Investment Group LLC and affiliates of The Blackstone Group, together with an affiliate of Bank of America Corporation (the "Fortress/Blackstone Investors"). Under the terms of the Fortress/Blackstone Restructuring, the Company would:</w:t>
      </w:r>
    </w:p>
    <w:p>
      <w:pPr>
        <w:spacing w:after="0" w:line="23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57"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331" w:lineRule="exact"/>
        <w:rPr>
          <w:sz w:val="20"/>
          <w:szCs w:val="20"/>
          <w:color w:val="auto"/>
        </w:rPr>
      </w:pPr>
    </w:p>
    <w:p>
      <w:pPr>
        <w:ind w:left="1540" w:right="3539" w:hanging="770"/>
        <w:spacing w:after="0" w:line="366" w:lineRule="auto"/>
        <w:tabs>
          <w:tab w:leader="none" w:pos="15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the Combination and operate as a taxable C corporation commencing with the Company's 1999 taxable year;</w:t>
      </w:r>
    </w:p>
    <w:p>
      <w:pPr>
        <w:spacing w:after="0" w:line="5" w:lineRule="exact"/>
        <w:rPr>
          <w:rFonts w:ascii="Courier New" w:cs="Courier New" w:eastAsia="Courier New" w:hAnsi="Courier New"/>
          <w:sz w:val="14"/>
          <w:szCs w:val="14"/>
          <w:color w:val="auto"/>
        </w:rPr>
      </w:pPr>
    </w:p>
    <w:p>
      <w:pPr>
        <w:ind w:left="1540" w:right="3619" w:hanging="770"/>
        <w:spacing w:after="0" w:line="266" w:lineRule="auto"/>
        <w:tabs>
          <w:tab w:leader="none" w:pos="15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raise up to $350.0 million by selling shares of convertible preferred stock and warrants to purchase shares of common stock to the Fortress/Blackstone Investors in a private placement (the "Fortress/Blackstone Equity Investment") and to the Company's existing common shareholders in a $75.0 million rights offering (the "Fortress/Blackstone Rights Offering");</w:t>
      </w:r>
    </w:p>
    <w:p>
      <w:pPr>
        <w:spacing w:after="0" w:line="74" w:lineRule="exact"/>
        <w:rPr>
          <w:rFonts w:ascii="Courier New" w:cs="Courier New" w:eastAsia="Courier New" w:hAnsi="Courier New"/>
          <w:sz w:val="14"/>
          <w:szCs w:val="14"/>
          <w:color w:val="auto"/>
        </w:rPr>
      </w:pPr>
    </w:p>
    <w:p>
      <w:pPr>
        <w:ind w:left="1540" w:hanging="770"/>
        <w:spacing w:after="0"/>
        <w:tabs>
          <w:tab w:leader="none" w:pos="15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 new $1.2 billion credit facility;</w:t>
      </w:r>
    </w:p>
    <w:p>
      <w:pPr>
        <w:spacing w:after="0" w:line="167" w:lineRule="exact"/>
        <w:rPr>
          <w:rFonts w:ascii="Courier New" w:cs="Courier New" w:eastAsia="Courier New" w:hAnsi="Courier New"/>
          <w:sz w:val="14"/>
          <w:szCs w:val="14"/>
          <w:color w:val="auto"/>
        </w:rPr>
      </w:pPr>
    </w:p>
    <w:p>
      <w:pPr>
        <w:ind w:left="1540" w:right="3619" w:hanging="770"/>
        <w:spacing w:after="0" w:line="366" w:lineRule="auto"/>
        <w:tabs>
          <w:tab w:leader="none" w:pos="15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restructure existing management through a newly constituted board of directors and executive management team; and</w:t>
      </w:r>
    </w:p>
    <w:p>
      <w:pPr>
        <w:spacing w:after="0" w:line="5" w:lineRule="exact"/>
        <w:rPr>
          <w:rFonts w:ascii="Courier New" w:cs="Courier New" w:eastAsia="Courier New" w:hAnsi="Courier New"/>
          <w:sz w:val="14"/>
          <w:szCs w:val="14"/>
          <w:color w:val="auto"/>
        </w:rPr>
      </w:pPr>
    </w:p>
    <w:p>
      <w:pPr>
        <w:ind w:left="1540" w:right="3359" w:hanging="770"/>
        <w:spacing w:after="0" w:line="366" w:lineRule="auto"/>
        <w:tabs>
          <w:tab w:leader="none" w:pos="15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the Company's existing charter and bylaws to accommodate the Fortress/Blackstone Restructuring.</w:t>
      </w:r>
    </w:p>
    <w:p>
      <w:pPr>
        <w:spacing w:after="0" w:line="6" w:lineRule="exact"/>
        <w:rPr>
          <w:sz w:val="20"/>
          <w:szCs w:val="20"/>
          <w:color w:val="auto"/>
        </w:rPr>
      </w:pPr>
    </w:p>
    <w:p>
      <w:pPr>
        <w:ind w:right="3459" w:firstLine="763"/>
        <w:spacing w:after="0" w:line="261" w:lineRule="auto"/>
        <w:rPr>
          <w:sz w:val="20"/>
          <w:szCs w:val="20"/>
          <w:color w:val="auto"/>
        </w:rPr>
      </w:pPr>
      <w:r>
        <w:rPr>
          <w:rFonts w:ascii="Courier New" w:cs="Courier New" w:eastAsia="Courier New" w:hAnsi="Courier New"/>
          <w:sz w:val="14"/>
          <w:szCs w:val="14"/>
          <w:color w:val="auto"/>
        </w:rPr>
        <w:t>Approval of the holders of the Company's Common Stock will be required in order to complete the Fortress/Blackstone Restructuring and related transactions. In this regard, on February 17, 2000, the Company filed a preliminary proxy statement with the Commission under Section 14(a) of the Exchange Act (the "Preliminary Proxy Statement") to be used in connection with a special meeting of the Company's shareholders expected to be held during the second quarter of 2000. The Fortress/Blackstone Restructuring and related transactions are described in detail in the Preliminary Proxy Statement, as well as set forth below.</w:t>
      </w:r>
    </w:p>
    <w:p>
      <w:pPr>
        <w:spacing w:after="0" w:line="78" w:lineRule="exact"/>
        <w:rPr>
          <w:sz w:val="20"/>
          <w:szCs w:val="20"/>
          <w:color w:val="auto"/>
        </w:rPr>
      </w:pPr>
    </w:p>
    <w:p>
      <w:pPr>
        <w:ind w:right="3459" w:firstLine="763"/>
        <w:spacing w:after="0" w:line="257" w:lineRule="auto"/>
        <w:rPr>
          <w:sz w:val="20"/>
          <w:szCs w:val="20"/>
          <w:color w:val="auto"/>
        </w:rPr>
      </w:pPr>
      <w:r>
        <w:rPr>
          <w:rFonts w:ascii="Courier New" w:cs="Courier New" w:eastAsia="Courier New" w:hAnsi="Courier New"/>
          <w:sz w:val="14"/>
          <w:szCs w:val="14"/>
          <w:color w:val="auto"/>
        </w:rPr>
        <w:t>THE COMBINATION. As a part of the Fortress/Blackstone Restructuring, the Company expects to complete the Combination pursuant to the terms of an Agreement and Plan of Merger, dated December 26, 1999, by and among the Company, three newly-formed wholly-owned subsidiaries of the Company, CCA, PMSI and JJFMSI (the "Merger Agreement"). Pursuant to the current terms of the Merger Agreement, the Company will be taxed as a C corporation, rather than as a REIT, commencing with its 1999 taxable year. The Company is currently in discussions with Fortress/Blackstone Investors regarding the Company's election to be taxed as a REIT with respect to the Company's 1999 taxable year, as well as certain other terms of the Fortress/Blackstone Restructuring. The completion of the Combination is a condition to the Fortress/Blackstone Equity Investment, as set forth below.</w:t>
      </w:r>
    </w:p>
    <w:p>
      <w:pPr>
        <w:spacing w:after="0" w:line="82" w:lineRule="exact"/>
        <w:rPr>
          <w:sz w:val="20"/>
          <w:szCs w:val="20"/>
          <w:color w:val="auto"/>
        </w:rPr>
      </w:pPr>
    </w:p>
    <w:p>
      <w:pPr>
        <w:ind w:right="3459" w:firstLine="763"/>
        <w:spacing w:after="0" w:line="255" w:lineRule="auto"/>
        <w:rPr>
          <w:sz w:val="20"/>
          <w:szCs w:val="20"/>
          <w:color w:val="auto"/>
        </w:rPr>
      </w:pPr>
      <w:r>
        <w:rPr>
          <w:rFonts w:ascii="Courier New" w:cs="Courier New" w:eastAsia="Courier New" w:hAnsi="Courier New"/>
          <w:sz w:val="14"/>
          <w:szCs w:val="14"/>
          <w:color w:val="auto"/>
        </w:rPr>
        <w:t>As provided for in the Merger Agreement, each of CCA, PMSI and JJFMSI will be merged with and into the three newly-formed wholly-owned subsidiaries of the Company. Immediately prior to the Combination, the Company will purchase all of the shares of the common stock of CCA, PMSI and JJFMSI held by outside, or non-management and non-employee, shareholders of CCA, PMSI and JJFMSI for approximately $26.6 million in cash. At the time of the Combination, management and employee shareholders of CCA, PMSI and JJFMSI will receive shares of the Company's Common Stock valued at approximately $12.8 million as merger consideration. The shares of the Company's Common Stock received by wardens of correctional facilities in the Combination will be subject to vesting and forfeiture provisions under the terms of a restricted stock plan, while shares of the Company's Common Stock received by management shareholders of CCA will be subject to restrictions on transfer which prohibit transfers for 180 days after the completion of the Combination, and allow only specified percentages to be transferred until 2004.</w:t>
      </w:r>
    </w:p>
    <w:p>
      <w:pPr>
        <w:spacing w:after="0" w:line="82" w:lineRule="exact"/>
        <w:rPr>
          <w:sz w:val="20"/>
          <w:szCs w:val="20"/>
          <w:color w:val="auto"/>
        </w:rPr>
      </w:pPr>
    </w:p>
    <w:p>
      <w:pPr>
        <w:ind w:right="3459" w:firstLine="763"/>
        <w:spacing w:after="0" w:line="257" w:lineRule="auto"/>
        <w:rPr>
          <w:sz w:val="20"/>
          <w:szCs w:val="20"/>
          <w:color w:val="auto"/>
        </w:rPr>
      </w:pPr>
      <w:r>
        <w:rPr>
          <w:rFonts w:ascii="Courier New" w:cs="Courier New" w:eastAsia="Courier New" w:hAnsi="Courier New"/>
          <w:sz w:val="14"/>
          <w:szCs w:val="14"/>
          <w:color w:val="auto"/>
        </w:rPr>
        <w:t>THE FORTRESS/BLACKSTONE EQUITY INVESTMENT AND THE FORTRESS/BLACKSTONE RIGHTS OFFERING. The terms of the Fortress/Blackstone Equity Investment and the Fortress/Blackstone Rights Offering are set forth in a Securities Purchase Agreement, dated December 26, 1999, as amended on February 28, 2000, by and among the Company, CCA, PMSI and JJFMSI, on the one hand, and an affiliate of the Fortress/Blackstone Investors, on the other hand (the "Securities Purchase Agreement"). Under the terms of the Securities Purchase Agreement, the Fortress/Blackstone Investors will purchase up to $350.0 million of the Company's convertible securities, consisting of up to 14.0 million shares of the Company's newly-issued series B convertible preferred stock (the "Series B Convertible Preferred Stock") and warrants ("Warrants") to purchase such number of shares of Common Stock equal to 14% of the shares of Common Stock issued</w:t>
      </w:r>
    </w:p>
    <w:p>
      <w:pPr>
        <w:spacing w:after="0" w:line="24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5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331" w:lineRule="exact"/>
        <w:rPr>
          <w:sz w:val="20"/>
          <w:szCs w:val="20"/>
          <w:color w:val="auto"/>
        </w:rPr>
      </w:pPr>
    </w:p>
    <w:p>
      <w:pPr>
        <w:ind w:right="3459"/>
        <w:spacing w:after="0" w:line="251" w:lineRule="auto"/>
        <w:rPr>
          <w:sz w:val="20"/>
          <w:szCs w:val="20"/>
          <w:color w:val="auto"/>
        </w:rPr>
      </w:pPr>
      <w:r>
        <w:rPr>
          <w:rFonts w:ascii="Courier New" w:cs="Courier New" w:eastAsia="Courier New" w:hAnsi="Courier New"/>
          <w:sz w:val="14"/>
          <w:szCs w:val="14"/>
          <w:color w:val="auto"/>
        </w:rPr>
        <w:t>and outstanding, on a fully diluted basis, after giving effect to the Combination and the issuance and sale of convertible preferred stock in the Fortress/Blackstone Equity Investment (currently expected to equal approximately 29.6 million shares). The Securities Purchase Agreement provides that in connection with the Fortress/Blackstone Investors' purchase of securities, the Company will conduct the Fortress/Blackstone Rights Offering, in which the Company will offer its common shareholders the right to purchase $75.0 million of the Company's convertible securities, consisting of up to three million shares of the Company's newly-issued series C convertible preferred stock (the "Series C Convertible Preferred Stock") and Warrants to purchase such number of shares of Common Stock equal to 3% of the shares of Common Stock issued and outstanding, on a fully diluted basis, after giving effect to the Combination and the issuance and sale of convertible preferred stock in the Fortress/Blackstone Equity Investment (currently expected to equal approximately 6.3 million shares of common stock). The aggregate amount of Series B Convertible Preferred Stock and Warrants purchased by the Fortress/Blackstone Investors will be reduced dollar for dollar to the extent the Company's common shareholders exercise the non-transferable rights issued to them in the Fortress/Blackstone Rights Offering. In the event the Fortress/Blackstone Investors purchase the full $350.0 million in shares of Series B Convertible Preferred Stock and Warrants, the Fortress/Blackstone Investors will beneficially own approximately 39.5% of the Company's Common Stock, on a fully-diluted basis, and, through their ownership of the Series B Convertible Preferred Stock, will hold approximately 25.5% of the voting power of the Company. These percentages will be reduced to approximately 31% and 20%, respectively, in the event the Fortress/Blackstone Rights Offering is fully subscribed and the Fortress/Blackstone Investors purchase only $275.0 million in shares of Series B Convertible Preferred Stock and Warrants.</w:t>
      </w:r>
    </w:p>
    <w:p>
      <w:pPr>
        <w:spacing w:after="0" w:line="85" w:lineRule="exact"/>
        <w:rPr>
          <w:sz w:val="20"/>
          <w:szCs w:val="20"/>
          <w:color w:val="auto"/>
        </w:rPr>
      </w:pPr>
    </w:p>
    <w:p>
      <w:pPr>
        <w:ind w:right="3459" w:firstLine="763"/>
        <w:spacing w:after="0" w:line="251" w:lineRule="auto"/>
        <w:rPr>
          <w:sz w:val="20"/>
          <w:szCs w:val="20"/>
          <w:color w:val="auto"/>
        </w:rPr>
      </w:pPr>
      <w:r>
        <w:rPr>
          <w:rFonts w:ascii="Courier New" w:cs="Courier New" w:eastAsia="Courier New" w:hAnsi="Courier New"/>
          <w:sz w:val="14"/>
          <w:szCs w:val="14"/>
          <w:color w:val="auto"/>
        </w:rPr>
        <w:t>The completion of the Fortress/Blackstone Equity Investment by the Fortress/Blackstone Investors is subject to various conditions contained in the Securities Purchase Agreement, including: (i) the satisfaction by the Company of the following financial covenants including: (A) a covenant requiring the EBITDA of the Company, CCA, PMSI and JJFMSI, on a combined consolidated basis, for the first fiscal quarter of 2000 to be equal to or greater than $44.3 million, and (B) a covenant limiting the companies' "consolidated net debt" immediately prior to the equity investment to $987.0 million; (ii) the absence of any "material adverse change" in the business or operations of the Company, CCA, PMSI or JJFMSI taken as a whole; (iii) the resolution of the Company's outstanding securities litigation, as more fully described in "- Recent Litigation", or the Company obtaining insurance regarding the securities litigation in a form satisfactory to the Fortress/Blackstone Investors; or (iv) the refinancing of the Company's existing bank credit facility through an aggregate of $1.2 billion in senior secured credit facilities as described in the December 26, 1999 commitment from Credit Suisse First Boston ("CSFB"), as described below. Although the first fiscal quarter of 2000 is not complete, the Company has conducted a preliminary review of the companies' anticipated results and has concluded that there is a substantial likelihood that these financial covenants will not be satisfied and has notified the Fortress/Blackstone Investors of this conclusion. In addition, there can be no assurance that the other conditions described above will be satisfied. If these conditions are not satisfied, the Fortress/Blackstone Investors will be under no obligation to complete the Fortress/Blackstone Equity Investment. The Fortress/Blackstone Investors may, at their sole discretion, waive the requirement that the Company comply with these conditions and elect to complete the Fortress/Blackstone Equity Investment. There can be no assurance, however, that the Fortress/Blackstone Investors will waive such non-compliance and complete the Fortress/Blackstone Equity Investment.</w:t>
      </w:r>
    </w:p>
    <w:p>
      <w:pPr>
        <w:spacing w:after="0" w:line="82" w:lineRule="exact"/>
        <w:rPr>
          <w:sz w:val="20"/>
          <w:szCs w:val="20"/>
          <w:color w:val="auto"/>
        </w:rPr>
      </w:pPr>
    </w:p>
    <w:p>
      <w:pPr>
        <w:ind w:right="3459" w:firstLine="763"/>
        <w:spacing w:after="0" w:line="254" w:lineRule="auto"/>
        <w:rPr>
          <w:sz w:val="20"/>
          <w:szCs w:val="20"/>
          <w:color w:val="auto"/>
        </w:rPr>
      </w:pPr>
      <w:r>
        <w:rPr>
          <w:rFonts w:ascii="Courier New" w:cs="Courier New" w:eastAsia="Courier New" w:hAnsi="Courier New"/>
          <w:sz w:val="14"/>
          <w:szCs w:val="14"/>
          <w:color w:val="auto"/>
        </w:rPr>
        <w:t>The shares of Series B Convertible Preferred Stock to be issued and sold to the Fortress/Blackstone Investors pursuant to the Securities Purchase Agreement will generally pay dividends quarterly, on a cumulative basis, at a rate of 12% per year. Each share of Series B Convertible Preferred Stock may be converted, at the option of its holder, into a number of shares of Common Stock equal to $25.00 divided by the conversion price of the Series B Convertible Preferred Stock. The Series B Convertible Preferred Stock will have an initial conversion price of $6.50, subject to adjustment under certain circumstances. Each holder of the Series B Convertible Preferred Stock will also have the option after approximately five years from the date of issuance, or upon a "change in control" of the Company, to require the Company to repurchase the shares at a cash price equal to a fixed amount per share, plus an amount equal to a total return on investment of 18% per year, taking into account the cash dividends paid by the Company on such stock. The Series B Convertible Preferred Stock may also be redeemed by the Company after the later of five years from the date of issuance or 91 days after the repayment of the Company's outstanding 12% senior notes due 2006 (the</w:t>
      </w:r>
    </w:p>
    <w:p>
      <w:pPr>
        <w:sectPr>
          <w:pgSz w:w="11900" w:h="16838" w:orient="portrait"/>
          <w:cols w:equalWidth="0" w:num="1">
            <w:col w:w="10159"/>
          </w:cols>
          <w:pgMar w:left="300" w:top="257" w:right="1440" w:bottom="1440" w:gutter="0" w:footer="0" w:header="0"/>
        </w:sectPr>
      </w:pPr>
    </w:p>
    <w:p>
      <w:pPr>
        <w:spacing w:after="0" w:line="245" w:lineRule="exact"/>
        <w:rPr>
          <w:sz w:val="20"/>
          <w:szCs w:val="20"/>
          <w:color w:val="auto"/>
        </w:rPr>
      </w:pPr>
    </w:p>
    <w:p>
      <w:pPr>
        <w:ind w:left="332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159"/>
          </w:cols>
          <w:pgMar w:left="300" w:top="257"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331"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"Senior Notes"). The holders of the Series B Convertible Preferred Stock will vote together with the holders of the Company's Common Stock on an as-converted basis on general corporate actions and will vote as a separate class on certain specified matters, including the election of certain directors. The Warrants to be issued and sold to the Fortress/Blackstone Investors will be exercisable for a period of 15 years from the date of issuance and will have an initial exercise price of $7.50 per share, which is subject to adjustment on the same terms as applicable to the Series B Convertible Preferred Stock. The rights and preferences of the shares of Series C Convertible Preferred Stock to be issued and sold in the Fortress/Blackstone Rights Offering, if any, are identical to the rights and preferences of the shares of Series B Convertible Preferred Stock, with the exception that the holders of the Series C Convertible Preferred Stock will not be entitled to elect a separate class of directors or have special class approval rights. The economic terms of the Warrants to be issued in the Fortress/Blackstone Rights Offering, if any, are identical to the Warrants to be issued and sold to the Investors.</w:t>
      </w:r>
    </w:p>
    <w:p>
      <w:pPr>
        <w:spacing w:after="0" w:line="87" w:lineRule="exact"/>
        <w:rPr>
          <w:sz w:val="20"/>
          <w:szCs w:val="20"/>
          <w:color w:val="auto"/>
        </w:rPr>
      </w:pPr>
    </w:p>
    <w:p>
      <w:pPr>
        <w:ind w:right="3459" w:firstLine="763"/>
        <w:spacing w:after="0" w:line="266" w:lineRule="auto"/>
        <w:rPr>
          <w:sz w:val="20"/>
          <w:szCs w:val="20"/>
          <w:color w:val="auto"/>
        </w:rPr>
      </w:pPr>
      <w:r>
        <w:rPr>
          <w:rFonts w:ascii="Courier New" w:cs="Courier New" w:eastAsia="Courier New" w:hAnsi="Courier New"/>
          <w:sz w:val="14"/>
          <w:szCs w:val="14"/>
          <w:color w:val="auto"/>
        </w:rPr>
        <w:t>The proceeds from the Fortress/Blackstone Equity Investment and the Fortress/Blackstone Rights Offering, together with the proceeds from the debt refinancing, as discussed below, would be used to repay the Company's and CCA's existing bank indebtedness and to pay certain transaction costs associated with the Combination, the Fortress/Blackstone Equity Investment and the Fortress/Blackstone Rights Offering. The balance of the proceeds would be used for working capital and to fund the Company's business development strategy.</w:t>
      </w:r>
    </w:p>
    <w:p>
      <w:pPr>
        <w:spacing w:after="0" w:line="74" w:lineRule="exact"/>
        <w:rPr>
          <w:sz w:val="20"/>
          <w:szCs w:val="20"/>
          <w:color w:val="auto"/>
        </w:rPr>
      </w:pPr>
    </w:p>
    <w:p>
      <w:pPr>
        <w:ind w:right="3459" w:firstLine="763"/>
        <w:spacing w:after="0" w:line="252" w:lineRule="auto"/>
        <w:rPr>
          <w:sz w:val="20"/>
          <w:szCs w:val="20"/>
          <w:color w:val="auto"/>
        </w:rPr>
      </w:pPr>
      <w:r>
        <w:rPr>
          <w:rFonts w:ascii="Courier New" w:cs="Courier New" w:eastAsia="Courier New" w:hAnsi="Courier New"/>
          <w:sz w:val="14"/>
          <w:szCs w:val="14"/>
          <w:color w:val="auto"/>
        </w:rPr>
        <w:t>NEW DEBT FINANCING. In connection with the Restructuring, the Company will refinance its existing bank indebtedness. As a condition to the Fortress/Blackstone Restructuring, the Company will refinance its existing bank indebtedness through an aggregate of $1.2 billion in senior secured credit facilities, comprised of a new $950.0 million term facility and a new $250.0 million revolving facility, for which the Company has received a commitment letter dated December 26, 1999 from CSFB. Under the terms of the commitment letter with CSFB, CSFB will act as the administrative agent and lead arranger for a syndicate of lenders which will provide the new credit facilities. The $950.0 million term facility will be comprised of a $250.0 million tranche A term loan and a $700.0 million tranche B term loan. The revolving facility and the tranche A term loan facility will have a six year term, and the tranche B term loan facility will have an eight year term. Under the terms of the commitment letter, at the Company's option, the interest rates for the new senior secured credit facilities will be based upon: (i) LIBOR plus 3% per annum for the revolving facility and the tranche A term loan; and (ii) LIBOR plus 3.5% per annum for the tranche B term loan, or will be based on an alternative base rate plus applicable spreads of: (i) 2% per annum for the revolving facility and the tranche A term loan; and (ii) 2.5% per annum for the tranche B term loan. Under the terms of the commitment letter, the Company, may, at its option, issue up to $375.0 million in senior subordinated notes in lieu of $175.0 million of the senior secured credit facilities' term loans.</w:t>
      </w:r>
    </w:p>
    <w:p>
      <w:pPr>
        <w:spacing w:after="0" w:line="87" w:lineRule="exact"/>
        <w:rPr>
          <w:sz w:val="20"/>
          <w:szCs w:val="20"/>
          <w:color w:val="auto"/>
        </w:rPr>
      </w:pPr>
    </w:p>
    <w:p>
      <w:pPr>
        <w:ind w:right="3359" w:firstLine="763"/>
        <w:spacing w:after="0" w:line="251" w:lineRule="auto"/>
        <w:rPr>
          <w:sz w:val="20"/>
          <w:szCs w:val="20"/>
          <w:color w:val="auto"/>
        </w:rPr>
      </w:pPr>
      <w:r>
        <w:rPr>
          <w:rFonts w:ascii="Courier New" w:cs="Courier New" w:eastAsia="Courier New" w:hAnsi="Courier New"/>
          <w:sz w:val="14"/>
          <w:szCs w:val="14"/>
          <w:color w:val="auto"/>
        </w:rPr>
        <w:t>CSFB's commitment to provide the new credit facilities is conditioned upon, among other things, (i) consummation of the Fortress/Blackstone Equity Investment, (ii) that the Company, CCA, PMSI and JJFMSI, on a combined consolidated basis, have EBITDA for the first quarter of 2000 of not less than $43.0 million, (iii) the absence of any material adverse effect on the business, financial condition, results of operations or prospects of the Company, CCA, PMSI and JJFMSI, taken as a whole, since December 31, 1998, other than issues arising out of the Company's outstanding securities litigation, as more fully described in "-Shareholder Litigation," and (iv) the resolution of the Company's outstanding securities litigation, as more fully described in "-Shareholder Litigation," or the Company obtaining insurance satisfactory to CSFB regarding such litigation. In addition, the commitment is conditioned upon the consent of the holders of the Company's convertible, subordinated notes as hereinafter discussed, to the Restructuring and related transactions and the holders not accelerating amounts due under the notes in the event of default under the terms of the notes prior to the completion of the Restructuring. Although the first fiscal quarter of 2000 is not complete, the Company has conducted a preliminary review of the companies' anticipated results and has concluded that there is substantial likelihood that the financial condition to CSFB's commitment will not be satisfied and has notified the Fortress/Blackstone Investors of this conclusion. In addition there can be no assurance that the other conditions of the commitment will be satisfied. If these conditions are not satisfied, CSFB will be under no obligation to provide the new credit facilities. Moreover, the obtaining of the new credit facilities is a condition to the Fortress/Blackstone Investors' obligations under the Securities Purchase Agreement. CFSB may, at its sole discretion,</w:t>
      </w:r>
    </w:p>
    <w:p>
      <w:pPr>
        <w:spacing w:after="0" w:line="25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5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331" w:lineRule="exact"/>
        <w:rPr>
          <w:sz w:val="20"/>
          <w:szCs w:val="20"/>
          <w:color w:val="auto"/>
        </w:rPr>
      </w:pPr>
    </w:p>
    <w:p>
      <w:pPr>
        <w:ind w:right="3539"/>
        <w:spacing w:after="0" w:line="306" w:lineRule="auto"/>
        <w:rPr>
          <w:sz w:val="20"/>
          <w:szCs w:val="20"/>
          <w:color w:val="auto"/>
        </w:rPr>
      </w:pPr>
      <w:r>
        <w:rPr>
          <w:rFonts w:ascii="Courier New" w:cs="Courier New" w:eastAsia="Courier New" w:hAnsi="Courier New"/>
          <w:sz w:val="14"/>
          <w:szCs w:val="14"/>
          <w:color w:val="auto"/>
        </w:rPr>
        <w:t>waive the requirement that the Company comply with these conditions and elect to provide the new credit facilities. There can be no assurance, however, that CFSB will waive such non-compliance and provide the new credit facilities.</w:t>
      </w:r>
    </w:p>
    <w:p>
      <w:pPr>
        <w:spacing w:after="0" w:line="209" w:lineRule="exact"/>
        <w:rPr>
          <w:sz w:val="20"/>
          <w:szCs w:val="20"/>
          <w:color w:val="auto"/>
        </w:rPr>
      </w:pPr>
    </w:p>
    <w:p>
      <w:pPr>
        <w:ind w:right="3459" w:firstLine="763"/>
        <w:spacing w:after="0" w:line="252" w:lineRule="auto"/>
        <w:rPr>
          <w:sz w:val="20"/>
          <w:szCs w:val="20"/>
          <w:color w:val="auto"/>
        </w:rPr>
      </w:pPr>
      <w:r>
        <w:rPr>
          <w:rFonts w:ascii="Courier New" w:cs="Courier New" w:eastAsia="Courier New" w:hAnsi="Courier New"/>
          <w:sz w:val="14"/>
          <w:szCs w:val="14"/>
          <w:color w:val="auto"/>
        </w:rPr>
        <w:t>RESTRUCTURING OF EXISTING MANAGEMENT. Pursuant to the terms of the Fortress/Blackstone Restructuring, the Company's board of directors will be restructured and will consist of 10 members, comprised of four members from the Company's existing board, four members designated by the Fortress/Blackstone Investors (the "Series B Directors"), and two members jointly designated by the Company's existing directors and the Fortress/Blackstone Investors. Thomas W. Beasley, Jean-Pierre Cuny and Joseph V. Russell, together with an additional member of Prison Realty's existing board yet to be determined, will continue to serve as members of the Company's board of directors, while the Fortress/Blackstone Investors' designees, as well as the joint designees, have yet to be determined. Under Maryland law, each of these directors must stand for election at the next annual meeting of the Company's shareholders following their appointment. Only the holders of the Series B Convertible Preferred Stock will have the right to vote in the election of the four Series B Directors at such meeting and at any future annual meetings. Holders of the Series B Convertible Preferred Stock will have the right to vote together with the Company's common shareholders in the election of the remaining directors at such meetings. Following the Fortress/Blackstone Equity Investment, Doctor R. Crants will resign as the Company's Chief Executive Officer and Mr. Beasley will serve as the interim Chief Executive Officer while continuing to serve as the Chairman of the Company's board of directors. The Company has begun a search for a new permanent Chief Executive Officer, as well as a new Chief Financial Officer.</w:t>
      </w:r>
    </w:p>
    <w:p>
      <w:pPr>
        <w:spacing w:after="0" w:line="84" w:lineRule="exact"/>
        <w:rPr>
          <w:sz w:val="20"/>
          <w:szCs w:val="20"/>
          <w:color w:val="auto"/>
        </w:rPr>
      </w:pPr>
    </w:p>
    <w:p>
      <w:pPr>
        <w:ind w:right="3539" w:firstLine="763"/>
        <w:spacing w:after="0" w:line="306" w:lineRule="auto"/>
        <w:rPr>
          <w:sz w:val="20"/>
          <w:szCs w:val="20"/>
          <w:color w:val="auto"/>
        </w:rPr>
      </w:pPr>
      <w:r>
        <w:rPr>
          <w:rFonts w:ascii="Courier New" w:cs="Courier New" w:eastAsia="Courier New" w:hAnsi="Courier New"/>
          <w:sz w:val="14"/>
          <w:szCs w:val="14"/>
          <w:color w:val="auto"/>
        </w:rPr>
        <w:t>AMENDMENTS TO CHARTER AND BYLAWS. Immediately prior to the closing of the Combination, the Company will amend its charter to make the following changes, among others:</w:t>
      </w:r>
    </w:p>
    <w:p>
      <w:pPr>
        <w:spacing w:after="0" w:line="46" w:lineRule="exact"/>
        <w:rPr>
          <w:sz w:val="20"/>
          <w:szCs w:val="20"/>
          <w:color w:val="auto"/>
        </w:rPr>
      </w:pPr>
    </w:p>
    <w:p>
      <w:pPr>
        <w:ind w:left="1540" w:right="3879" w:hanging="770"/>
        <w:spacing w:after="0" w:line="366" w:lineRule="auto"/>
        <w:tabs>
          <w:tab w:leader="none" w:pos="1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Company's name to "Corrections Corporation of America;"</w:t>
      </w:r>
    </w:p>
    <w:p>
      <w:pPr>
        <w:spacing w:after="0" w:line="5" w:lineRule="exact"/>
        <w:rPr>
          <w:rFonts w:ascii="Courier New" w:cs="Courier New" w:eastAsia="Courier New" w:hAnsi="Courier New"/>
          <w:sz w:val="14"/>
          <w:szCs w:val="14"/>
          <w:color w:val="auto"/>
        </w:rPr>
      </w:pPr>
    </w:p>
    <w:p>
      <w:pPr>
        <w:ind w:left="1540" w:hanging="770"/>
        <w:spacing w:after="0"/>
        <w:tabs>
          <w:tab w:leader="none" w:pos="1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authorized capital stock of the Company;</w:t>
      </w:r>
    </w:p>
    <w:p>
      <w:pPr>
        <w:spacing w:after="0" w:line="167" w:lineRule="exact"/>
        <w:rPr>
          <w:rFonts w:ascii="Courier New" w:cs="Courier New" w:eastAsia="Courier New" w:hAnsi="Courier New"/>
          <w:sz w:val="14"/>
          <w:szCs w:val="14"/>
          <w:color w:val="auto"/>
        </w:rPr>
      </w:pPr>
    </w:p>
    <w:p>
      <w:pPr>
        <w:ind w:left="1540" w:right="3459" w:hanging="770"/>
        <w:spacing w:after="0" w:line="366" w:lineRule="auto"/>
        <w:tabs>
          <w:tab w:leader="none" w:pos="1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remove ownership limitations and other provisions relating to REIT status;</w:t>
      </w:r>
    </w:p>
    <w:p>
      <w:pPr>
        <w:spacing w:after="0" w:line="5" w:lineRule="exact"/>
        <w:rPr>
          <w:rFonts w:ascii="Courier New" w:cs="Courier New" w:eastAsia="Courier New" w:hAnsi="Courier New"/>
          <w:sz w:val="14"/>
          <w:szCs w:val="14"/>
          <w:color w:val="auto"/>
        </w:rPr>
      </w:pPr>
    </w:p>
    <w:p>
      <w:pPr>
        <w:ind w:left="1540" w:right="3539" w:hanging="770"/>
        <w:spacing w:after="0" w:line="306" w:lineRule="auto"/>
        <w:tabs>
          <w:tab w:leader="none" w:pos="1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eliminate the classified structure of the Company's board of directors and provide that all directors will be elected on an annual basis for one-year terms; and</w:t>
      </w:r>
    </w:p>
    <w:p>
      <w:pPr>
        <w:spacing w:after="0" w:line="45" w:lineRule="exact"/>
        <w:rPr>
          <w:rFonts w:ascii="Courier New" w:cs="Courier New" w:eastAsia="Courier New" w:hAnsi="Courier New"/>
          <w:sz w:val="14"/>
          <w:szCs w:val="14"/>
          <w:color w:val="auto"/>
        </w:rPr>
      </w:pPr>
    </w:p>
    <w:p>
      <w:pPr>
        <w:ind w:left="1540" w:right="3619" w:hanging="770"/>
        <w:spacing w:after="0" w:line="286" w:lineRule="auto"/>
        <w:tabs>
          <w:tab w:leader="none" w:pos="1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that the number of directors at the time of the amendment and restatement will be four, which number may be increased or decreased by resolution of the Company's board of directors.</w:t>
      </w:r>
    </w:p>
    <w:p>
      <w:pPr>
        <w:spacing w:after="0" w:line="59" w:lineRule="exact"/>
        <w:rPr>
          <w:sz w:val="20"/>
          <w:szCs w:val="20"/>
          <w:color w:val="auto"/>
        </w:rPr>
      </w:pPr>
    </w:p>
    <w:p>
      <w:pPr>
        <w:ind w:right="3459" w:firstLine="763"/>
        <w:spacing w:after="0" w:line="266" w:lineRule="auto"/>
        <w:rPr>
          <w:sz w:val="20"/>
          <w:szCs w:val="20"/>
          <w:color w:val="auto"/>
        </w:rPr>
      </w:pPr>
      <w:r>
        <w:rPr>
          <w:rFonts w:ascii="Courier New" w:cs="Courier New" w:eastAsia="Courier New" w:hAnsi="Courier New"/>
          <w:sz w:val="14"/>
          <w:szCs w:val="14"/>
          <w:color w:val="auto"/>
        </w:rPr>
        <w:t>In connection with the Fortress/Blackstone Restructuring, the Company's board of directors will be increased to 10 members. In addition, the Company will amend its bylaws to establish an investment committee of the board of directors (the "Investment Committee"), which would be designed to oversee certain significant corporate actions, and remove "super-majority" voting requirements for certain board actions that would conflict with the authority of the Investment Committee.</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RESTRUCTURING LED BY PACIFIC LIFE</w:t>
      </w:r>
    </w:p>
    <w:p>
      <w:pPr>
        <w:spacing w:after="0" w:line="168" w:lineRule="exact"/>
        <w:rPr>
          <w:sz w:val="20"/>
          <w:szCs w:val="20"/>
          <w:color w:val="auto"/>
        </w:rPr>
      </w:pPr>
    </w:p>
    <w:p>
      <w:pPr>
        <w:ind w:right="3459" w:firstLine="763"/>
        <w:spacing w:after="0" w:line="256" w:lineRule="auto"/>
        <w:rPr>
          <w:sz w:val="20"/>
          <w:szCs w:val="20"/>
          <w:color w:val="auto"/>
        </w:rPr>
      </w:pPr>
      <w:r>
        <w:rPr>
          <w:rFonts w:ascii="Courier New" w:cs="Courier New" w:eastAsia="Courier New" w:hAnsi="Courier New"/>
          <w:sz w:val="14"/>
          <w:szCs w:val="14"/>
          <w:color w:val="auto"/>
        </w:rPr>
        <w:t>On February 23, 2000, the board of directors of the Company received an unsolicited proposal from Pacific Life Insurance Company ("Pacific Life") regarding a proposed Restructuring intending to serve as an alternative to the Fortress/Blackstone Restructuring and related transactions (the "Pacific Life Restructuring"). The specific terms of the proposal were set forth in detail in a Current Report on Form 8-K filed by the Company with the Commission on March 1, 2000. In connection with the receipt of the unsolicited proposal regarding the Pacific Life Restructuring, the Company's board of directors determined, after reviewing the proposal with its financial and legal advisors, that it is appropriate for the Company and its financial advisors to commence negotiations with Pacific Life regarding a potential Restructuring led by Pacific Life. As set forth in the Form 8-K, the Company does not intend to report on the status of</w:t>
      </w:r>
    </w:p>
    <w:p>
      <w:pPr>
        <w:spacing w:after="0" w:line="24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5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331" w:lineRule="exact"/>
        <w:rPr>
          <w:sz w:val="20"/>
          <w:szCs w:val="20"/>
          <w:color w:val="auto"/>
        </w:rPr>
      </w:pPr>
    </w:p>
    <w:p>
      <w:pPr>
        <w:ind w:right="3459"/>
        <w:spacing w:after="0" w:line="260" w:lineRule="auto"/>
        <w:rPr>
          <w:sz w:val="20"/>
          <w:szCs w:val="20"/>
          <w:color w:val="auto"/>
        </w:rPr>
      </w:pPr>
      <w:r>
        <w:rPr>
          <w:rFonts w:ascii="Courier New" w:cs="Courier New" w:eastAsia="Courier New" w:hAnsi="Courier New"/>
          <w:sz w:val="14"/>
          <w:szCs w:val="14"/>
          <w:color w:val="auto"/>
        </w:rPr>
        <w:t>negotiations with Pacific Life or provide updates on the terms of Pacific Life's proposal prior to reaching a definitive agreement with Pacific Life or prior to determining that no definitive agreement will be reached. In the event the Company determines to complete a transaction with Pacific Life, under the terms of the Securities Purchase Agreement the Fortress/Blackstone Investors will have the right to match the final terms of the Pacific Life transaction and complete such a transaction with the Company. In the event the Fortress/Blackstone Investors do not match the terms of the Pacific Life proposal, the Company will likely be required to pay the Fortress/Blackstone Investors a failed transaction fee.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DETERMINATION OF PROPOSED RESTRUCTURING</w:t>
      </w:r>
    </w:p>
    <w:p>
      <w:pPr>
        <w:spacing w:after="0" w:line="168" w:lineRule="exact"/>
        <w:rPr>
          <w:sz w:val="20"/>
          <w:szCs w:val="20"/>
          <w:color w:val="auto"/>
        </w:rPr>
      </w:pPr>
    </w:p>
    <w:p>
      <w:pPr>
        <w:ind w:right="3459" w:firstLine="763"/>
        <w:spacing w:after="0" w:line="251" w:lineRule="auto"/>
        <w:rPr>
          <w:sz w:val="20"/>
          <w:szCs w:val="20"/>
          <w:color w:val="auto"/>
        </w:rPr>
      </w:pPr>
      <w:r>
        <w:rPr>
          <w:rFonts w:ascii="Courier New" w:cs="Courier New" w:eastAsia="Courier New" w:hAnsi="Courier New"/>
          <w:sz w:val="14"/>
          <w:szCs w:val="14"/>
          <w:color w:val="auto"/>
        </w:rPr>
        <w:t>The Company is currently in discussion with each of the Fortress/Blackstone Investors and representatives from Pacific Life with respect to the terms of the proposed Restructuring. At the time of this Annual Report, there is no assurance that the Fortress/Blackstone Investors or CSFB will waive the Company's compliance with the conditions contained in the Securities Purchase Agreement or in the commitment letter with respect to the new credit facilities, respectively, or that the Company will be able to reach an agreement with Pacific Life regarding the Pacific Life Restructuring. In the event the Company is unable to reach an agreement with these parties or complete a Restructuring with another third party, the Company and CCA will be forced to pursue certain standalone alternatives not involving a third party investor and such alternatives have significant drawbacks. In connection with such standalone alternatives, the Company will be forced to restructure or renegotiate its existing indebtedness which may not be possible or, if possible, obtained on significantly less favorable terms, given CCA's recent operating performance and failure to meet its projected results. No assurance, however, can be given that any debt restructuring or renegotiation could be accomplished. Further, a standalone combination would not address the Company's capital needs with respect to the construction and expansion of correctional and detention facilities as well as its financial ability to expand its existing and perspective business opportunities. Finally, a standalone combination would likely result in an adverse market reaction because of the lack of credibility that the Company would likely experience absent a new equity investment and new management team.</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BETWEEN THE COMPANY AND CCA</w:t>
      </w:r>
    </w:p>
    <w:p>
      <w:pPr>
        <w:spacing w:after="0" w:line="168" w:lineRule="exact"/>
        <w:rPr>
          <w:sz w:val="20"/>
          <w:szCs w:val="20"/>
          <w:color w:val="auto"/>
        </w:rPr>
      </w:pPr>
    </w:p>
    <w:p>
      <w:pPr>
        <w:ind w:right="3359" w:firstLine="763"/>
        <w:spacing w:after="0" w:line="255" w:lineRule="auto"/>
        <w:rPr>
          <w:sz w:val="20"/>
          <w:szCs w:val="20"/>
          <w:color w:val="auto"/>
        </w:rPr>
      </w:pPr>
      <w:r>
        <w:rPr>
          <w:rFonts w:ascii="Courier New" w:cs="Courier New" w:eastAsia="Courier New" w:hAnsi="Courier New"/>
          <w:sz w:val="14"/>
          <w:szCs w:val="14"/>
          <w:color w:val="auto"/>
        </w:rPr>
        <w:t>CCA FINANCIAL CONDITION AND FAILURE TO MAKE LEASE PAYMENTS. As previously reported in the Company's Current Report on Form 10-Q/A for the quarterly period ended September 30, 1999, CCA had incurred substantial losses from operations through that period. During the fourth quarter of 1999, CCA continued to incur losses, utilizing its available cash flow from operations, borrowings under its line of credit and payments from the Company for services under their various arrangements. In addition, approximately $12.0 million of 1999 rents and all of the 2000 rents due to the Company from CCA were unpaid as of March 15, 2000. The terms of the CCA Leases provide that the 1999 rental payments were due and payable by CCA on December 25, 1999. The CCA Leases provide that it shall be an event of default if CCA fails to pay any installment of rent within 15 days after notice of nonpayment from the Company. The Company, however, has not provided a notice of nonpayment to CCA with respect to these payments.</w:t>
      </w:r>
    </w:p>
    <w:p>
      <w:pPr>
        <w:spacing w:after="0" w:line="87" w:lineRule="exact"/>
        <w:rPr>
          <w:sz w:val="20"/>
          <w:szCs w:val="20"/>
          <w:color w:val="auto"/>
        </w:rPr>
      </w:pPr>
    </w:p>
    <w:p>
      <w:pPr>
        <w:ind w:right="3459" w:firstLine="763"/>
        <w:spacing w:after="0" w:line="255" w:lineRule="auto"/>
        <w:rPr>
          <w:sz w:val="20"/>
          <w:szCs w:val="20"/>
          <w:color w:val="auto"/>
        </w:rPr>
      </w:pPr>
      <w:r>
        <w:rPr>
          <w:rFonts w:ascii="Courier New" w:cs="Courier New" w:eastAsia="Courier New" w:hAnsi="Courier New"/>
          <w:sz w:val="14"/>
          <w:szCs w:val="14"/>
          <w:color w:val="auto"/>
        </w:rPr>
        <w:t>DEFERRAL OF INTEREST PAYMENT ON CCA NOTE. As a result of CCA's current liquidity position, CCA has been required to defer the first scheduled payment of accrued interest on the CCA Note. According to the terms of the CCA Note, CCA was required to make such payment on December 31, 1999. Pursuant to the terms of a subordination agreement, dated as of March 1, 1999, by and between the Company and Foothill Capital Corporation, the agent of CCA's existing bank credit facility (the "Subordination Agreement"), CCA is prohibited from making scheduled interest payments on the CCA Note if certain financial conditions relating to CCA's liquidity position are not met. On December 31, 1999, CCA was not in compliance with these financial covenants. Accordingly, CCA was prohibited from making the scheduled interest payment. Pursuant to the terms of the Subordination Agreement, however, the Company is prohibited from accelerating the principal amount of the CCA Note or taking any other action to enforce its rights under the provisions of the CCA Note for so long as the CCA bank credit facility remains outstanding.</w:t>
      </w:r>
    </w:p>
    <w:p>
      <w:pPr>
        <w:spacing w:after="0" w:line="24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57"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331" w:lineRule="exact"/>
        <w:rPr>
          <w:sz w:val="20"/>
          <w:szCs w:val="20"/>
          <w:color w:val="auto"/>
        </w:rPr>
      </w:pPr>
    </w:p>
    <w:p>
      <w:pPr>
        <w:ind w:right="3359" w:firstLine="763"/>
        <w:spacing w:after="0" w:line="253" w:lineRule="auto"/>
        <w:rPr>
          <w:sz w:val="20"/>
          <w:szCs w:val="20"/>
          <w:color w:val="auto"/>
        </w:rPr>
      </w:pPr>
      <w:r>
        <w:rPr>
          <w:rFonts w:ascii="Courier New" w:cs="Courier New" w:eastAsia="Courier New" w:hAnsi="Courier New"/>
          <w:sz w:val="14"/>
          <w:szCs w:val="14"/>
          <w:color w:val="auto"/>
        </w:rPr>
        <w:t>PROPOSED AMENDMENT OF CCA LEASES AND OTHER AGREEMENTS. In an effort to address CCA's liquidity needs prior to the Restructuring and related transactions, the Company and CCA intend to amend the terms of the CCA Leases. Pursuant to this amendment, rent will be payable on each June 30 and December 31, instead of monthly. In addition, the amendment will provide that CCA is required to make certain scheduled monthly installment payments of rent to the Company from January 1, 2000 through June 30, 2000. In regard to rent accruing from January 1, 2000 through June 30, 2000 the Company and CCA are currently negotiating the scheduled monthly installments that are to occur during the second quarter of 2000. At the time these installment payments are made, it is anticipated that CCA will also be required to pay interest to the Company upon such payments at a rate equal to the then current interest rate under CCA's bank credit facility. These installment payments represent a portion of CCA's December 1999 lease payments and a portion of the rent accruing from January 1, 2000 to June 30, 2000 under the CCA Leases. All remaining unpaid rent shall be due and payable upon the earlier to occur of June 30, 2000 or the date on which either the Securities Purchase Agreement or the commitment letter relating to the new $1.2 billion credit facility is terminated.</w:t>
      </w:r>
    </w:p>
    <w:p>
      <w:pPr>
        <w:spacing w:after="0" w:line="89" w:lineRule="exact"/>
        <w:rPr>
          <w:sz w:val="20"/>
          <w:szCs w:val="20"/>
          <w:color w:val="auto"/>
        </w:rPr>
      </w:pPr>
    </w:p>
    <w:p>
      <w:pPr>
        <w:ind w:right="3459" w:firstLine="763"/>
        <w:spacing w:after="0" w:line="257" w:lineRule="auto"/>
        <w:rPr>
          <w:sz w:val="20"/>
          <w:szCs w:val="20"/>
          <w:color w:val="auto"/>
        </w:rPr>
      </w:pPr>
      <w:r>
        <w:rPr>
          <w:rFonts w:ascii="Courier New" w:cs="Courier New" w:eastAsia="Courier New" w:hAnsi="Courier New"/>
          <w:sz w:val="14"/>
          <w:szCs w:val="14"/>
          <w:color w:val="auto"/>
        </w:rPr>
        <w:t>On December 31, 1999, the Company and CCA amended the terms of the CCA Leases to change the annual base rent escalation formula with respect to each facility leased to CCA. Previously, the annual base rent payable with respect to each facility was subject to increase each year in an amount equal to a percentage of the total rental payments with respect to each facility, such percentage being the greater of: (i) 4%; or (ii) 25% of the percentage increase of gross management revenue derived from such facility. As a result of this amendment, the annual base rent with respect to each facility is subject to increase each year in an amount equal to the lesser of: (i) 4% of the annualized yearly rental payments with respect to such facility; or (ii) 10% of the excess of CCA's aggregate gross management revenues for the prior year over a base amount of $325.0 million.</w:t>
      </w:r>
    </w:p>
    <w:p>
      <w:pPr>
        <w:spacing w:after="0" w:line="82" w:lineRule="exact"/>
        <w:rPr>
          <w:sz w:val="20"/>
          <w:szCs w:val="20"/>
          <w:color w:val="auto"/>
        </w:rPr>
      </w:pPr>
    </w:p>
    <w:p>
      <w:pPr>
        <w:ind w:right="3539" w:firstLine="763"/>
        <w:spacing w:after="0" w:line="270" w:lineRule="auto"/>
        <w:rPr>
          <w:sz w:val="20"/>
          <w:szCs w:val="20"/>
          <w:color w:val="auto"/>
        </w:rPr>
      </w:pPr>
      <w:r>
        <w:rPr>
          <w:rFonts w:ascii="Courier New" w:cs="Courier New" w:eastAsia="Courier New" w:hAnsi="Courier New"/>
          <w:sz w:val="14"/>
          <w:szCs w:val="14"/>
          <w:color w:val="auto"/>
        </w:rPr>
        <w:t>The Company and CCA also intend to amend the terms of each of the following agreements between the Company and CCA: (i) the Business Development Agreement; (ii) the Amended and Restated Services Agreement; and (iii) the Amended and Restated Tenant Incentive Agreement to provide for the deferral of the payment of all fees under these agreements by the Company to CCA until September 30, 2000.</w:t>
      </w:r>
    </w:p>
    <w:p>
      <w:pPr>
        <w:spacing w:after="0" w:line="71" w:lineRule="exact"/>
        <w:rPr>
          <w:sz w:val="20"/>
          <w:szCs w:val="20"/>
          <w:color w:val="auto"/>
        </w:rPr>
      </w:pPr>
    </w:p>
    <w:p>
      <w:pPr>
        <w:ind w:right="3459" w:firstLine="763"/>
        <w:spacing w:after="0" w:line="261" w:lineRule="auto"/>
        <w:rPr>
          <w:sz w:val="20"/>
          <w:szCs w:val="20"/>
          <w:color w:val="auto"/>
        </w:rPr>
      </w:pPr>
      <w:r>
        <w:rPr>
          <w:rFonts w:ascii="Courier New" w:cs="Courier New" w:eastAsia="Courier New" w:hAnsi="Courier New"/>
          <w:sz w:val="14"/>
          <w:szCs w:val="14"/>
          <w:color w:val="auto"/>
        </w:rPr>
        <w:t>The completion of the proposed amendments described above is subject to the consent of the Company's and CCA's senior lenders under their respective bank credit facilities. No assurance can be given that such consent will be obtained. A failure to obtain the consent of the requisite senior lenders to waive the provisions of the Company's and CCA's bank credit facilities restricting the completion of the proposed amendments would result in an event of default under each respective bank credit facility, which would allow the Company's or CCA's senior lenders, at their option, to accelerate all or a portion of the outstanding indebtedness under the bank credit facilities.</w:t>
      </w:r>
    </w:p>
    <w:p>
      <w:pPr>
        <w:spacing w:after="0" w:line="78" w:lineRule="exact"/>
        <w:rPr>
          <w:sz w:val="20"/>
          <w:szCs w:val="20"/>
          <w:color w:val="auto"/>
        </w:rPr>
      </w:pPr>
    </w:p>
    <w:p>
      <w:pPr>
        <w:ind w:right="3619"/>
        <w:spacing w:after="0" w:line="366" w:lineRule="auto"/>
        <w:rPr>
          <w:sz w:val="20"/>
          <w:szCs w:val="20"/>
          <w:color w:val="auto"/>
        </w:rPr>
      </w:pPr>
      <w:r>
        <w:rPr>
          <w:rFonts w:ascii="Courier New" w:cs="Courier New" w:eastAsia="Courier New" w:hAnsi="Courier New"/>
          <w:sz w:val="14"/>
          <w:szCs w:val="14"/>
          <w:color w:val="auto"/>
        </w:rPr>
        <w:t>SOLICITATION OF CONSENTS FOR WAIVERS OF, AND AMENDMENTS TO, PROVISIONS OF THE COMPANY'S AND CCA'S OUTSTANDING INDEBTEDNESS</w:t>
      </w:r>
    </w:p>
    <w:p>
      <w:pPr>
        <w:spacing w:after="0" w:line="6" w:lineRule="exact"/>
        <w:rPr>
          <w:sz w:val="20"/>
          <w:szCs w:val="20"/>
          <w:color w:val="auto"/>
        </w:rPr>
      </w:pPr>
    </w:p>
    <w:p>
      <w:pPr>
        <w:ind w:right="3459" w:firstLine="763"/>
        <w:spacing w:after="0" w:line="261" w:lineRule="auto"/>
        <w:rPr>
          <w:sz w:val="20"/>
          <w:szCs w:val="20"/>
          <w:color w:val="auto"/>
        </w:rPr>
      </w:pPr>
      <w:r>
        <w:rPr>
          <w:rFonts w:ascii="Courier New" w:cs="Courier New" w:eastAsia="Courier New" w:hAnsi="Courier New"/>
          <w:sz w:val="14"/>
          <w:szCs w:val="14"/>
          <w:color w:val="auto"/>
        </w:rPr>
        <w:t>THE COMPANY'S BANK CREDIT FACILITY. On August 4, 1999, the Company completed an amendment and restatement of its original bank credit facility increasing amounts available to the Company under the original bank credit facility to $1.0 billion through the addition of $350.0 million tranche C term loans. The tranche C term loans will be payable in equal quarterly installments in the amount of $875,000 through the calendar quarter ending September 30, 2002 with the balance paid in full on December 31, 2002. Under the amended bank credit facility, Lehman Commercial Paper, Inc. ("LCPI") replaced NationsBank, N.A., as Administrative Agent.</w:t>
      </w:r>
    </w:p>
    <w:p>
      <w:pPr>
        <w:spacing w:after="0" w:line="78" w:lineRule="exact"/>
        <w:rPr>
          <w:sz w:val="20"/>
          <w:szCs w:val="20"/>
          <w:color w:val="auto"/>
        </w:rPr>
      </w:pPr>
    </w:p>
    <w:p>
      <w:pPr>
        <w:ind w:right="3459" w:firstLine="763"/>
        <w:spacing w:after="0" w:line="251" w:lineRule="auto"/>
        <w:rPr>
          <w:sz w:val="20"/>
          <w:szCs w:val="20"/>
          <w:color w:val="auto"/>
        </w:rPr>
      </w:pPr>
      <w:r>
        <w:rPr>
          <w:rFonts w:ascii="Courier New" w:cs="Courier New" w:eastAsia="Courier New" w:hAnsi="Courier New"/>
          <w:sz w:val="14"/>
          <w:szCs w:val="14"/>
          <w:color w:val="auto"/>
        </w:rPr>
        <w:t>The bank credit facility as amended, similar to the original bank credit facility, provides for interest rates, unused commitment fees and letter of credit fees to change based on the Company's senior debt rating. As with the original bank credit facility, the bank credit facility as amended bears interest at variable rates of interest based on a spread over the base rate or LIBOR (as elected by the Company), which spread is determined by reference to the Company's credit rating. The revised spread ranges from 0.50% to 2.25% for base rate loans and from 2.00% to 3.75% for LIBOR rate loans. These ranges replace the original spread ranges of 0.25% to 1.25% for base rate loans and</w:t>
      </w:r>
    </w:p>
    <w:p>
      <w:pPr>
        <w:spacing w:after="0" w:line="1" w:lineRule="exact"/>
        <w:rPr>
          <w:sz w:val="20"/>
          <w:szCs w:val="20"/>
          <w:color w:val="auto"/>
        </w:rPr>
      </w:pPr>
    </w:p>
    <w:p>
      <w:pPr>
        <w:ind w:right="3459"/>
        <w:spacing w:after="0" w:line="327" w:lineRule="auto"/>
        <w:rPr>
          <w:sz w:val="20"/>
          <w:szCs w:val="20"/>
          <w:color w:val="auto"/>
        </w:rPr>
      </w:pPr>
      <w:r>
        <w:rPr>
          <w:rFonts w:ascii="Courier New" w:cs="Courier New" w:eastAsia="Courier New" w:hAnsi="Courier New"/>
          <w:sz w:val="14"/>
          <w:szCs w:val="14"/>
          <w:color w:val="auto"/>
        </w:rPr>
        <w:t>1.375% to 2.75% for LIBOR rate loans. The term loan portions of the bank credit facility bear interest at a variable base</w:t>
      </w:r>
    </w:p>
    <w:p>
      <w:pPr>
        <w:spacing w:after="0" w:line="19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5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331" w:lineRule="exact"/>
        <w:rPr>
          <w:sz w:val="20"/>
          <w:szCs w:val="20"/>
          <w:color w:val="auto"/>
        </w:rPr>
      </w:pPr>
    </w:p>
    <w:p>
      <w:pPr>
        <w:ind w:right="3539"/>
        <w:spacing w:after="0" w:line="366" w:lineRule="auto"/>
        <w:rPr>
          <w:sz w:val="20"/>
          <w:szCs w:val="20"/>
          <w:color w:val="auto"/>
        </w:rPr>
      </w:pPr>
      <w:r>
        <w:rPr>
          <w:rFonts w:ascii="Courier New" w:cs="Courier New" w:eastAsia="Courier New" w:hAnsi="Courier New"/>
          <w:sz w:val="14"/>
          <w:szCs w:val="14"/>
          <w:color w:val="auto"/>
        </w:rPr>
        <w:t>rate equal to 4.0% in excess of LIBOR. This revised rate replaces the variable base rate equal to 3.25% in excess of LIBOR in the bank credit facility.</w:t>
      </w:r>
    </w:p>
    <w:p>
      <w:pPr>
        <w:spacing w:after="0" w:line="6" w:lineRule="exact"/>
        <w:rPr>
          <w:sz w:val="20"/>
          <w:szCs w:val="20"/>
          <w:color w:val="auto"/>
        </w:rPr>
      </w:pPr>
    </w:p>
    <w:p>
      <w:pPr>
        <w:ind w:right="3619" w:firstLine="763"/>
        <w:spacing w:after="0" w:line="266" w:lineRule="auto"/>
        <w:rPr>
          <w:sz w:val="20"/>
          <w:szCs w:val="20"/>
          <w:color w:val="auto"/>
        </w:rPr>
      </w:pPr>
      <w:r>
        <w:rPr>
          <w:rFonts w:ascii="Courier New" w:cs="Courier New" w:eastAsia="Courier New" w:hAnsi="Courier New"/>
          <w:sz w:val="14"/>
          <w:szCs w:val="14"/>
          <w:color w:val="auto"/>
        </w:rPr>
        <w:t>The bank credit facility as amended, similar to the original bank credit facility, is secured by mortgages on the Company's real property. Borrowings are limited based on a revised borrowing base formula which considers, among other things, eligible real estate. The bank credit facility contains certain revised financial covenants, primarily: (a) maintenance of a leverage, interest coverage, debt service coverage and total indebtedness ratios, and (b) restrictions on the incurrence of additional indebtedness.</w:t>
      </w:r>
    </w:p>
    <w:p>
      <w:pPr>
        <w:spacing w:after="0" w:line="74" w:lineRule="exact"/>
        <w:rPr>
          <w:sz w:val="20"/>
          <w:szCs w:val="20"/>
          <w:color w:val="auto"/>
        </w:rPr>
      </w:pPr>
    </w:p>
    <w:p>
      <w:pPr>
        <w:ind w:right="3459" w:firstLine="763"/>
        <w:spacing w:after="0" w:line="254" w:lineRule="auto"/>
        <w:rPr>
          <w:sz w:val="20"/>
          <w:szCs w:val="20"/>
          <w:color w:val="auto"/>
        </w:rPr>
      </w:pPr>
      <w:r>
        <w:rPr>
          <w:rFonts w:ascii="Courier New" w:cs="Courier New" w:eastAsia="Courier New" w:hAnsi="Courier New"/>
          <w:sz w:val="14"/>
          <w:szCs w:val="14"/>
          <w:color w:val="auto"/>
        </w:rPr>
        <w:t>For the fiscal quarter ended December 31, 1999, the Company was not in compliance with the following financial covenants, each as defined in the bank credit facility: (i) the Company's interest coverage ratio; and (ii) the Company's leverage ratio. In addition, as a result of the existence of explanatory paragraphs in the reports of each of the Company's and CCA's independent auditors relating to the Company's and CCA's financial statements as to the ability of each of the Company and CCA to continue as a going concern as described below, the Company is also in violation of the provisions of its bank credit facility. As more fully described below, the Company is in default under the provisions of a note purchase agreement relating to the $40.0 million 9.5% convertible, subordinated notes issued by the Company to MDP Ventures IV LLC and affiliated purchasers (the "MDP Notes"), which is an event of default under the Company's bank credit facility. Additionally, as more fully described below, CCA's bank credit facility requires that CCA have a net worth in excess of certain specified amounts. On December 31, 1999, CCA was not, and it currently is not, in compliance with this financial covenant, which is an event of default under the Company's bank credit facility.</w:t>
      </w:r>
    </w:p>
    <w:p>
      <w:pPr>
        <w:spacing w:after="0" w:line="82" w:lineRule="exact"/>
        <w:rPr>
          <w:sz w:val="20"/>
          <w:szCs w:val="20"/>
          <w:color w:val="auto"/>
        </w:rPr>
      </w:pPr>
    </w:p>
    <w:p>
      <w:pPr>
        <w:ind w:right="3539" w:firstLine="763"/>
        <w:spacing w:after="0" w:line="249" w:lineRule="auto"/>
        <w:rPr>
          <w:sz w:val="20"/>
          <w:szCs w:val="20"/>
          <w:color w:val="auto"/>
        </w:rPr>
      </w:pPr>
      <w:r>
        <w:rPr>
          <w:rFonts w:ascii="Courier New" w:cs="Courier New" w:eastAsia="Courier New" w:hAnsi="Courier New"/>
          <w:sz w:val="14"/>
          <w:szCs w:val="14"/>
          <w:color w:val="auto"/>
        </w:rPr>
        <w:t>The Company, through LCPI, initiated the process of soliciting the consent of the requisite percentage of its senior lenders under the Company's bank credit facility for a temporary waiver of the events of default under the bank credit facility described in the preceding paragraph (the "Initial Waiver"). Specifically, the Company requested a temporary waiver of the Company's failure to comply with the financial covenants contained in the bank credit facility for the fiscal quarter ended December 31, 1999. The Company also requested a temporary waiver of a violation of its bank credit facility caused solely by the failure of the Company to deliver annual financial statements of the Company and CCA unqualified as to the ability of each of the Company and CCA to continue as a going concern. The Company also requested a temporary waiver of events of default under the provisions of the bank credit facility relating to: (i) certain defaults, as described below, by the Company under the terms of the note purchase agreement relating to the MDP Notes; and</w:t>
      </w:r>
    </w:p>
    <w:p>
      <w:pPr>
        <w:spacing w:after="0" w:line="5" w:lineRule="exact"/>
        <w:rPr>
          <w:sz w:val="20"/>
          <w:szCs w:val="20"/>
          <w:color w:val="auto"/>
        </w:rPr>
      </w:pPr>
    </w:p>
    <w:p>
      <w:pPr>
        <w:ind w:right="3359" w:firstLine="7"/>
        <w:spacing w:after="0" w:line="253" w:lineRule="auto"/>
        <w:tabs>
          <w:tab w:leader="none" w:pos="42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of default under the provisions of the Company's bank credit facility relating to CCA's non-compliance with the financial covenant contained in CCA's bank credit facility. In addition, the provisions of the Initial Waiver would have provided for the waiver of any defaults arising from the Company's declaration and payment of the regular quarterly dividend payment on its 8.0% Series A Preferred Stock. However, as a result of the uncertainty as to the terms of the proposed Restructuring created by the competing proposals previously described herein, the Company withdrew its solicitation of the Initial Waiver at this time. The Company anticipates that LCPI will initiate the process of soliciting the consent of the required lenders under the bank credit facility with respect to all existing defaults or events of default under the Company's bank credit facility described herein as soon as the Company is able to provide the definitive terms of the proposed Restructuring.</w:t>
      </w:r>
    </w:p>
    <w:p>
      <w:pPr>
        <w:spacing w:after="0" w:line="84" w:lineRule="exact"/>
        <w:rPr>
          <w:sz w:val="20"/>
          <w:szCs w:val="20"/>
          <w:color w:val="auto"/>
        </w:rPr>
      </w:pPr>
    </w:p>
    <w:p>
      <w:pPr>
        <w:ind w:right="3359" w:firstLine="763"/>
        <w:spacing w:after="0" w:line="253" w:lineRule="auto"/>
        <w:rPr>
          <w:sz w:val="20"/>
          <w:szCs w:val="20"/>
          <w:color w:val="auto"/>
        </w:rPr>
      </w:pPr>
      <w:r>
        <w:rPr>
          <w:rFonts w:ascii="Courier New" w:cs="Courier New" w:eastAsia="Courier New" w:hAnsi="Courier New"/>
          <w:sz w:val="14"/>
          <w:szCs w:val="14"/>
          <w:color w:val="auto"/>
        </w:rPr>
        <w:t>In addition to the events of default described above, the Company's bank credit facility contains restrictions upon the ability of the Company to amend the terms of its agreements with CCA without the consent of its senior lenders, which would be violated upon execution of the proposed amendments to the Company's existing agreements with CCA described in "--Transactions Between the Company and CCA" above. The Company's bank credit facility also restricts the ability of the Company to enter into any agreement constituting a "change of control," as defined in the Company's bank credit facility. The appointment of Thomas W. Beasley as the Company's Chairman of the board of directors and J. Michael Quinlan as President of the Company constituted a "change of control" of the Company under the terms of the Company's bank credit facility upon the expiration of an applicable period. In addition, the execution and performance of certain conditions contained in any definitive agreement relating to the Fortress/Blackstone Equity Investment, including the Securities Purchase Agreement, constitutes a "change of control" of the Company under the terms of the bank credit facility. The Company projects that as of March 31, 2000, it will not be in compliance with the following financial covenants, as defined in the Company's bank credit facility: (i) the</w:t>
      </w:r>
    </w:p>
    <w:p>
      <w:pPr>
        <w:spacing w:after="0" w:line="25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5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331" w:lineRule="exact"/>
        <w:rPr>
          <w:sz w:val="20"/>
          <w:szCs w:val="20"/>
          <w:color w:val="auto"/>
        </w:rPr>
      </w:pPr>
    </w:p>
    <w:p>
      <w:pPr>
        <w:ind w:right="3799"/>
        <w:spacing w:after="0" w:line="366" w:lineRule="auto"/>
        <w:rPr>
          <w:sz w:val="20"/>
          <w:szCs w:val="20"/>
          <w:color w:val="auto"/>
        </w:rPr>
      </w:pPr>
      <w:r>
        <w:rPr>
          <w:rFonts w:ascii="Courier New" w:cs="Courier New" w:eastAsia="Courier New" w:hAnsi="Courier New"/>
          <w:sz w:val="14"/>
          <w:szCs w:val="14"/>
          <w:color w:val="auto"/>
        </w:rPr>
        <w:t>Company's debt service coverage ratio; (ii) the Company's interest coverage ratio; and (iii) the Company's leverage ratio.</w:t>
      </w:r>
    </w:p>
    <w:p>
      <w:pPr>
        <w:spacing w:after="0" w:line="6" w:lineRule="exact"/>
        <w:rPr>
          <w:sz w:val="20"/>
          <w:szCs w:val="20"/>
          <w:color w:val="auto"/>
        </w:rPr>
      </w:pPr>
    </w:p>
    <w:p>
      <w:pPr>
        <w:ind w:right="3359" w:firstLine="763"/>
        <w:spacing w:after="0" w:line="248" w:lineRule="auto"/>
        <w:rPr>
          <w:sz w:val="20"/>
          <w:szCs w:val="20"/>
          <w:color w:val="auto"/>
        </w:rPr>
      </w:pPr>
      <w:r>
        <w:rPr>
          <w:rFonts w:ascii="Courier New" w:cs="Courier New" w:eastAsia="Courier New" w:hAnsi="Courier New"/>
          <w:sz w:val="14"/>
          <w:szCs w:val="14"/>
          <w:color w:val="auto"/>
        </w:rPr>
        <w:t>The Company intends to request the consent of the requisite percentage of its senior lenders under its bank credit facility for a waiver of the bank credit facility's restrictions relating to the proposed amendments of the Company's agreements with CCA. The Company will also request the consent of such lenders with respect to a waiver of the Company's failure to comply with the bank credit facility's financial covenants described above, as well as an amendment to the bank credit facility changing the definition of the Company's borrowing base under the bank credit facility to alleviate the adverse effects of the deferred rental payments on the Company's borrowing base. Additionally, the Company will request the consent of the requisite percentage of its senior lenders under the bank credit facility to the appointment of Thomas W. Beasley as the Company's Chairman of the board of directors and J. Michael Quinlan as President of the Company. The Company will also request a waiver of its bank credit facility's restrictions upon a "change of control" arising from the execution and performance of certain conditions under the Securities Purchase Agreement or arising from the entering into of another definitive agreement relating to the Equity Investment. The Company anticipates that these amendments to, or waivers of, the provisions of the bank credit facility would remain in effect until the earlier to occur of: (i) the completion of the Restructuring;</w:t>
      </w:r>
    </w:p>
    <w:p>
      <w:pPr>
        <w:spacing w:after="0" w:line="11" w:lineRule="exact"/>
        <w:rPr>
          <w:sz w:val="20"/>
          <w:szCs w:val="20"/>
          <w:color w:val="auto"/>
        </w:rPr>
      </w:pPr>
    </w:p>
    <w:p>
      <w:pPr>
        <w:ind w:right="3359" w:firstLine="7"/>
        <w:spacing w:after="0" w:line="266" w:lineRule="auto"/>
        <w:tabs>
          <w:tab w:leader="none" w:pos="42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of the securities purchase agreement or the bank commitment letter related thereto; or (iii) an as-yet-undetermined date. The Company anticipates that LCPI will initiate the process of soliciting the consent of the required lenders under the bank credit facility as soon as the Company is able to provide the definitive terms of the proposed Restructuring.</w:t>
      </w:r>
    </w:p>
    <w:p>
      <w:pPr>
        <w:spacing w:after="0" w:line="74" w:lineRule="exact"/>
        <w:rPr>
          <w:sz w:val="20"/>
          <w:szCs w:val="20"/>
          <w:color w:val="auto"/>
        </w:rPr>
      </w:pPr>
    </w:p>
    <w:p>
      <w:pPr>
        <w:ind w:right="3359" w:firstLine="763"/>
        <w:spacing w:after="0" w:line="253" w:lineRule="auto"/>
        <w:rPr>
          <w:sz w:val="20"/>
          <w:szCs w:val="20"/>
          <w:color w:val="auto"/>
        </w:rPr>
      </w:pPr>
      <w:r>
        <w:rPr>
          <w:rFonts w:ascii="Courier New" w:cs="Courier New" w:eastAsia="Courier New" w:hAnsi="Courier New"/>
          <w:sz w:val="14"/>
          <w:szCs w:val="14"/>
          <w:color w:val="auto"/>
        </w:rPr>
        <w:t>THE COMPANY'S $40.0 MILLION 9.5% CONVERTIBLE, SUBORDINATED NOTES. The provisions of the note purchase agreement relating to the $40.0 million 9.5% convertible, subordinated MDP Notes provide that the execution of the Securities Purchase Agreement by the Company constitutes a "change of control" of the Company. This "change of control" gave rise to a right of the holders of the MDP Notes to require the Company to repurchase the MDP Notes at a price of 105% of the aggregate principal amount of the MDP Notes. To date, the holders of the MDP Notes have not provided notice to the Company that the Company will be required to repurchase all or a portion of the MDP Notes. In addition, as of February 5, 2000, the Company was no longer in compliance with a financial covenant contained in the note purchase agreement relating to the ratio of the Company's total indebtedness to total capitalization. As a result of the violation of this covenant, the Company is in default under the provisions of the note purchase agreement, and the holders of the MDP Notes may, at their option, accelerate all or a portion of the outstanding principal amount of this indebtedness. Moreover, during any period in which the Company is in default under the provisions of the note purchase agreement, the holders of the MDP Notes may require the Company to pay an applicable default rate of interest.</w:t>
      </w:r>
    </w:p>
    <w:p>
      <w:pPr>
        <w:spacing w:after="0" w:line="89" w:lineRule="exact"/>
        <w:rPr>
          <w:sz w:val="20"/>
          <w:szCs w:val="20"/>
          <w:color w:val="auto"/>
        </w:rPr>
      </w:pPr>
    </w:p>
    <w:p>
      <w:pPr>
        <w:ind w:right="3459" w:firstLine="763"/>
        <w:spacing w:after="0" w:line="258" w:lineRule="auto"/>
        <w:rPr>
          <w:sz w:val="20"/>
          <w:szCs w:val="20"/>
          <w:color w:val="auto"/>
        </w:rPr>
      </w:pPr>
      <w:r>
        <w:rPr>
          <w:rFonts w:ascii="Courier New" w:cs="Courier New" w:eastAsia="Courier New" w:hAnsi="Courier New"/>
          <w:sz w:val="14"/>
          <w:szCs w:val="14"/>
          <w:color w:val="auto"/>
        </w:rPr>
        <w:t>The Company has initiated discussions with the holders of the MDP Notes to waive the occurrence of a "change of control" arising from the Company's entering into of the Securities Purchase Agreement, thereby extinguishing the Company's obligation to repurchase the notes at a premium. In addition, the Company has requested that the provisions of the note purchase agreement be amended to: (i) remove the financial covenant relating to the Company's total indebtedness to total capitalization; (ii) remove a covenant requiring the Company to use its best efforts to qualify as a REIT for federal income tax purposes; and (iii) remove a covenant restricting the Company's ability to conduct business other than the financing, ownership and development of prisons and other correctional facilities.</w:t>
      </w:r>
    </w:p>
    <w:p>
      <w:pPr>
        <w:spacing w:after="0" w:line="82" w:lineRule="exact"/>
        <w:rPr>
          <w:sz w:val="20"/>
          <w:szCs w:val="20"/>
          <w:color w:val="auto"/>
        </w:rPr>
      </w:pPr>
    </w:p>
    <w:p>
      <w:pPr>
        <w:ind w:right="3359" w:firstLine="763"/>
        <w:spacing w:after="0" w:line="266" w:lineRule="auto"/>
        <w:rPr>
          <w:sz w:val="20"/>
          <w:szCs w:val="20"/>
          <w:color w:val="auto"/>
        </w:rPr>
      </w:pPr>
      <w:r>
        <w:rPr>
          <w:rFonts w:ascii="Courier New" w:cs="Courier New" w:eastAsia="Courier New" w:hAnsi="Courier New"/>
          <w:sz w:val="14"/>
          <w:szCs w:val="14"/>
          <w:color w:val="auto"/>
        </w:rPr>
        <w:t>There can be no assurance that the holders of the MDP Notes will consent to the proposed waiver of, and amendments to, the note purchase agreement, or will not seek to declare an event of default prior to the execution of the proposed waiver and amendments. If the holders of the MDP Notes do not consent to the proposed waiver of, and amendments to the note purchase agreement, the Company will be required to repurchase or redeem the outstanding principal amount of the MDP Notes.</w:t>
      </w:r>
    </w:p>
    <w:p>
      <w:pPr>
        <w:spacing w:after="0" w:line="74" w:lineRule="exact"/>
        <w:rPr>
          <w:sz w:val="20"/>
          <w:szCs w:val="20"/>
          <w:color w:val="auto"/>
        </w:rPr>
      </w:pPr>
    </w:p>
    <w:p>
      <w:pPr>
        <w:ind w:right="3539" w:firstLine="763"/>
        <w:spacing w:after="0" w:line="306" w:lineRule="auto"/>
        <w:rPr>
          <w:sz w:val="20"/>
          <w:szCs w:val="20"/>
          <w:color w:val="auto"/>
        </w:rPr>
      </w:pPr>
      <w:r>
        <w:rPr>
          <w:rFonts w:ascii="Courier New" w:cs="Courier New" w:eastAsia="Courier New" w:hAnsi="Courier New"/>
          <w:sz w:val="14"/>
          <w:szCs w:val="14"/>
          <w:color w:val="auto"/>
        </w:rPr>
        <w:t>THE COMPANY'S $30.0 MILLION 7.5% CONVERTIBLE, SUBORDINATED NOTES. The provisions of the note purchase agreement relating to the $30.0 million 7.5% convertible, subordinated notes issued to PMI Mezzanine Fund, L.P.</w:t>
      </w:r>
    </w:p>
    <w:p>
      <w:pPr>
        <w:spacing w:after="0" w:line="2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5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331" w:lineRule="exact"/>
        <w:rPr>
          <w:sz w:val="20"/>
          <w:szCs w:val="20"/>
          <w:color w:val="auto"/>
        </w:rPr>
      </w:pPr>
    </w:p>
    <w:p>
      <w:pPr>
        <w:ind w:right="3459"/>
        <w:spacing w:after="0" w:line="261" w:lineRule="auto"/>
        <w:rPr>
          <w:sz w:val="20"/>
          <w:szCs w:val="20"/>
          <w:color w:val="auto"/>
        </w:rPr>
      </w:pPr>
      <w:r>
        <w:rPr>
          <w:rFonts w:ascii="Courier New" w:cs="Courier New" w:eastAsia="Courier New" w:hAnsi="Courier New"/>
          <w:sz w:val="14"/>
          <w:szCs w:val="14"/>
          <w:color w:val="auto"/>
        </w:rPr>
        <w:t>("PMI") contain financial covenants relating to: (i) the Company's debt service coverage ratio; (ii) the Company's interest coverage ratio; and (iii) the Company's ratio of total indebtedness to total capitalization. It is possible that as of March 31, 2000 the Company will not be in compliance with one or more of these financial covenants. If one or more of these covenants are violated, such a violation would result in an event of default under the provisions of the note purchase agreement, and the holder of such notes may, at its option, accelerate all or a portion of the outstanding principal amount of this indebtedness.</w:t>
      </w:r>
    </w:p>
    <w:p>
      <w:pPr>
        <w:spacing w:after="0" w:line="78" w:lineRule="exact"/>
        <w:rPr>
          <w:sz w:val="20"/>
          <w:szCs w:val="20"/>
          <w:color w:val="auto"/>
        </w:rPr>
      </w:pPr>
    </w:p>
    <w:p>
      <w:pPr>
        <w:ind w:right="3539" w:firstLine="763"/>
        <w:spacing w:after="0" w:line="261" w:lineRule="auto"/>
        <w:rPr>
          <w:sz w:val="20"/>
          <w:szCs w:val="20"/>
          <w:color w:val="auto"/>
        </w:rPr>
      </w:pPr>
      <w:r>
        <w:rPr>
          <w:rFonts w:ascii="Courier New" w:cs="Courier New" w:eastAsia="Courier New" w:hAnsi="Courier New"/>
          <w:sz w:val="14"/>
          <w:szCs w:val="14"/>
          <w:color w:val="auto"/>
        </w:rPr>
        <w:t>If an event of default occurs under the provisions of the note purchase agreement, the Company will initiate discussions with the holder of such notes and attempt to obtain a waiver of, or amendment to, the financial covenants contained in the note purchase agreement violated by the Company. In addition, in order to prevent an event of default under the note purchase agreement, prior to completion of the Restructuring and related transactions, the Company will be required to amend the provisions of the note purchase agreement to remove a covenant requiring the Company to elect to be taxed as a REIT for federal income tax purposes.</w:t>
      </w:r>
    </w:p>
    <w:p>
      <w:pPr>
        <w:spacing w:after="0" w:line="78" w:lineRule="exact"/>
        <w:rPr>
          <w:sz w:val="20"/>
          <w:szCs w:val="20"/>
          <w:color w:val="auto"/>
        </w:rPr>
      </w:pPr>
    </w:p>
    <w:p>
      <w:pPr>
        <w:ind w:right="3459" w:firstLine="763"/>
        <w:spacing w:after="0" w:line="266" w:lineRule="auto"/>
        <w:rPr>
          <w:sz w:val="20"/>
          <w:szCs w:val="20"/>
          <w:color w:val="auto"/>
        </w:rPr>
      </w:pPr>
      <w:r>
        <w:rPr>
          <w:rFonts w:ascii="Courier New" w:cs="Courier New" w:eastAsia="Courier New" w:hAnsi="Courier New"/>
          <w:sz w:val="14"/>
          <w:szCs w:val="14"/>
          <w:color w:val="auto"/>
        </w:rPr>
        <w:t>There can be no assurance that the holder of these notes will consent to any proposed waiver of, and amendments to, the note purchase agreement, or will not seek to declare an event of default prior to the execution of the proposed waiver and amendments. The Company anticipates that it may be required to amend the economic terms of the notes in the event the holder of these notes does consent to any proposed waiver of, and amendment to, the note purchase agreement.</w:t>
      </w:r>
    </w:p>
    <w:p>
      <w:pPr>
        <w:spacing w:after="0" w:line="74" w:lineRule="exact"/>
        <w:rPr>
          <w:sz w:val="20"/>
          <w:szCs w:val="20"/>
          <w:color w:val="auto"/>
        </w:rPr>
      </w:pPr>
    </w:p>
    <w:p>
      <w:pPr>
        <w:ind w:right="3459" w:firstLine="763"/>
        <w:spacing w:after="0" w:line="256" w:lineRule="auto"/>
        <w:rPr>
          <w:sz w:val="20"/>
          <w:szCs w:val="20"/>
          <w:color w:val="auto"/>
        </w:rPr>
      </w:pPr>
      <w:r>
        <w:rPr>
          <w:rFonts w:ascii="Courier New" w:cs="Courier New" w:eastAsia="Courier New" w:hAnsi="Courier New"/>
          <w:sz w:val="14"/>
          <w:szCs w:val="14"/>
          <w:color w:val="auto"/>
        </w:rPr>
        <w:t>CCA BANK CREDIT FACILITY. The terms of CCA's bank credit facility provide that CCA shall not amend or modify the terms of the Amended and Restated Services Agreement, the Amended and Restated Tenant Incentive Agreement and the Business Development Agreement in any manner which would be on terms and conditions less favorable to CCA than are in effect immediately prior to such amendment or modification. If the proposed amendments to these agreements are completed, CCA will be in violation of its bank credit facility. In addition, CCA's bank credit facility requires that CCA have a net worth in excess of certain specified amounts. On December 31, 1999, CCA was not, and it currently is not, in compliance with this financial covenant. The terms of the CCA bank credit facility also provide that the execution of the Agreement and Plan of Merger resulted in an event of default under the CCA bank credit facility.</w:t>
      </w:r>
    </w:p>
    <w:p>
      <w:pPr>
        <w:spacing w:after="0" w:line="84" w:lineRule="exact"/>
        <w:rPr>
          <w:sz w:val="20"/>
          <w:szCs w:val="20"/>
          <w:color w:val="auto"/>
        </w:rPr>
      </w:pPr>
    </w:p>
    <w:p>
      <w:pPr>
        <w:ind w:right="3459" w:firstLine="763"/>
        <w:spacing w:after="0" w:line="263" w:lineRule="auto"/>
        <w:rPr>
          <w:sz w:val="20"/>
          <w:szCs w:val="20"/>
          <w:color w:val="auto"/>
        </w:rPr>
      </w:pPr>
      <w:r>
        <w:rPr>
          <w:rFonts w:ascii="Courier New" w:cs="Courier New" w:eastAsia="Courier New" w:hAnsi="Courier New"/>
          <w:sz w:val="14"/>
          <w:szCs w:val="14"/>
          <w:color w:val="auto"/>
        </w:rPr>
        <w:t>CCA has initiated discussions with Foothill Capital Corporation, the agent of the bank credit facility, and will request the consent of the requisite percentage of the senior lenders under its bank credit facility for a waiver of the bank credit facility's restrictions relating to: (i) the amendment of the Company's agreements with CCA; and (ii) the execution of the Agreement and Plan of Merger. CCA has also requested the consent of such lenders with respect to a waiver of, or amendment to, the financial covenant concerning CCA's shareholders' equity described above.</w:t>
      </w:r>
    </w:p>
    <w:p>
      <w:pPr>
        <w:spacing w:after="0" w:line="77" w:lineRule="exact"/>
        <w:rPr>
          <w:sz w:val="20"/>
          <w:szCs w:val="20"/>
          <w:color w:val="auto"/>
        </w:rPr>
      </w:pPr>
    </w:p>
    <w:p>
      <w:pPr>
        <w:ind w:right="3459" w:firstLine="763"/>
        <w:spacing w:after="0" w:line="256" w:lineRule="auto"/>
        <w:rPr>
          <w:sz w:val="20"/>
          <w:szCs w:val="20"/>
          <w:color w:val="auto"/>
        </w:rPr>
      </w:pPr>
      <w:r>
        <w:rPr>
          <w:rFonts w:ascii="Courier New" w:cs="Courier New" w:eastAsia="Courier New" w:hAnsi="Courier New"/>
          <w:sz w:val="14"/>
          <w:szCs w:val="14"/>
          <w:color w:val="auto"/>
        </w:rPr>
        <w:t>EFFECT OF FAILURE OF THE COMPANY TO OBTAIN REQUESTED WAIVERS AND AMENDMENTS. There can be no assurance that the requisite senior lenders under the Company's bank credit facility will consent to the proposed waivers of, and amendments to, the Company's bank credit facility or will not seek to declare an event of default prior to the effectiveness of the consent or waiver. Moreover, the effectiveness of the proposed waivers of, and amendments to, the Company's bank credit facility is subject to the satisfaction of the conditions described above and the attainment of the waivers of, and amendments to, the applicable provisions of CCA's bank credit facility. The Company has also agreed that it is currently obligated to pay interest on amounts outstanding under the Company's bank credit facility at an applicable default rate which is greater than the otherwise applicable rate of interest payable under the terms of the Company's bank credit facility.</w:t>
      </w:r>
    </w:p>
    <w:p>
      <w:pPr>
        <w:spacing w:after="0" w:line="84" w:lineRule="exact"/>
        <w:rPr>
          <w:sz w:val="20"/>
          <w:szCs w:val="20"/>
          <w:color w:val="auto"/>
        </w:rPr>
      </w:pPr>
    </w:p>
    <w:p>
      <w:pPr>
        <w:ind w:right="3459" w:firstLine="763"/>
        <w:spacing w:after="0" w:line="263" w:lineRule="auto"/>
        <w:rPr>
          <w:sz w:val="20"/>
          <w:szCs w:val="20"/>
          <w:color w:val="auto"/>
        </w:rPr>
      </w:pPr>
      <w:r>
        <w:rPr>
          <w:rFonts w:ascii="Courier New" w:cs="Courier New" w:eastAsia="Courier New" w:hAnsi="Courier New"/>
          <w:sz w:val="14"/>
          <w:szCs w:val="14"/>
          <w:color w:val="auto"/>
        </w:rPr>
        <w:t>If the proposed waivers of, and amendments to, the Company's indebtedness are not obtained, the Company will continue to negotiate with LCPI and its other lenders in an attempt to obtain such necessary waivers or amendments. In the event the Company is unable to obtain the necessary waivers or amendments to the bank credit facility, or to comply with and maintain the proposed waivers and amendments, or if the Company defaults under the terms of any of its other indebtedness, and such indebtedness is accelerated, the senior lenders under the Company's bank credit</w:t>
      </w:r>
    </w:p>
    <w:p>
      <w:pPr>
        <w:spacing w:after="0" w:line="24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5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331"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facilities are entitled, at their discretion, to exercise certain remedies, including acceleration of the outstanding borrowings under the bank credit facility. In addition, the Company's Senior Notes (as defined herein), the $40.0 million 9.5% convertible, subordinated MDP Notes and the $30.0 million 7.5% convertible, subordinated notes payable to PMI contain provisions which allow those creditors to accelerate their debt and seek remedies if the Company has a payment default under its bank credit facility or if the obligations under the Company's bank credit facility have been accelerated. If the senior lenders under the Company's bank credit facility elect to exercise their rights to accelerate the Company's obligations under the bank credit facility, and/or if the senior lenders do not consent to the proposed waivers and amendments (or acceptable alternative waivers and amendments), such events could result in the acceleration of all or a portion of the outstanding principal amount of the Company's Senior Notes (as defined herein) or its convertible, subordinated notes, which would have a material adverse effect on the Company's liquidity and financial position. The Company does not have sufficient working capital to satisfy its debt obligations in the event of an acceleration of all the Company's outstanding indebtedness.</w:t>
      </w:r>
    </w:p>
    <w:p>
      <w:pPr>
        <w:spacing w:after="0" w:line="89" w:lineRule="exact"/>
        <w:rPr>
          <w:sz w:val="20"/>
          <w:szCs w:val="20"/>
          <w:color w:val="auto"/>
        </w:rPr>
      </w:pPr>
    </w:p>
    <w:p>
      <w:pPr>
        <w:ind w:right="3459" w:firstLine="763"/>
        <w:spacing w:after="0" w:line="251" w:lineRule="auto"/>
        <w:rPr>
          <w:sz w:val="20"/>
          <w:szCs w:val="20"/>
          <w:color w:val="auto"/>
        </w:rPr>
      </w:pPr>
      <w:r>
        <w:rPr>
          <w:rFonts w:ascii="Courier New" w:cs="Courier New" w:eastAsia="Courier New" w:hAnsi="Courier New"/>
          <w:sz w:val="14"/>
          <w:szCs w:val="14"/>
          <w:color w:val="auto"/>
        </w:rPr>
        <w:t>EFFECT OF FAILURE OF CCA TO OBTAIN REQUESTED WAIVERS AND AMENDMENTS. There can be no assurance that the requisite senior lenders under CCA's bank credit facility will consent to the proposed waivers of, and amendment to, CCA's bank credit facility or will not seek to declare an event of default prior to such date. If the proposed waivers of, and amendment to, CCA's bank credit facility are not obtained, CCA will continue to negotiate with Foothill Capital Corporation, as agent, and its senior lenders in an attempt to obtain necessary waivers of, or amendments to, its bank credit facility. In the event CCA is unable to obtain the necessary waivers or amendments, or to comply with and maintain the proposed waiver and amendment, the senior lenders are entitled, at their discretion, to exercise certain remedies, including acceleration of the outstanding borrowings under the bank credit facility. If the senior lenders elect to exercise their rights to accelerate CCA's obligations under CCA's bank credit facility, and/or if the senior lenders do not consent to the proposed waiver and amendment, such events would have a material adverse effect on CCA's liquidity and financial position. CCA does not have sufficient working capital in the event of an acceleration of CCA's bank credit facility. In addition, the terms of the CCA Leases provide that an event of default under CCA's bank credit facility which results in the acceleration of at least $25.0 million of CCA's indebtedness under the CCA bank credit facility prior to its stated maturity will result in an event of default under the CCA Leases, which would result in an event of default under the Company's bank credit facility, also triggering defaults under the Company's other indebtedness.</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FINANCIAL STATEMENTS AND GOING CONCERN MATTERS</w:t>
      </w:r>
    </w:p>
    <w:p>
      <w:pPr>
        <w:spacing w:after="0" w:line="168" w:lineRule="exact"/>
        <w:rPr>
          <w:sz w:val="20"/>
          <w:szCs w:val="20"/>
          <w:color w:val="auto"/>
        </w:rPr>
      </w:pPr>
    </w:p>
    <w:p>
      <w:pPr>
        <w:ind w:right="3459" w:firstLine="763"/>
        <w:spacing w:after="0" w:line="251" w:lineRule="auto"/>
        <w:rPr>
          <w:sz w:val="20"/>
          <w:szCs w:val="20"/>
          <w:color w:val="auto"/>
        </w:rPr>
      </w:pPr>
      <w:r>
        <w:rPr>
          <w:rFonts w:ascii="Courier New" w:cs="Courier New" w:eastAsia="Courier New" w:hAnsi="Courier New"/>
          <w:sz w:val="14"/>
          <w:szCs w:val="14"/>
          <w:color w:val="auto"/>
        </w:rPr>
        <w:t>Due to CCA's current liquidity position and its inability to make required payments to the Company under the terms of the CCA Leases and the CCA Note, CCA's independent auditors have included an explanatory paragraph in its report to CCA's consolidated financial statements for the year ended December 31, 1999 that express substantial doubt as to CCA's ability to continue as a going concern. Accordingly, as the result of the Company's financial dependence on CCA and the Company's resulting liquidity position, as well as concerns with respect to the Company's noncompliance with, and resulting defaults under, certain provisions and covenants contained in its indebtedness and potential liability arising as the result of shareholder and other litigation commenced against the Company, the Company's independent auditors have included an explanatory paragraph in its report to the Company's consolidated financial statements for the year ended December 31, 1999 that express substantial doubt as to the Company's ability to continue as a going concern. The existence of these explanatory paragraphs may have a material adverse effect on the Company's and CCA's relationships with its creditors and could have a material adverse effect on the Company's business, financial condition, results of operation and liquidity. In addition, the continued operating losses being incurred by CCA and its inability of CCA to make contractual payments to the Company; the declaration of default and acceleration action by the Company's and CCA's creditors under the terms of the Company's and CCA's indebtedness; and the Company's limited resources currently available to meet its operating, capital expenditure and debt service requirements will have a material adverse impact on the Company's consolidated financial position, results of operations and cash flow.</w:t>
      </w:r>
    </w:p>
    <w:p>
      <w:pPr>
        <w:spacing w:after="0" w:line="25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25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331" w:lineRule="exact"/>
        <w:rPr>
          <w:sz w:val="20"/>
          <w:szCs w:val="20"/>
          <w:color w:val="auto"/>
        </w:rPr>
      </w:pPr>
    </w:p>
    <w:p>
      <w:pPr>
        <w:ind w:right="3459" w:firstLine="763"/>
        <w:spacing w:after="0" w:line="258" w:lineRule="auto"/>
        <w:rPr>
          <w:sz w:val="20"/>
          <w:szCs w:val="20"/>
          <w:color w:val="auto"/>
        </w:rPr>
      </w:pPr>
      <w:r>
        <w:rPr>
          <w:rFonts w:ascii="Courier New" w:cs="Courier New" w:eastAsia="Courier New" w:hAnsi="Courier New"/>
          <w:sz w:val="14"/>
          <w:szCs w:val="14"/>
          <w:color w:val="auto"/>
        </w:rPr>
        <w:t>As a result of the existence of explanatory paragraphs in the reports of each of the Company's and CCA's independent auditors relating to the Company's and CCA's financial statements as to the ability of each of the Company and CCA to continue as a going concern, the Company is also in violation of the provisions of its bank credit facility. The Company intends to request a waiver of a violation of the bank credit facility caused solely by the failure of the Company to deliver annual financial statements of the Company and CCA unqualified as to the ability of each of the Company and CCA to continue as a going concern. See "--Solicitation of Consents for Waivers of, and Amendments to, Provisions of the Company and CCA's Outstanding Indebtedness."</w:t>
      </w:r>
    </w:p>
    <w:p>
      <w:pPr>
        <w:spacing w:after="0" w:line="82" w:lineRule="exact"/>
        <w:rPr>
          <w:sz w:val="20"/>
          <w:szCs w:val="20"/>
          <w:color w:val="auto"/>
        </w:rPr>
      </w:pPr>
    </w:p>
    <w:p>
      <w:pPr>
        <w:ind w:right="3459" w:firstLine="763"/>
        <w:spacing w:after="0" w:line="261" w:lineRule="auto"/>
        <w:rPr>
          <w:sz w:val="20"/>
          <w:szCs w:val="20"/>
          <w:color w:val="auto"/>
        </w:rPr>
      </w:pPr>
      <w:r>
        <w:rPr>
          <w:rFonts w:ascii="Courier New" w:cs="Courier New" w:eastAsia="Courier New" w:hAnsi="Courier New"/>
          <w:sz w:val="14"/>
          <w:szCs w:val="14"/>
          <w:color w:val="auto"/>
        </w:rPr>
        <w:t>The Company has limited resources currently available to it to meet its operating, capital expenditure and debt service requirements. As a result, the Company currently is, and will continue to be, dependant on its ability to borrow funds under the terms of its bank credit facility to meet these requirements. Due to the Company's financial condition and non-compliance with certain covenants under the terms of its bank credit facility, the availability of borrowing under its bank credit facility is uncertain. Accordingly, there can be no assurance that the Company will be able to meet its operating, capital expenditure and debt service requirements in the future.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LITIGATION</w:t>
      </w:r>
    </w:p>
    <w:p>
      <w:pPr>
        <w:spacing w:after="0" w:line="168" w:lineRule="exact"/>
        <w:rPr>
          <w:sz w:val="20"/>
          <w:szCs w:val="20"/>
          <w:color w:val="auto"/>
        </w:rPr>
      </w:pPr>
    </w:p>
    <w:p>
      <w:pPr>
        <w:ind w:right="3539" w:firstLine="763"/>
        <w:spacing w:after="0" w:line="253" w:lineRule="auto"/>
        <w:rPr>
          <w:sz w:val="20"/>
          <w:szCs w:val="20"/>
          <w:color w:val="auto"/>
        </w:rPr>
      </w:pPr>
      <w:r>
        <w:rPr>
          <w:rFonts w:ascii="Courier New" w:cs="Courier New" w:eastAsia="Courier New" w:hAnsi="Courier New"/>
          <w:sz w:val="14"/>
          <w:szCs w:val="14"/>
          <w:color w:val="auto"/>
        </w:rPr>
        <w:t>On December 29, 1999, a purported class action lawsuit was filed on behalf of the shareholders of the Company in the Chancery Court for Davidson County, Tennessee. The lawsuit, captioned Bernstein v. Prison Realty Trust, et al., names as defendants the Company and its directors, as well as the Fortress/Blackstone Investors. The lawsuit alleges that the directors breached their fiduciary duties to the Company's shareholders by "effectively selling control" of the Company for inadequate consideration and without having adequately considered or explored all other alternatives to this prospective sale or having taken steps to maximize shareholder value. The plaintiffs seek an injunction preventing the completion of the Fortress/Blackstone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the Company and its directors, as well as the Fortress/Blackstone Investors. Each of these three actions were consolidated in February 2000 into one action, captioned In re: Bernstein v. Prison Realty Trust, Inc.</w:t>
      </w:r>
    </w:p>
    <w:p>
      <w:pPr>
        <w:spacing w:after="0" w:line="89" w:lineRule="exact"/>
        <w:rPr>
          <w:sz w:val="20"/>
          <w:szCs w:val="20"/>
          <w:color w:val="auto"/>
        </w:rPr>
      </w:pPr>
    </w:p>
    <w:p>
      <w:pPr>
        <w:ind w:right="3459" w:firstLine="763"/>
        <w:spacing w:after="0" w:line="252" w:lineRule="auto"/>
        <w:rPr>
          <w:sz w:val="20"/>
          <w:szCs w:val="20"/>
          <w:color w:val="auto"/>
        </w:rPr>
      </w:pPr>
      <w:r>
        <w:rPr>
          <w:rFonts w:ascii="Courier New" w:cs="Courier New" w:eastAsia="Courier New" w:hAnsi="Courier New"/>
          <w:sz w:val="14"/>
          <w:szCs w:val="14"/>
          <w:color w:val="auto"/>
        </w:rPr>
        <w:t>On December 30, 1999, a purported class action lawsuit was filed in federal court in the United States District Court for the Middle District of Tennessee, on behalf of the shareholders of the Company. The lawsuit, captioned Neiger v. Doctor Crants, et al., names as defendants the Company, Doctor R. Crants and D. Robert Crants, III. The lawsuit alleges violations of federal securities laws based on the allegation that the defendants knew or should have known that the Company would not make any further dividend payments on its Common Stock, including the "special dividend" prior to the date on which it was disclosed to the public and therefore certain statements made by them prior to that time were false and misleading. The plaintiffs seek an unspecified amount of monetary damages and costs and fees. On February 4, 2000, a nearly identical purported class action lawsuit was filed in the same court on behalf of different purported class representatives. The lawsuit, captioned Anderson v. Doctor Crants, et al., names as defendants the Company, Doctor R. Crants and D. Robert Crants, III. These actions were consolidated on March 13, 2000 into one action, captioned Neiger v. Doctor Crants, et al. Additionally, on March 3, 2000, a similar lawsuit was filed on behalf of two plaintiffs in the Chancery Court for the State of Tennessee, Twentieth Judicial District. The lawsuit, captioned Buchanan v. Prison Realty Trust, Inc., et. al., names as defendants the Company, Doctor R. Crants, D. Robert Crants, III and Darrell K. Massengale, and alleges violations of state securities laws based on claims substantially identical to those enumerated above.</w:t>
      </w:r>
    </w:p>
    <w:p>
      <w:pPr>
        <w:spacing w:after="0" w:line="87" w:lineRule="exact"/>
        <w:rPr>
          <w:sz w:val="20"/>
          <w:szCs w:val="20"/>
          <w:color w:val="auto"/>
        </w:rPr>
      </w:pPr>
    </w:p>
    <w:p>
      <w:pPr>
        <w:ind w:right="3459" w:firstLine="763"/>
        <w:spacing w:after="0" w:line="270" w:lineRule="auto"/>
        <w:rPr>
          <w:sz w:val="20"/>
          <w:szCs w:val="20"/>
          <w:color w:val="auto"/>
        </w:rPr>
      </w:pPr>
      <w:r>
        <w:rPr>
          <w:rFonts w:ascii="Courier New" w:cs="Courier New" w:eastAsia="Courier New" w:hAnsi="Courier New"/>
          <w:sz w:val="14"/>
          <w:szCs w:val="14"/>
          <w:color w:val="auto"/>
        </w:rPr>
        <w:t>The Company cannot determine the outcome of these actions, and, as a result, the Company cannot be assured that the determination of the litigation in a manner adverse to the Company will not have a material adverse effect upon the Company. In addition, the Company cannot be assured that additional lawsuits will not be filed in connection with the Fortress/Blackstone Restructuring.</w:t>
      </w:r>
    </w:p>
    <w:p>
      <w:pPr>
        <w:spacing w:after="0" w:line="23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257"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331" w:lineRule="exact"/>
        <w:rPr>
          <w:sz w:val="20"/>
          <w:szCs w:val="20"/>
          <w:color w:val="auto"/>
        </w:rPr>
      </w:pPr>
    </w:p>
    <w:p>
      <w:pPr>
        <w:ind w:right="3459" w:firstLine="763"/>
        <w:spacing w:after="0" w:line="250" w:lineRule="auto"/>
        <w:rPr>
          <w:sz w:val="20"/>
          <w:szCs w:val="20"/>
          <w:color w:val="auto"/>
        </w:rPr>
      </w:pPr>
      <w:r>
        <w:rPr>
          <w:rFonts w:ascii="Courier New" w:cs="Courier New" w:eastAsia="Courier New" w:hAnsi="Courier New"/>
          <w:sz w:val="14"/>
          <w:szCs w:val="14"/>
          <w:color w:val="auto"/>
        </w:rPr>
        <w:t>The Company is also currently subject to two separate class actions filed in federal court in the United States District Court for the Middle District of Tennessee, alleging securities fraud in connection with the agreements entered into by the Company and CCA in May, 1999 to increase payments made by the Company to CCA under the terms of certain agreements. The plaintiffs' class in In re Old CCA Securities Litigation consists of former shareholders of Old CCA who acquired shares of the Company as the result of the 1999 Merger. The plaintiffs' class in In re Prison Realty Securities Litigation consists of former shareholders of Old Prison Realty who acquired shares of the Company as the result of the 1999 Merger and all persons who acquired shares of the Company in the open market prior to May 17, 1999. Each of these actions alleges violations of federal securities laws based on the allegations that the Company and the individual defendants in the actions knew or should have known of the increased payments to CCA prior to the date that they were disclosed to the public, and therefore certain public filings and representations made by the Company and certain of the defendants were false and misleading. These two actions represent the consolidation of sixteen complaints filed in May and June 1999. In addition, a purported shareholders' derivative complaint has been filed in the Chancery Court for Davidson County, Tennessee in Nashville, captioned Wanstrath v. Crants, et al., against the Company, CCA and persons who were directors at the time the Company entered into the agreements regarding the increased payments to CCA. The derivative action alleges, among other things, that the directors of the Company violated their fiduciary duties in approving the increased payments to CCA. The plaintiffs in this action have also moved for a preliminary injunction to prevent the completion of the Restructuring. The Company is continuing to investigate the allegations in these complaints, and although their outcome is not determinable, the Company is defending these actions vigorously. In addition, the Company cannot be assured that the determination of one or both of these actions in a manner adverse to the Company will not have a material adverse effect upon the Company.</w:t>
      </w:r>
    </w:p>
    <w:p>
      <w:pPr>
        <w:spacing w:after="0" w:line="97" w:lineRule="exact"/>
        <w:rPr>
          <w:sz w:val="20"/>
          <w:szCs w:val="20"/>
          <w:color w:val="auto"/>
        </w:rPr>
      </w:pPr>
    </w:p>
    <w:p>
      <w:pPr>
        <w:ind w:right="3539" w:firstLine="763"/>
        <w:spacing w:after="0" w:line="258" w:lineRule="auto"/>
        <w:rPr>
          <w:sz w:val="20"/>
          <w:szCs w:val="20"/>
          <w:color w:val="auto"/>
        </w:rPr>
      </w:pPr>
      <w:r>
        <w:rPr>
          <w:rFonts w:ascii="Courier New" w:cs="Courier New" w:eastAsia="Courier New" w:hAnsi="Courier New"/>
          <w:sz w:val="14"/>
          <w:szCs w:val="14"/>
          <w:color w:val="auto"/>
        </w:rPr>
        <w:t>The Company also is subject to a complaint filed in August, 1998 in the Chancery Court for Davidson County, Tennessee, inherited from Old CCA in the 1999 Merger.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 The Company is defending this action vigorously, and cannot be assured that the determination of the action in a manner adverse to the Company will not have a material adverse effect upon the Company.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SHELF REGISTRATION</w:t>
      </w:r>
    </w:p>
    <w:p>
      <w:pPr>
        <w:spacing w:after="0" w:line="168" w:lineRule="exact"/>
        <w:rPr>
          <w:sz w:val="20"/>
          <w:szCs w:val="20"/>
          <w:color w:val="auto"/>
        </w:rPr>
      </w:pPr>
    </w:p>
    <w:p>
      <w:pPr>
        <w:ind w:right="3459" w:firstLine="763"/>
        <w:spacing w:after="0" w:line="258" w:lineRule="auto"/>
        <w:rPr>
          <w:sz w:val="20"/>
          <w:szCs w:val="20"/>
          <w:color w:val="auto"/>
        </w:rPr>
      </w:pPr>
      <w:r>
        <w:rPr>
          <w:rFonts w:ascii="Courier New" w:cs="Courier New" w:eastAsia="Courier New" w:hAnsi="Courier New"/>
          <w:sz w:val="14"/>
          <w:szCs w:val="14"/>
          <w:color w:val="auto"/>
        </w:rPr>
        <w:t>On January 11, 1999, the Company filed a Registration Statement on Form S-3 to register an aggregate of $1.5 billion in value of its Common Stock, preferred stock, common stock rights, warrants and debt securities for sale to the public (the "Shelf Registration Statement"). As of March 15, 2000, the Company has issued and sold approximately 6.7 million shares of Common Stock under the Shelf Registration Statement, resulting in net proceeds to the Company of approximately $120.0 million, with the most recent issuance and sale occurring during the second quarter of 1999. Proceeds from sales of Common Stock under the Shelf Registration Statement have been used for general corporate purposes, including the acquisition and development of correction and detention facilities.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REINVESTMENT PLAN</w:t>
      </w:r>
    </w:p>
    <w:p>
      <w:pPr>
        <w:spacing w:after="0" w:line="168" w:lineRule="exact"/>
        <w:rPr>
          <w:sz w:val="20"/>
          <w:szCs w:val="20"/>
          <w:color w:val="auto"/>
        </w:rPr>
      </w:pPr>
    </w:p>
    <w:p>
      <w:pPr>
        <w:ind w:right="3459" w:firstLine="763"/>
        <w:spacing w:after="0" w:line="260" w:lineRule="auto"/>
        <w:rPr>
          <w:sz w:val="20"/>
          <w:szCs w:val="20"/>
          <w:color w:val="auto"/>
        </w:rPr>
      </w:pPr>
      <w:r>
        <w:rPr>
          <w:rFonts w:ascii="Courier New" w:cs="Courier New" w:eastAsia="Courier New" w:hAnsi="Courier New"/>
          <w:sz w:val="14"/>
          <w:szCs w:val="14"/>
          <w:color w:val="auto"/>
        </w:rPr>
        <w:t>On May 14, 1999, the Company registered 10.0 million shares of the Company's Common Stock for issuance under the Company's Dividend Reinvestment and Stock Purchase Plan (the "DRSPP"). The DRSPP provides a method of investing cash dividends in, and making optional monthly cash purchases of the Company's Common Stock, at prices reflecting a discount between 0% and 5% from the market price of the Common Stock on the NYSE. As of March 15, 2000, the Company has issued 1,261,432 shares under the DRSPP with 1,252,994 of these shares issued under the DRSPP's optional cash feature resulting in proceeds of approximately $12.3 million. The Company has temporarily suspended the DRSPP pending the completion of the Restructuring and related transactions.</w:t>
      </w:r>
    </w:p>
    <w:p>
      <w:pPr>
        <w:spacing w:after="0" w:line="23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25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NOTES OFFERING</w:t>
      </w:r>
    </w:p>
    <w:p>
      <w:pPr>
        <w:spacing w:after="0" w:line="168" w:lineRule="exact"/>
        <w:rPr>
          <w:sz w:val="20"/>
          <w:szCs w:val="20"/>
          <w:color w:val="auto"/>
        </w:rPr>
      </w:pPr>
    </w:p>
    <w:p>
      <w:pPr>
        <w:ind w:right="3359" w:firstLine="763"/>
        <w:spacing w:after="0" w:line="253" w:lineRule="auto"/>
        <w:rPr>
          <w:sz w:val="20"/>
          <w:szCs w:val="20"/>
          <w:color w:val="auto"/>
        </w:rPr>
      </w:pPr>
      <w:r>
        <w:rPr>
          <w:rFonts w:ascii="Courier New" w:cs="Courier New" w:eastAsia="Courier New" w:hAnsi="Courier New"/>
          <w:sz w:val="14"/>
          <w:szCs w:val="14"/>
          <w:color w:val="auto"/>
        </w:rPr>
        <w:t>On June 11, 1999 the Company completed its offering of $100.0 million aggregate principal amount of 12% Senior Notes due 2006 (the "Senior Notes"). Interest on the Senior Notes is paid semi-annually in arrears and have a seven year term due June 1, 2006. Net proceeds from the offering of the Senior Notes were approximately $95.0 million after deducting expenses payable by the Company in connection with the offering. The Company used the net proceeds from the sale of the Senior Notes for general corporate purposes and to repay revolving bank borrowings under its bank credit facility. The bank credit facility repayments did not permanently reduce the commitments under the bank credit facility. The Company currently is in compliance with the provisions of the indenture governing the Senior Notes. However, under the terms of the indenture, the Company will be required to obtain an opinion as to the fairness, from a financial point of view, to the Company of the amendments to the terms of the CCA Leases and the amendments to the other agreements between the Company and CCA. In addition, the indenture governing the Senior Notes contains a provision which allows the holders thereof to accelerate the Senior Notes and seek remedies if the Company has a payment default under its bank credit facility or if the obligations under the Company's bank credit facility have been accelerated.</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CONVERTIBLE, SUBORDINATED NOTES</w:t>
      </w:r>
    </w:p>
    <w:p>
      <w:pPr>
        <w:spacing w:after="0" w:line="168" w:lineRule="exact"/>
        <w:rPr>
          <w:sz w:val="20"/>
          <w:szCs w:val="20"/>
          <w:color w:val="auto"/>
        </w:rPr>
      </w:pPr>
    </w:p>
    <w:p>
      <w:pPr>
        <w:ind w:right="3459" w:firstLine="763"/>
        <w:spacing w:after="0" w:line="256" w:lineRule="auto"/>
        <w:rPr>
          <w:sz w:val="20"/>
          <w:szCs w:val="20"/>
          <w:color w:val="auto"/>
        </w:rPr>
      </w:pPr>
      <w:r>
        <w:rPr>
          <w:rFonts w:ascii="Courier New" w:cs="Courier New" w:eastAsia="Courier New" w:hAnsi="Courier New"/>
          <w:sz w:val="14"/>
          <w:szCs w:val="14"/>
          <w:color w:val="auto"/>
        </w:rPr>
        <w:t>On March 8, 1999, the Company issued a $20.0 million convertible subordinated note to Sodexho pursuant to a forward contract assumed by the Company from Old CCA in the Merger. Interest on the note was payable at LIBOR plus 1.35%, and the note was convertible into shares of the Company's common stock at a conversion price of $7.80 per share. On March 8, 1999, Sodexho converted: (i) $7.0 million of convertible subordinated notes assumed by the Company from Old CCA in the 1999 Merger bearing interest at 8.5% into 1.7 million shares of Common Stock at a conversion price of $4.09 per share; (ii) $20.0 million of convertible notes assumed by the Company from Old CCA in the 1999 Merger bearing interest at 7.5% into 700,000 shares of Common Stock at a conversion price of $28.53; and (iii) $20.0 million of convertible subordinated notes bearing interest at LIBOR plus 1.35% into 2.6 million shares of Common Stock at a conversion price of $7.80 per share.</w:t>
      </w:r>
    </w:p>
    <w:p>
      <w:pPr>
        <w:spacing w:after="0" w:line="84" w:lineRule="exact"/>
        <w:rPr>
          <w:sz w:val="20"/>
          <w:szCs w:val="20"/>
          <w:color w:val="auto"/>
        </w:rPr>
      </w:pPr>
    </w:p>
    <w:p>
      <w:pPr>
        <w:ind w:right="3459" w:firstLine="763"/>
        <w:spacing w:after="0" w:line="261" w:lineRule="auto"/>
        <w:rPr>
          <w:sz w:val="20"/>
          <w:szCs w:val="20"/>
          <w:color w:val="auto"/>
        </w:rPr>
      </w:pPr>
      <w:r>
        <w:rPr>
          <w:rFonts w:ascii="Courier New" w:cs="Courier New" w:eastAsia="Courier New" w:hAnsi="Courier New"/>
          <w:sz w:val="14"/>
          <w:szCs w:val="14"/>
          <w:color w:val="auto"/>
        </w:rPr>
        <w:t>On January 29, 1999, the Company issued $20.0 million of the MDP Notes with interest payable semi-annually at 9.5%. The MDP Notes are convertible into shares of the Company's Common Stock at a conversion price of $28.00 per share, which has been adjusted to $23.63. This issuance constituted the second tranche of a commitment by the Company to issue an aggregate of $40.0 million of the MDP Notes with the first $20.0 million tranche issued in December, 1998 under substantially similar terms. See "--Recent Developments--Solicitation of Consents for Waivers of, and Amendments to, Provisions of the Company's and CCA's Outstanding Indebtedness."</w:t>
      </w:r>
    </w:p>
    <w:p>
      <w:pPr>
        <w:spacing w:after="0" w:line="7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$30.0 million of 7.5% convertible, subordinated notes issued to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PMI Mezzanine Fund L.P. in connection with the 1999 Merger require that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revise the conversion price as a result of the payment of a dividend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issuance of stock or convertible securities below market price. 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1999, the conversion price for the notes was $23.63, as compared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$27.42 at issuance. This change in conversion price resulted from dividends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paid by the Company in 1999 and from the conversion of the three convertible,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notes previously issued by the Company to Sodexho and converted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into approximately five million shares of the Company's Common Stock. 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Developments--Solicitation of Consents for Waivers of, and Amendments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Provisions of the Company's and CCA's Outstanding Indebtedness."</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OF MAURICE H. SIGLER DETENTION CENTER</w:t>
      </w:r>
    </w:p>
    <w:p>
      <w:pPr>
        <w:spacing w:after="0" w:line="168" w:lineRule="exact"/>
        <w:rPr>
          <w:sz w:val="20"/>
          <w:szCs w:val="20"/>
          <w:color w:val="auto"/>
        </w:rPr>
      </w:pPr>
    </w:p>
    <w:p>
      <w:pPr>
        <w:ind w:right="3459" w:firstLine="763"/>
        <w:spacing w:after="0" w:line="263" w:lineRule="auto"/>
        <w:rPr>
          <w:sz w:val="20"/>
          <w:szCs w:val="20"/>
          <w:color w:val="auto"/>
        </w:rPr>
      </w:pPr>
      <w:r>
        <w:rPr>
          <w:rFonts w:ascii="Courier New" w:cs="Courier New" w:eastAsia="Courier New" w:hAnsi="Courier New"/>
          <w:sz w:val="14"/>
          <w:szCs w:val="14"/>
          <w:color w:val="auto"/>
        </w:rPr>
        <w:t>On December 29, 1999, the Company sold the 1,008 bed Maurice H. Sigler Detention Center located in Frostproof, Polk County, Florida to Polk County pursuant to the exercise of an option to purchase the facility granted to Polk County in connection with the award of a facility management contract to Old CCA in 1996. Under the terms of the option, Polk County paid an aggregate purchase price of $40.8 million for the facility, which was equal to the depreciated book value, determined in accordance with generally accepted accounting principles, of the facility. After</w:t>
      </w:r>
    </w:p>
    <w:p>
      <w:pPr>
        <w:spacing w:after="0" w:line="24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25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331" w:lineRule="exact"/>
        <w:rPr>
          <w:sz w:val="20"/>
          <w:szCs w:val="20"/>
          <w:color w:val="auto"/>
        </w:rPr>
      </w:pPr>
    </w:p>
    <w:p>
      <w:pPr>
        <w:ind w:right="3539"/>
        <w:spacing w:after="0" w:line="286" w:lineRule="auto"/>
        <w:rPr>
          <w:sz w:val="20"/>
          <w:szCs w:val="20"/>
          <w:color w:val="auto"/>
        </w:rPr>
      </w:pPr>
      <w:r>
        <w:rPr>
          <w:rFonts w:ascii="Courier New" w:cs="Courier New" w:eastAsia="Courier New" w:hAnsi="Courier New"/>
          <w:sz w:val="14"/>
          <w:szCs w:val="14"/>
          <w:color w:val="auto"/>
        </w:rPr>
        <w:t>considering the selling costs incurred by the Company, a loss of approximately $400,000 was recorded in the fourth quarter of 1999. The Company used the proceeds from the sale to reduce amounts outstanding under the Company's amended bank credit facility and for general working capital purposes.</w:t>
      </w: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ABOUT INDUSTRY SEGMENTS</w:t>
      </w:r>
    </w:p>
    <w:p>
      <w:pPr>
        <w:spacing w:after="0" w:line="168" w:lineRule="exact"/>
        <w:rPr>
          <w:sz w:val="20"/>
          <w:szCs w:val="20"/>
          <w:color w:val="auto"/>
        </w:rPr>
      </w:pPr>
    </w:p>
    <w:p>
      <w:pPr>
        <w:ind w:right="3459" w:firstLine="763"/>
        <w:spacing w:after="0" w:line="276" w:lineRule="auto"/>
        <w:rPr>
          <w:sz w:val="20"/>
          <w:szCs w:val="20"/>
          <w:color w:val="auto"/>
        </w:rPr>
      </w:pPr>
      <w:r>
        <w:rPr>
          <w:rFonts w:ascii="Courier New" w:cs="Courier New" w:eastAsia="Courier New" w:hAnsi="Courier New"/>
          <w:sz w:val="14"/>
          <w:szCs w:val="14"/>
          <w:color w:val="auto"/>
        </w:rPr>
        <w:t>The Company is currently engaged primarily in the business of financing, designing, constructing and renovating new and existing jails and prisons that it leases to both private prison managers and government agencies. The financial statements and supplementary data required by Regulation S-X are included in this report on Form 10-K commencing on page F-2.</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NARRATIVE DESCRIPTION OF BUSINESS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OBJECTIVES AND STRATEGIES</w:t>
      </w:r>
    </w:p>
    <w:p>
      <w:pPr>
        <w:spacing w:after="0" w:line="168" w:lineRule="exact"/>
        <w:rPr>
          <w:sz w:val="20"/>
          <w:szCs w:val="20"/>
          <w:color w:val="auto"/>
        </w:rPr>
      </w:pPr>
    </w:p>
    <w:p>
      <w:pPr>
        <w:ind w:right="3459" w:firstLine="763"/>
        <w:spacing w:after="0" w:line="249" w:lineRule="auto"/>
        <w:rPr>
          <w:sz w:val="20"/>
          <w:szCs w:val="20"/>
          <w:color w:val="auto"/>
        </w:rPr>
      </w:pPr>
      <w:r>
        <w:rPr>
          <w:rFonts w:ascii="Courier New" w:cs="Courier New" w:eastAsia="Courier New" w:hAnsi="Courier New"/>
          <w:sz w:val="14"/>
          <w:szCs w:val="14"/>
          <w:color w:val="auto"/>
        </w:rPr>
        <w:t>GENERAL. The Company was formed to continue the success of its predecessors in capitalizing on the opportunities for privatization in the corrections and detention industry. The principal business strategy of the Company has been to own, design, build and finance new correctional and detention facilities that meet the Company's investment criteria, to acquire existing facilities meeting such criteria from both private prison managers and government entities, to expand the design capacity of its existing facilities and to lease all such facilities under long-term "triple net" leases to government entities and qualified third-party private prison operators. In this regard, at March 15, 2000, the Company owned or was in the process of developing 50 correctional and detention facilities, of which 43 were operating, four were under construction or expansion and three were in the planning stages. At March 15, 2000, CCA, the Company's primary tenant, leased</w:t>
      </w:r>
    </w:p>
    <w:p>
      <w:pPr>
        <w:spacing w:after="0" w:line="7" w:lineRule="exact"/>
        <w:rPr>
          <w:sz w:val="20"/>
          <w:szCs w:val="20"/>
          <w:color w:val="auto"/>
        </w:rPr>
      </w:pPr>
    </w:p>
    <w:p>
      <w:pPr>
        <w:ind w:right="3459"/>
        <w:spacing w:after="0" w:line="262" w:lineRule="auto"/>
        <w:rPr>
          <w:sz w:val="20"/>
          <w:szCs w:val="20"/>
          <w:color w:val="auto"/>
        </w:rPr>
      </w:pPr>
      <w:r>
        <w:rPr>
          <w:rFonts w:ascii="Courier New" w:cs="Courier New" w:eastAsia="Courier New" w:hAnsi="Courier New"/>
          <w:sz w:val="14"/>
          <w:szCs w:val="14"/>
          <w:color w:val="auto"/>
        </w:rPr>
        <w:t>34 of the Company's facilities, government agencies leased six of the Company's facilities and private operators leased three of the facilities. The substantial majority of the Company's revenues comes from the rental payments received under the terms of the Company's leases, including the CCA Leases. However, the Company and CCA intend to amend the terms of the CCA Leases to restructure the rental payments due thereunder. See "Recent Developments."</w:t>
      </w:r>
    </w:p>
    <w:p>
      <w:pPr>
        <w:spacing w:after="0" w:line="77" w:lineRule="exact"/>
        <w:rPr>
          <w:sz w:val="20"/>
          <w:szCs w:val="20"/>
          <w:color w:val="auto"/>
        </w:rPr>
      </w:pPr>
    </w:p>
    <w:p>
      <w:pPr>
        <w:ind w:right="3459" w:firstLine="763"/>
        <w:spacing w:after="0" w:line="252" w:lineRule="auto"/>
        <w:rPr>
          <w:sz w:val="20"/>
          <w:szCs w:val="20"/>
          <w:color w:val="auto"/>
        </w:rPr>
      </w:pPr>
      <w:r>
        <w:rPr>
          <w:rFonts w:ascii="Courier New" w:cs="Courier New" w:eastAsia="Courier New" w:hAnsi="Courier New"/>
          <w:sz w:val="14"/>
          <w:szCs w:val="14"/>
          <w:color w:val="auto"/>
        </w:rPr>
        <w:t>If the Restructuring and related transactions are completed, the Company, through itself and its subsidiaries, will be in the business of owning and operating correctional and detention facilities, including operating the facilities currently being operated by CCA, PMSI and JJFMSI. As a result of the Restructuring, the Company will no longer operate so as to qualify as a REIT, and will instead conduct its business as a taxable C corporation. As discussed herein under the heading "--Recent Events--Restructuring and Related Transactions," as required by the Company's governing instruments, the Company currently intends to elect to be taxed as a REIT for the year ended December 31, 1999. In the event the Company completes the Fortress/Blackstone Restructuring under its existing terms following the required shareholder approval in 2000, the Company will be required to be taxed as a C corporation commencing with the taxable year ended December 31, 1999. In either event, the Company expects that it will be taxed as a C corporation in the taxable year ending December 31, 2000 and thereafter. As a C corporation, the Company will not be required to make the distributions required by the REIT rules, including the distribution of 95% of its taxable income, but rather will be able to retain its after-tax earnings and invest those earnings in the business of the Company. As such, the Company does not intend to make any distributions to the holders of its Common Stock following the completion of the Restructuring and related transactions.</w:t>
      </w:r>
    </w:p>
    <w:p>
      <w:pPr>
        <w:spacing w:after="0" w:line="91" w:lineRule="exact"/>
        <w:rPr>
          <w:sz w:val="20"/>
          <w:szCs w:val="20"/>
          <w:color w:val="auto"/>
        </w:rPr>
      </w:pPr>
    </w:p>
    <w:p>
      <w:pPr>
        <w:ind w:right="3619" w:firstLine="763"/>
        <w:spacing w:after="0" w:line="266" w:lineRule="auto"/>
        <w:rPr>
          <w:sz w:val="20"/>
          <w:szCs w:val="20"/>
          <w:color w:val="auto"/>
        </w:rPr>
      </w:pPr>
      <w:r>
        <w:rPr>
          <w:rFonts w:ascii="Courier New" w:cs="Courier New" w:eastAsia="Courier New" w:hAnsi="Courier New"/>
          <w:sz w:val="14"/>
          <w:szCs w:val="14"/>
          <w:color w:val="auto"/>
        </w:rPr>
        <w:t>The following discussion outlines the business objectives and strategies related to the Company's current business--the ownership and development of correctional and detention facilities--and the Company's operation so as to preserve its ability to qualify as a REIT. The following discussion also outlines the objectives and strategies expected to be adopted by the Company upon the completion of the Restructuring and related transactions.</w:t>
      </w:r>
    </w:p>
    <w:p>
      <w:pPr>
        <w:spacing w:after="0" w:line="74" w:lineRule="exact"/>
        <w:rPr>
          <w:sz w:val="20"/>
          <w:szCs w:val="20"/>
          <w:color w:val="auto"/>
        </w:rPr>
      </w:pPr>
    </w:p>
    <w:p>
      <w:pPr>
        <w:jc w:val="both"/>
        <w:ind w:right="3359" w:firstLine="763"/>
        <w:spacing w:after="0" w:line="306" w:lineRule="auto"/>
        <w:rPr>
          <w:sz w:val="20"/>
          <w:szCs w:val="20"/>
          <w:color w:val="auto"/>
        </w:rPr>
      </w:pPr>
      <w:r>
        <w:rPr>
          <w:rFonts w:ascii="Courier New" w:cs="Courier New" w:eastAsia="Courier New" w:hAnsi="Courier New"/>
          <w:sz w:val="14"/>
          <w:szCs w:val="14"/>
          <w:color w:val="auto"/>
        </w:rPr>
        <w:t>BUSINESS OBJECTIVES. As an entity which has operated so as to preserve its ability to qualify as a REIT, the Company's primary business objectives are to generate increasing returns to its shareholders through increases in cash</w:t>
      </w:r>
    </w:p>
    <w:p>
      <w:pPr>
        <w:spacing w:after="0" w:line="2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25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331" w:lineRule="exact"/>
        <w:rPr>
          <w:sz w:val="20"/>
          <w:szCs w:val="20"/>
          <w:color w:val="auto"/>
        </w:rPr>
      </w:pPr>
    </w:p>
    <w:p>
      <w:pPr>
        <w:ind w:right="3539"/>
        <w:spacing w:after="0" w:line="366" w:lineRule="auto"/>
        <w:rPr>
          <w:sz w:val="20"/>
          <w:szCs w:val="20"/>
          <w:color w:val="auto"/>
        </w:rPr>
      </w:pPr>
      <w:r>
        <w:rPr>
          <w:rFonts w:ascii="Courier New" w:cs="Courier New" w:eastAsia="Courier New" w:hAnsi="Courier New"/>
          <w:sz w:val="14"/>
          <w:szCs w:val="14"/>
          <w:color w:val="auto"/>
        </w:rPr>
        <w:t>flow available for distribution and to maximize long-term total returns to its shareholders. The Company generally seeks to achieve these objectives by:</w:t>
      </w:r>
    </w:p>
    <w:p>
      <w:pPr>
        <w:spacing w:after="0" w:line="6" w:lineRule="exact"/>
        <w:rPr>
          <w:sz w:val="20"/>
          <w:szCs w:val="20"/>
          <w:color w:val="auto"/>
        </w:rPr>
      </w:pPr>
    </w:p>
    <w:p>
      <w:pPr>
        <w:ind w:left="1540" w:right="3359" w:hanging="770"/>
        <w:spacing w:after="0" w:line="263" w:lineRule="auto"/>
        <w:tabs>
          <w:tab w:leader="none" w:pos="15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expanding its existing portfolio of correctional and detention facilities by: (i) designing, building and/or developing correctional and detention facilities for both government entities and qualified third-party operators; and (ii) selectively acquiring correctional and detention facilities that demonstrate potential for significant revenue and cash flow from both private prison managers and government entities;</w:t>
      </w:r>
    </w:p>
    <w:p>
      <w:pPr>
        <w:spacing w:after="0" w:line="77" w:lineRule="exact"/>
        <w:rPr>
          <w:rFonts w:ascii="Courier New" w:cs="Courier New" w:eastAsia="Courier New" w:hAnsi="Courier New"/>
          <w:sz w:val="14"/>
          <w:szCs w:val="14"/>
          <w:color w:val="auto"/>
        </w:rPr>
      </w:pPr>
    </w:p>
    <w:p>
      <w:pPr>
        <w:ind w:left="1540" w:hanging="770"/>
        <w:spacing w:after="0"/>
        <w:tabs>
          <w:tab w:leader="none" w:pos="15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expanding the design capacity of its existing facilities; and</w:t>
      </w:r>
    </w:p>
    <w:p>
      <w:pPr>
        <w:spacing w:after="0" w:line="167" w:lineRule="exact"/>
        <w:rPr>
          <w:rFonts w:ascii="Courier New" w:cs="Courier New" w:eastAsia="Courier New" w:hAnsi="Courier New"/>
          <w:sz w:val="14"/>
          <w:szCs w:val="14"/>
          <w:color w:val="auto"/>
        </w:rPr>
      </w:pPr>
    </w:p>
    <w:p>
      <w:pPr>
        <w:ind w:left="1540" w:right="3459" w:hanging="770"/>
        <w:spacing w:after="0" w:line="276" w:lineRule="auto"/>
        <w:tabs>
          <w:tab w:leader="none" w:pos="15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leasing its facilities pursuant to leases under which its lessees pay base rent with certain annual escalations and pay certain expenses in connection with the operation of the property, such as real estate taxes, insurance, utilities and services, maintenance and other operating expenses.</w:t>
      </w:r>
    </w:p>
    <w:p>
      <w:pPr>
        <w:spacing w:after="0" w:line="67" w:lineRule="exact"/>
        <w:rPr>
          <w:sz w:val="20"/>
          <w:szCs w:val="20"/>
          <w:color w:val="auto"/>
        </w:rPr>
      </w:pPr>
    </w:p>
    <w:p>
      <w:pPr>
        <w:ind w:right="3459" w:firstLine="763"/>
        <w:spacing w:after="0" w:line="276" w:lineRule="auto"/>
        <w:rPr>
          <w:sz w:val="20"/>
          <w:szCs w:val="20"/>
          <w:color w:val="auto"/>
        </w:rPr>
      </w:pPr>
      <w:r>
        <w:rPr>
          <w:rFonts w:ascii="Courier New" w:cs="Courier New" w:eastAsia="Courier New" w:hAnsi="Courier New"/>
          <w:sz w:val="14"/>
          <w:szCs w:val="14"/>
          <w:color w:val="auto"/>
        </w:rPr>
        <w:t>Following the Restructuring and related transactions, the Company's primary business objectives will be to increase revenues and its position as the largest owner, developer and manager of privatized correctional and detention facilities worldwide. The Company expects to achieve these objectives by:</w:t>
      </w:r>
    </w:p>
    <w:p>
      <w:pPr>
        <w:spacing w:after="0" w:line="67" w:lineRule="exact"/>
        <w:rPr>
          <w:sz w:val="20"/>
          <w:szCs w:val="20"/>
          <w:color w:val="auto"/>
        </w:rPr>
      </w:pPr>
    </w:p>
    <w:p>
      <w:pPr>
        <w:ind w:left="780" w:right="3459"/>
        <w:spacing w:after="0" w:line="251" w:lineRule="auto"/>
        <w:rPr>
          <w:sz w:val="20"/>
          <w:szCs w:val="20"/>
          <w:color w:val="auto"/>
        </w:rPr>
      </w:pPr>
      <w:r>
        <w:rPr>
          <w:rFonts w:ascii="Courier New" w:cs="Courier New" w:eastAsia="Courier New" w:hAnsi="Courier New"/>
          <w:sz w:val="14"/>
          <w:szCs w:val="14"/>
          <w:color w:val="auto"/>
        </w:rPr>
        <w:t>Efficient Development and Management of Facilities. The newly combined company will continue to provide the high quality, cost-efficient management of correctional and detention facilities currently being provided by CCA, PMSI and JJFMSI. The Company believes that its quality of personnel, efficient application of financial resources and adherence to proven policies and procedures will enable it to design, develop and manage correctional and detention facilities at costs lower than those of government agencies that are responsible for performing such services. The Company believes that the reputations of its predecessors as innovative and effective owners and managers of facilities will enhance its ability to market its services and capitalize on a larger scope of opportunities with a variety of government agencies. The Company also recognizes the importance of the facility administrator and the facility's management team in the successful financial performance of each facility. The Company believes that CCA's reputation will enable it to attract highly-qualified facility administrators. Each facility management team will operate each facility in accordance with a company-wide policy and procedure regimen derived from industry standards and designed to ensure the delivery of consistent, high quality services in each of its facilities. The Company will seek to minimize operating expenses by designing its facilities to optimize correctional officer staffing consistent with facility security requirements. The Company will further control operating expenses through the continued use of electronic surveillance systems and other technologies.</w:t>
      </w:r>
    </w:p>
    <w:p>
      <w:pPr>
        <w:spacing w:after="0" w:line="93" w:lineRule="exact"/>
        <w:rPr>
          <w:sz w:val="20"/>
          <w:szCs w:val="20"/>
          <w:color w:val="auto"/>
        </w:rPr>
      </w:pPr>
    </w:p>
    <w:p>
      <w:pPr>
        <w:ind w:left="780" w:right="3459"/>
        <w:spacing w:after="0" w:line="256" w:lineRule="auto"/>
        <w:rPr>
          <w:sz w:val="20"/>
          <w:szCs w:val="20"/>
          <w:color w:val="auto"/>
        </w:rPr>
      </w:pPr>
      <w:r>
        <w:rPr>
          <w:rFonts w:ascii="Courier New" w:cs="Courier New" w:eastAsia="Courier New" w:hAnsi="Courier New"/>
          <w:sz w:val="14"/>
          <w:szCs w:val="14"/>
          <w:color w:val="auto"/>
        </w:rPr>
        <w:t>Development of Domestic Business Opportunities. As a result of the growth in the demand for privatized correctional and detention facilities, the Company will be selective in the projects it pursues. The Company will pursue projects based on probability of success, geographic location, size, potential profitability, and political and community acceptability which is intended to allow the Company to enhance its market share and optimize resource allocation, profitability and financial return. The Company intends to focus on institutions with an emphasis on medium to maximum security that are 500 to 1,000 beds or larger. Management believes that the experience and reputation of the newly-combined company in managing large secure facilities will enable it to maintain its industry position and to capitalize on the trend of governments to privatize larger facilities.</w:t>
      </w:r>
    </w:p>
    <w:p>
      <w:pPr>
        <w:spacing w:after="0" w:line="84" w:lineRule="exact"/>
        <w:rPr>
          <w:sz w:val="20"/>
          <w:szCs w:val="20"/>
          <w:color w:val="auto"/>
        </w:rPr>
      </w:pPr>
    </w:p>
    <w:p>
      <w:pPr>
        <w:ind w:left="780" w:right="3459"/>
        <w:spacing w:after="0" w:line="266" w:lineRule="auto"/>
        <w:rPr>
          <w:sz w:val="20"/>
          <w:szCs w:val="20"/>
          <w:color w:val="auto"/>
        </w:rPr>
      </w:pPr>
      <w:r>
        <w:rPr>
          <w:rFonts w:ascii="Courier New" w:cs="Courier New" w:eastAsia="Courier New" w:hAnsi="Courier New"/>
          <w:sz w:val="14"/>
          <w:szCs w:val="14"/>
          <w:color w:val="auto"/>
        </w:rPr>
        <w:t>Expansion into International Markets. The Company believes that the majority of its new business will come from within the United States. While management will not detract from its domestic business to pursue international activities, the Company will continue to participate in selected international projects it finds attractive. The Company also believes that in order to compete effectively in international markets it must enter</w:t>
      </w:r>
    </w:p>
    <w:p>
      <w:pPr>
        <w:spacing w:after="0" w:line="23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257"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331" w:lineRule="exact"/>
        <w:rPr>
          <w:sz w:val="20"/>
          <w:szCs w:val="20"/>
          <w:color w:val="auto"/>
        </w:rPr>
      </w:pPr>
    </w:p>
    <w:p>
      <w:pPr>
        <w:ind w:left="780" w:right="3699"/>
        <w:spacing w:after="0" w:line="306" w:lineRule="auto"/>
        <w:rPr>
          <w:sz w:val="20"/>
          <w:szCs w:val="20"/>
          <w:color w:val="auto"/>
        </w:rPr>
      </w:pPr>
      <w:r>
        <w:rPr>
          <w:rFonts w:ascii="Courier New" w:cs="Courier New" w:eastAsia="Courier New" w:hAnsi="Courier New"/>
          <w:sz w:val="14"/>
          <w:szCs w:val="14"/>
          <w:color w:val="auto"/>
        </w:rPr>
        <w:t>into alliances with strategic local partners in the international marketplace with access to local opportunities and familiarity with local business practices.</w:t>
      </w:r>
    </w:p>
    <w:p>
      <w:pPr>
        <w:spacing w:after="0" w:line="46" w:lineRule="exact"/>
        <w:rPr>
          <w:sz w:val="20"/>
          <w:szCs w:val="20"/>
          <w:color w:val="auto"/>
        </w:rPr>
      </w:pPr>
    </w:p>
    <w:p>
      <w:pPr>
        <w:ind w:right="3459" w:firstLine="763"/>
        <w:spacing w:after="0" w:line="256" w:lineRule="auto"/>
        <w:rPr>
          <w:sz w:val="20"/>
          <w:szCs w:val="20"/>
          <w:color w:val="auto"/>
        </w:rPr>
      </w:pPr>
      <w:r>
        <w:rPr>
          <w:rFonts w:ascii="Courier New" w:cs="Courier New" w:eastAsia="Courier New" w:hAnsi="Courier New"/>
          <w:sz w:val="14"/>
          <w:szCs w:val="14"/>
          <w:color w:val="auto"/>
        </w:rPr>
        <w:t>BUSINESS STRATEGY. The Company believes that it currently is, and following the Restructuring and related transactions, will be, well positioned to take advantage of the increasing trend towards privatization. The Company currently is the only full service private corrections provider and is able to benefit from every type of private sector/public sector partnership with respect to correctional and detention facilities, including: (1) facilities owned by the Company and managed by CCA; (2) facilities owned by the Company and managed by other private operators; (3) facilities owned by the Company and managed by government entities; and (4) facilities owned by government entities and managed by PMSI or JJFMSI. Following the Restructuring and related transactions, the Company will continue to benefit from these partnerships as it will own and manage all of the correctional and detention facilities currently owned and managed by CCA, PMSI and JJFMSI.</w:t>
      </w:r>
    </w:p>
    <w:p>
      <w:pPr>
        <w:spacing w:after="0" w:line="84" w:lineRule="exact"/>
        <w:rPr>
          <w:sz w:val="20"/>
          <w:szCs w:val="20"/>
          <w:color w:val="auto"/>
        </w:rPr>
      </w:pPr>
    </w:p>
    <w:p>
      <w:pPr>
        <w:ind w:right="3539" w:firstLine="763"/>
        <w:spacing w:after="0" w:line="260" w:lineRule="auto"/>
        <w:rPr>
          <w:sz w:val="20"/>
          <w:szCs w:val="20"/>
          <w:color w:val="auto"/>
        </w:rPr>
      </w:pPr>
      <w:r>
        <w:rPr>
          <w:rFonts w:ascii="Courier New" w:cs="Courier New" w:eastAsia="Courier New" w:hAnsi="Courier New"/>
          <w:sz w:val="14"/>
          <w:szCs w:val="14"/>
          <w:color w:val="auto"/>
        </w:rPr>
        <w:t>The Company's principal business strategy currently is to design, build and finance new correctional and detention facilities for, as well as to acquire and renovate existing facilities from, both governmental entities and private prison managers and to lease these facilities under long-term "triple net" leases to government entities and qualified third-party operators. Substantially all of the Company's income currently comes from rent payments from leases of correctional and detention facilities. Following the Restructuring and related transactions, substantially all of the Company's income will be derived from contracts with government entities for the provision of correctional and detention facility management services.</w:t>
      </w:r>
    </w:p>
    <w:p>
      <w:pPr>
        <w:spacing w:after="0" w:line="76" w:lineRule="exact"/>
        <w:rPr>
          <w:sz w:val="20"/>
          <w:szCs w:val="20"/>
          <w:color w:val="auto"/>
        </w:rPr>
      </w:pPr>
    </w:p>
    <w:p>
      <w:pPr>
        <w:ind w:right="3459" w:firstLine="763"/>
        <w:spacing w:after="0" w:line="266" w:lineRule="auto"/>
        <w:rPr>
          <w:sz w:val="20"/>
          <w:szCs w:val="20"/>
          <w:color w:val="auto"/>
        </w:rPr>
      </w:pPr>
      <w:r>
        <w:rPr>
          <w:rFonts w:ascii="Courier New" w:cs="Courier New" w:eastAsia="Courier New" w:hAnsi="Courier New"/>
          <w:sz w:val="14"/>
          <w:szCs w:val="14"/>
          <w:color w:val="auto"/>
        </w:rPr>
        <w:t>The Industry. The Company believes the United States private corrections industry is in a period of significant growth as governments of all types face continuing pressure to control costs and improve the quality of services. As the number of crimes committed each year, and the corresponding number of arrests, increase, governments are increasingly willing to consider privatization of correctional and detention services as a means of controlling costs and improving the quality of services.</w:t>
      </w:r>
    </w:p>
    <w:p>
      <w:pPr>
        <w:spacing w:after="0" w:line="74" w:lineRule="exact"/>
        <w:rPr>
          <w:sz w:val="20"/>
          <w:szCs w:val="20"/>
          <w:color w:val="auto"/>
        </w:rPr>
      </w:pPr>
    </w:p>
    <w:p>
      <w:pPr>
        <w:ind w:right="3459" w:firstLine="763"/>
        <w:spacing w:after="0" w:line="254" w:lineRule="auto"/>
        <w:rPr>
          <w:sz w:val="20"/>
          <w:szCs w:val="20"/>
          <w:color w:val="auto"/>
        </w:rPr>
      </w:pPr>
      <w:r>
        <w:rPr>
          <w:rFonts w:ascii="Courier New" w:cs="Courier New" w:eastAsia="Courier New" w:hAnsi="Courier New"/>
          <w:sz w:val="14"/>
          <w:szCs w:val="14"/>
          <w:color w:val="auto"/>
        </w:rPr>
        <w:t>According to the Private Adult Correctional Facility Census (the "Census"), prepared by Charles W. Thomas, a director of and consultant to the Company, the design capacity of privately managed adult correctional and detention facilities worldwide has increased dramatically since the first privatized facility was opened by Old CCA in 1984. The majority of this growth has occurred since 1989, as the number of privately managed adult correctional and detention facilities in operation or under construction worldwide increased from 26 facilities with a design capacity of 10,973 beds in 1989 to 188 facilities with a design capacity of 145,160 beds in 1999. The majority of all private prison management contracts are in the United States. According to the Census, at December 31, 1999, 158 of the 188 private correctional facilities were in the United States, with the remaining 30 divided between Australia, the United Kingdom, South Africa, the Netherlands Antilles and New Zealand. According to the Census, the aggregate capacity of private facilities in operation or under construction rose from 132,572 beds at December 31, 1998, to 145,160 beds at December 31, 1999, an increase of 9.5%.</w:t>
      </w:r>
    </w:p>
    <w:p>
      <w:pPr>
        <w:spacing w:after="0" w:line="87" w:lineRule="exact"/>
        <w:rPr>
          <w:sz w:val="20"/>
          <w:szCs w:val="20"/>
          <w:color w:val="auto"/>
        </w:rPr>
      </w:pPr>
    </w:p>
    <w:p>
      <w:pPr>
        <w:ind w:right="3459" w:firstLine="763"/>
        <w:spacing w:after="0" w:line="256" w:lineRule="auto"/>
        <w:rPr>
          <w:sz w:val="20"/>
          <w:szCs w:val="20"/>
          <w:color w:val="auto"/>
        </w:rPr>
      </w:pPr>
      <w:r>
        <w:rPr>
          <w:rFonts w:ascii="Courier New" w:cs="Courier New" w:eastAsia="Courier New" w:hAnsi="Courier New"/>
          <w:sz w:val="14"/>
          <w:szCs w:val="14"/>
          <w:color w:val="auto"/>
        </w:rPr>
        <w:t>The Census reports that at December 31, 1999 there were 30 state jurisdictions, the District of Columbia and Puerto Rico, within which there were private facilities in operation or under construction. Further, all three federal agencies with prisoner custody responsibilities (i.e., the United States Bureau of Prisons (the "BOP"), the U.S. Immigration and Naturalization Service (the "INS") and the U.S. Marshals Service (the "USMS")) continued to contract with private management firms. Management believes that the continued trend is a result of the fact that private companies competing with each other are incentivized to keep costs down and to improve the quality of services. Various industry studies show that cost savings from privately operated prisons may be in the range of 10-15%. Further, based on recidivism rates, the quality of services is generally better in privately operated prisons than in public prisons.</w:t>
      </w:r>
    </w:p>
    <w:p>
      <w:pPr>
        <w:spacing w:after="0" w:line="84" w:lineRule="exact"/>
        <w:rPr>
          <w:sz w:val="20"/>
          <w:szCs w:val="20"/>
          <w:color w:val="auto"/>
        </w:rPr>
      </w:pPr>
    </w:p>
    <w:p>
      <w:pPr>
        <w:ind w:right="3539" w:firstLine="763"/>
        <w:spacing w:after="0" w:line="276" w:lineRule="auto"/>
        <w:rPr>
          <w:sz w:val="20"/>
          <w:szCs w:val="20"/>
          <w:color w:val="auto"/>
        </w:rPr>
      </w:pPr>
      <w:r>
        <w:rPr>
          <w:rFonts w:ascii="Courier New" w:cs="Courier New" w:eastAsia="Courier New" w:hAnsi="Courier New"/>
          <w:sz w:val="14"/>
          <w:szCs w:val="14"/>
          <w:color w:val="auto"/>
        </w:rPr>
        <w:t>Management believes that the trend of increasing privatization of the corrections industry will also continue, in large part, because of the general shortage of beds available in United States correctional and detention facilities. According to reports issued by the United States Department of Justice, Bureau of Justice statistics ("BJS"), the number</w:t>
      </w:r>
    </w:p>
    <w:p>
      <w:pPr>
        <w:spacing w:after="0" w:line="2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257"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331"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of inmates housed in United States federal and state prison and jail facilities increased from 744,208 at December 31, 1985 to approximately 1,825,400 at December 31, 1998, a compound annual growth rate of 7.3%. As of December 31, 1998, the BJS reported that one in every 149 United States residents was incarcerated. Further, at December 31, 1998, at least 33 state prison systems, as well as the federal prison system and the District of Columbia system are operating at 100% or more of their highest capacity. Industry reports also indicate that inmates convicted of violent crimes generally serve only one-third of their sentence, with the majority of them being repeat offenders. Accordingly, there is a perceived public demand for, among other things, longer prison sentences, as well as prison terms for juvenile offenders, resulting in even more overcrowding in United States correctional and detention facilities. Finally, numerous courts and other government entities in the United States have mandated that additional services offered to inmates be expanded and living conditions be improved. Many governments do not have the readily-available resources to make the changes necessary to meet such mandates.</w:t>
      </w:r>
    </w:p>
    <w:p>
      <w:pPr>
        <w:spacing w:after="0" w:line="250" w:lineRule="exact"/>
        <w:rPr>
          <w:sz w:val="20"/>
          <w:szCs w:val="20"/>
          <w:color w:val="auto"/>
        </w:rPr>
      </w:pPr>
    </w:p>
    <w:p>
      <w:pPr>
        <w:ind w:right="3459" w:firstLine="763"/>
        <w:spacing w:after="0" w:line="255" w:lineRule="auto"/>
        <w:rPr>
          <w:sz w:val="20"/>
          <w:szCs w:val="20"/>
          <w:color w:val="auto"/>
        </w:rPr>
      </w:pPr>
      <w:r>
        <w:rPr>
          <w:rFonts w:ascii="Courier New" w:cs="Courier New" w:eastAsia="Courier New" w:hAnsi="Courier New"/>
          <w:sz w:val="14"/>
          <w:szCs w:val="14"/>
          <w:color w:val="auto"/>
        </w:rPr>
        <w:t>Growth Opportunities. The Company believes it has a competitive advantage in the development, construction, and acquisition of new private correctional and detention facilities due to the Company's ability to finance and build facilities in significantly less time than government entities. The Company intends to obtain the capital necessary to capitalize on this advantage by completing the Restructuring and related transactions, including using the proceeds from the Equity Investment and the Rights Offering and the borrowing capacity under the new senior secured credit facilities to complete the construction of existing projects and obtain additional business. In addition, the Company's operation as a C corporation upon the completion of the Restructuring will allow it to reinvest its after-tax revenues in the Company's business. In the event the Company does not complete the Restructuring, or cannot otherwise raise the capital required to develop and construct additional facilities or expand existing facilities, the Company will not be able to capitalize on its perceived advantages and grow its business.</w:t>
      </w:r>
    </w:p>
    <w:p>
      <w:pPr>
        <w:spacing w:after="0" w:line="82" w:lineRule="exact"/>
        <w:rPr>
          <w:sz w:val="20"/>
          <w:szCs w:val="20"/>
          <w:color w:val="auto"/>
        </w:rPr>
      </w:pPr>
    </w:p>
    <w:p>
      <w:pPr>
        <w:ind w:right="3799" w:firstLine="763"/>
        <w:spacing w:after="0" w:line="306" w:lineRule="auto"/>
        <w:rPr>
          <w:sz w:val="20"/>
          <w:szCs w:val="20"/>
          <w:color w:val="auto"/>
        </w:rPr>
      </w:pPr>
      <w:r>
        <w:rPr>
          <w:rFonts w:ascii="Courier New" w:cs="Courier New" w:eastAsia="Courier New" w:hAnsi="Courier New"/>
          <w:sz w:val="14"/>
          <w:szCs w:val="14"/>
          <w:color w:val="auto"/>
        </w:rPr>
        <w:t>In the event the Company does have access to capital, the Company believes that its competitive advantage will enable it to capitalize on the following opportunities:</w:t>
      </w:r>
    </w:p>
    <w:p>
      <w:pPr>
        <w:spacing w:after="0" w:line="46" w:lineRule="exact"/>
        <w:rPr>
          <w:sz w:val="20"/>
          <w:szCs w:val="20"/>
          <w:color w:val="auto"/>
        </w:rPr>
      </w:pPr>
    </w:p>
    <w:p>
      <w:pPr>
        <w:ind w:left="780" w:right="3539"/>
        <w:spacing w:after="0" w:line="254" w:lineRule="auto"/>
        <w:rPr>
          <w:sz w:val="20"/>
          <w:szCs w:val="20"/>
          <w:color w:val="auto"/>
        </w:rPr>
      </w:pPr>
      <w:r>
        <w:rPr>
          <w:rFonts w:ascii="Courier New" w:cs="Courier New" w:eastAsia="Courier New" w:hAnsi="Courier New"/>
          <w:sz w:val="14"/>
          <w:szCs w:val="14"/>
          <w:color w:val="auto"/>
        </w:rPr>
        <w:t>Government Managed Facilities. Attractive opportunities exist to develop correctional and detention facilities on behalf of various government entities. Historically, government entities have used various methods of construction financing to develop new correctional and detention facilities, including but not limited to the following:</w:t>
      </w:r>
    </w:p>
    <w:p>
      <w:pPr>
        <w:spacing w:after="0" w:line="2" w:lineRule="exact"/>
        <w:rPr>
          <w:sz w:val="20"/>
          <w:szCs w:val="20"/>
          <w:color w:val="auto"/>
        </w:rPr>
      </w:pPr>
    </w:p>
    <w:p>
      <w:pPr>
        <w:ind w:left="780" w:right="3459" w:hanging="10"/>
        <w:spacing w:after="0" w:line="250" w:lineRule="auto"/>
        <w:tabs>
          <w:tab w:leader="none" w:pos="111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one-time general revenue appropriations by the government agency for the cost of the new facility; (ii) general obligation bonds that are secured by either a limited or unlimited tax levied by the issuing government entity; or (iii) lease revenue bonds secured by an annual lease payment that is subject to annual or bi-annual legislative appropriation of funds. Many jurisdictions are operating their correctional and detention facilities at well above their rated capacities, and as a result are under federal court orders to alleviate prison overcrowding within a certain time period. These jurisdictions are often not in a position to appropriate funds or obtain financing to construct a correctional and detention facility because of other fiscal demands or requirements for public approval. Accordingly, the Company believes that, in an attempt to address fiscal pressures of matching revenue collections with projected expenses, many such government entities have been and will be forced to consider private ownership with respect to the development of new correctional and detention facilities and sale-leaseback transactions or other financing alternatives with respect to existing correctional and detention facilities. The Company further believes that by privatizing the development and construction of a facility, a government entity can avoid large capital appropriations and voter referendum issues, freeing itself to direct its resources to other competing infrastructure needs, and accordingly, privatization will become even more attractive.</w:t>
      </w:r>
    </w:p>
    <w:p>
      <w:pPr>
        <w:spacing w:after="0" w:line="86" w:lineRule="exact"/>
        <w:rPr>
          <w:sz w:val="20"/>
          <w:szCs w:val="20"/>
          <w:color w:val="auto"/>
        </w:rPr>
      </w:pPr>
    </w:p>
    <w:p>
      <w:pPr>
        <w:ind w:left="780" w:right="3459"/>
        <w:spacing w:after="0" w:line="276" w:lineRule="auto"/>
        <w:rPr>
          <w:sz w:val="20"/>
          <w:szCs w:val="20"/>
          <w:color w:val="auto"/>
        </w:rPr>
      </w:pPr>
      <w:r>
        <w:rPr>
          <w:rFonts w:ascii="Courier New" w:cs="Courier New" w:eastAsia="Courier New" w:hAnsi="Courier New"/>
          <w:sz w:val="14"/>
          <w:szCs w:val="14"/>
          <w:color w:val="auto"/>
        </w:rPr>
        <w:t>Expansion Opportunities. The Company's growth objectives also focus on the selective expansion of its existing correctional and detention facilities to increase cash flows and property values. The Company is currently developing approximately 1,150 beds through the expansion of three of its currently operating facilities.</w:t>
      </w:r>
    </w:p>
    <w:p>
      <w:pPr>
        <w:spacing w:after="0" w:line="2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25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331" w:lineRule="exact"/>
        <w:rPr>
          <w:sz w:val="20"/>
          <w:szCs w:val="20"/>
          <w:color w:val="auto"/>
        </w:rPr>
      </w:pPr>
    </w:p>
    <w:p>
      <w:pPr>
        <w:ind w:right="3459" w:firstLine="763"/>
        <w:spacing w:after="0" w:line="263" w:lineRule="auto"/>
        <w:rPr>
          <w:sz w:val="20"/>
          <w:szCs w:val="20"/>
          <w:color w:val="auto"/>
        </w:rPr>
      </w:pPr>
      <w:r>
        <w:rPr>
          <w:rFonts w:ascii="Courier New" w:cs="Courier New" w:eastAsia="Courier New" w:hAnsi="Courier New"/>
          <w:sz w:val="14"/>
          <w:szCs w:val="14"/>
          <w:color w:val="auto"/>
        </w:rPr>
        <w:t>The Company's ability to acquire or develop new facilities or to expand its existing facilities depends on its access to financing. There can be no assurance that the Company will be able to acquire or develop correctional facilities that meet its investment criteria. Moreover, acquisitions and expansions entail risks that acquired or expanded facilities will fail to perform in accordance with expectations. See "--Risk Factors--The Company is Subject to Risks Inherent in Investment in Real Estate Properties" herein for a further discussion of this risk.</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AND OTHER CONTRACTUAL RELATIONSHIPS WITH PRIMARY TENANT</w:t>
      </w:r>
    </w:p>
    <w:p>
      <w:pPr>
        <w:spacing w:after="0" w:line="168" w:lineRule="exact"/>
        <w:rPr>
          <w:sz w:val="20"/>
          <w:szCs w:val="20"/>
          <w:color w:val="auto"/>
        </w:rPr>
      </w:pPr>
    </w:p>
    <w:p>
      <w:pPr>
        <w:ind w:right="3459" w:firstLine="763"/>
        <w:spacing w:after="0" w:line="256" w:lineRule="auto"/>
        <w:rPr>
          <w:sz w:val="20"/>
          <w:szCs w:val="20"/>
          <w:color w:val="auto"/>
        </w:rPr>
      </w:pPr>
      <w:r>
        <w:rPr>
          <w:rFonts w:ascii="Courier New" w:cs="Courier New" w:eastAsia="Courier New" w:hAnsi="Courier New"/>
          <w:sz w:val="14"/>
          <w:szCs w:val="14"/>
          <w:color w:val="auto"/>
        </w:rPr>
        <w:t>The Company currently derives a significant portion of its income from its leases and other contractual relationships, including the CCA Note and the Trade Name Use Agreement, with CCA, its primary tenant. As discussed herein under the heading "--Recent Developments--Transactions Between the Company and CCA ," the Company and CCA intend to amend the terms of the CCA leases to restructure the lease payments due the Company under the CCA Leases, and CCA has been required to defer payment of the initial installment of accrued interest due December 31, 1999 under the CCA Note. As the result of the Restructuring and related transactions, if completed, the CCA Leases, as well as the other contractual arrangements between the Company and CCA, will be canceled and of no further force and effect. Notwithstanding the foregoing, the following discussion outlined the terms of the existing CCA Leases and certain other contractual relationships between the Company and CCA.</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w:t>
      </w:r>
    </w:p>
    <w:p>
      <w:pPr>
        <w:spacing w:after="0" w:line="168" w:lineRule="exact"/>
        <w:rPr>
          <w:sz w:val="20"/>
          <w:szCs w:val="20"/>
          <w:color w:val="auto"/>
        </w:rPr>
      </w:pPr>
    </w:p>
    <w:p>
      <w:pPr>
        <w:ind w:right="3459" w:firstLine="763"/>
        <w:spacing w:after="0" w:line="256" w:lineRule="auto"/>
        <w:rPr>
          <w:sz w:val="20"/>
          <w:szCs w:val="20"/>
          <w:color w:val="auto"/>
        </w:rPr>
      </w:pPr>
      <w:r>
        <w:rPr>
          <w:rFonts w:ascii="Courier New" w:cs="Courier New" w:eastAsia="Courier New" w:hAnsi="Courier New"/>
          <w:sz w:val="14"/>
          <w:szCs w:val="14"/>
          <w:color w:val="auto"/>
        </w:rPr>
        <w:t>CCA is the Company's primary tenant, leasing 34 of the Company's 43 currently operating facilities. In connection with the 1999 Merger, the Company and CCA entered into the CCA Leases with a primary term of 12 years (the "Fixed Term") with respect to each facility currently leased by CCA. Each CCA Lease conveys a leasehold interest in the land, the buildings and structures and other improvements thereon, easements, rights and similar appurtenances to such land and improvements, and permanently affixed equipment, machinery and other fixtures relating to the operation of the facility and all personal property necessary to operate the facility for its intended purpose (collectively, the "CCA Leased Property"). Each CCA Lease permits CCA to operate the CCA Leased Property only as a correctional or detention facility. CCA has the responsibility in each CCA Lease to obtain and maintain all licenses, certificates and permits in order to use and operate each facility.</w:t>
      </w:r>
    </w:p>
    <w:p>
      <w:pPr>
        <w:spacing w:after="0" w:line="84" w:lineRule="exact"/>
        <w:rPr>
          <w:sz w:val="20"/>
          <w:szCs w:val="20"/>
          <w:color w:val="auto"/>
        </w:rPr>
      </w:pPr>
    </w:p>
    <w:p>
      <w:pPr>
        <w:ind w:right="3459" w:firstLine="763"/>
        <w:spacing w:after="0" w:line="260" w:lineRule="auto"/>
        <w:rPr>
          <w:sz w:val="20"/>
          <w:szCs w:val="20"/>
          <w:color w:val="auto"/>
        </w:rPr>
      </w:pPr>
      <w:r>
        <w:rPr>
          <w:rFonts w:ascii="Courier New" w:cs="Courier New" w:eastAsia="Courier New" w:hAnsi="Courier New"/>
          <w:sz w:val="14"/>
          <w:szCs w:val="14"/>
          <w:color w:val="auto"/>
        </w:rPr>
        <w:t>The rent for the first year for each facility under the CCA Leases was initially set at a fixed amount (the "Annual Base Rent") and is expected to increase each year by an amount (the "Additional Rent"). Under the CCA Leases as amended, Annual Base Rent and Additional Rent for each CCA Leased Property will be payable in semi-annual installments (rather than in monthly installments as set forth in the existing CCA Leases). The obligations of CCA under each CCA Lease are cross-defaulted to each of the other CCA Leases with respect to payment and certain other defaults. The Company has general recourse to CCA under the CCA Leases, although CCA's payment obligations under such CCA Leases are not secured by any assets of CCA.</w:t>
      </w:r>
    </w:p>
    <w:p>
      <w:pPr>
        <w:spacing w:after="0" w:line="76" w:lineRule="exact"/>
        <w:rPr>
          <w:sz w:val="20"/>
          <w:szCs w:val="20"/>
          <w:color w:val="auto"/>
        </w:rPr>
      </w:pPr>
    </w:p>
    <w:p>
      <w:pPr>
        <w:jc w:val="both"/>
        <w:ind w:right="3619" w:firstLine="763"/>
        <w:spacing w:after="0" w:line="259" w:lineRule="auto"/>
        <w:rPr>
          <w:sz w:val="20"/>
          <w:szCs w:val="20"/>
          <w:color w:val="auto"/>
        </w:rPr>
      </w:pPr>
      <w:r>
        <w:rPr>
          <w:rFonts w:ascii="Courier New" w:cs="Courier New" w:eastAsia="Courier New" w:hAnsi="Courier New"/>
          <w:sz w:val="14"/>
          <w:szCs w:val="14"/>
          <w:color w:val="auto"/>
        </w:rPr>
        <w:t>The CCA Lease for each CCA Leased Property may be extended at fair market rates for three additional five-year terms beyond the Fixed Term (the "Extended Terms"), but only upon the mutual agreement of the Company and CCA.</w:t>
      </w:r>
    </w:p>
    <w:p>
      <w:pPr>
        <w:spacing w:after="0" w:line="2" w:lineRule="exact"/>
        <w:rPr>
          <w:sz w:val="20"/>
          <w:szCs w:val="20"/>
          <w:color w:val="auto"/>
        </w:rPr>
      </w:pPr>
    </w:p>
    <w:p>
      <w:pPr>
        <w:ind w:right="3459"/>
        <w:spacing w:after="0" w:line="260" w:lineRule="auto"/>
        <w:rPr>
          <w:sz w:val="20"/>
          <w:szCs w:val="20"/>
          <w:color w:val="auto"/>
        </w:rPr>
      </w:pPr>
      <w:r>
        <w:rPr>
          <w:rFonts w:ascii="Courier New" w:cs="Courier New" w:eastAsia="Courier New" w:hAnsi="Courier New"/>
          <w:sz w:val="14"/>
          <w:szCs w:val="14"/>
          <w:color w:val="auto"/>
        </w:rPr>
        <w:t>Fair market rates for Extended Terms will be determined mutually by the Company and CCA based on their respective analyses of the market for the relevant facility. The Fixed Term and Extended Terms under each CCA Lease are subject to earlier termination upon the occurrence of certain contingencies described in the CCA Lease. Additionally, each CCA Lease may be terminated by the Company, at its option, at any time after the first five years of the CCA Lease, upon 18 months' written notice to CCA.</w:t>
      </w:r>
    </w:p>
    <w:p>
      <w:pPr>
        <w:spacing w:after="0" w:line="76" w:lineRule="exact"/>
        <w:rPr>
          <w:sz w:val="20"/>
          <w:szCs w:val="20"/>
          <w:color w:val="auto"/>
        </w:rPr>
      </w:pPr>
    </w:p>
    <w:p>
      <w:pPr>
        <w:ind w:right="3459" w:firstLine="763"/>
        <w:spacing w:after="0" w:line="263" w:lineRule="auto"/>
        <w:rPr>
          <w:sz w:val="20"/>
          <w:szCs w:val="20"/>
          <w:color w:val="auto"/>
        </w:rPr>
      </w:pPr>
      <w:r>
        <w:rPr>
          <w:rFonts w:ascii="Courier New" w:cs="Courier New" w:eastAsia="Courier New" w:hAnsi="Courier New"/>
          <w:sz w:val="14"/>
          <w:szCs w:val="14"/>
          <w:color w:val="auto"/>
        </w:rPr>
        <w:t>Each CCA Lease is what is commonly known as a "triple-net" lease or "absolute net" lease, under which CCA is to pay the Annual Base Rent and all additional charges. Under each CCA Lease, CCA must, at its sole cost and expense, maintain each CCA Leased Property in good order, repair and appearance and must make structural improvements or repairs which may be necessary and appropriate to keep such CCA Leased Property in good order, repair and appearance, excluding ordinary wear and tear. CCA, at its sole cost and expense, may make alterations,</w:t>
      </w:r>
    </w:p>
    <w:p>
      <w:pPr>
        <w:spacing w:after="0" w:line="24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25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331" w:lineRule="exact"/>
        <w:rPr>
          <w:sz w:val="20"/>
          <w:szCs w:val="20"/>
          <w:color w:val="auto"/>
        </w:rPr>
      </w:pPr>
    </w:p>
    <w:p>
      <w:pPr>
        <w:ind w:right="3459"/>
        <w:spacing w:after="0" w:line="257" w:lineRule="auto"/>
        <w:rPr>
          <w:sz w:val="20"/>
          <w:szCs w:val="20"/>
          <w:color w:val="auto"/>
        </w:rPr>
      </w:pPr>
      <w:r>
        <w:rPr>
          <w:rFonts w:ascii="Courier New" w:cs="Courier New" w:eastAsia="Courier New" w:hAnsi="Courier New"/>
          <w:sz w:val="14"/>
          <w:szCs w:val="14"/>
          <w:color w:val="auto"/>
        </w:rPr>
        <w:t>additions, changes and/or improvements to each CCA Leased Property with the prior written consent of the Company, provided that the value and primary intended use of such CCA Leased Property is not impaired. Each CCA Lease provides that, at the request of CCA, the Company may make capital additions. In certain situations, a capital addition to CCA Leased Property may be made directly by CCA and financed by third parties, with the prior written consent of the Company. In the case of a capital addition not undertaken or financed by the Company, the Company will have an option to acquire and lease back to CCA such capital addition for a period of 10 years following the date on which inmates are first received at such capital addition, at a cost equal to the fair market value of such capital addition and at an annual rental rate equal to fair market rental rates.</w:t>
      </w:r>
    </w:p>
    <w:p>
      <w:pPr>
        <w:spacing w:after="0" w:line="82" w:lineRule="exact"/>
        <w:rPr>
          <w:sz w:val="20"/>
          <w:szCs w:val="20"/>
          <w:color w:val="auto"/>
        </w:rPr>
      </w:pPr>
    </w:p>
    <w:p>
      <w:pPr>
        <w:ind w:right="3799" w:firstLine="763"/>
        <w:spacing w:after="0" w:line="286" w:lineRule="auto"/>
        <w:rPr>
          <w:sz w:val="20"/>
          <w:szCs w:val="20"/>
          <w:color w:val="auto"/>
        </w:rPr>
      </w:pPr>
      <w:r>
        <w:rPr>
          <w:rFonts w:ascii="Courier New" w:cs="Courier New" w:eastAsia="Courier New" w:hAnsi="Courier New"/>
          <w:sz w:val="14"/>
          <w:szCs w:val="14"/>
          <w:color w:val="auto"/>
        </w:rPr>
        <w:t>The CCA Leases provide that CCA may not, without the prior written consent of the Company, assign, sublease, mortgage, pledge, hypothecate, encumber or otherwise transfer any CCA Lease or any interest therein with respect to all or any part of the CCA Leased Property.</w:t>
      </w: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CONTRACTUAL RELATIONSHIPS</w:t>
      </w:r>
    </w:p>
    <w:p>
      <w:pPr>
        <w:spacing w:after="0" w:line="168" w:lineRule="exact"/>
        <w:rPr>
          <w:sz w:val="20"/>
          <w:szCs w:val="20"/>
          <w:color w:val="auto"/>
        </w:rPr>
      </w:pPr>
    </w:p>
    <w:p>
      <w:pPr>
        <w:ind w:right="3459" w:firstLine="763"/>
        <w:spacing w:after="0" w:line="252" w:lineRule="auto"/>
        <w:rPr>
          <w:sz w:val="20"/>
          <w:szCs w:val="20"/>
          <w:color w:val="auto"/>
        </w:rPr>
      </w:pPr>
      <w:r>
        <w:rPr>
          <w:rFonts w:ascii="Courier New" w:cs="Courier New" w:eastAsia="Courier New" w:hAnsi="Courier New"/>
          <w:sz w:val="14"/>
          <w:szCs w:val="14"/>
          <w:color w:val="auto"/>
        </w:rPr>
        <w:t>In connection with the 1999 Merger, the Company and CCA entered into a right to purchase agreement (the "Right to Purchase Agreement"), whereby the Company has an option to acquire, and lease back to CCA at fair market value, any correctional or detention facility acquired or developed and owned by CCA in the future, for a period of 10 years following the date on which service is commenced with respect to such facility. For facilities acquired pursuant to the Right to Purchase Agreement, the initial annual rental rates will be the fair market rental rates, as determined by the Company and CCA. Additionally, the Company has a right of first refusal in the event CCA obtains an acceptable third party offer to acquire or provide mortgage secured financing to finance more than 90% of the cost of any correctional or detention facility owned by CCA or which is acquired or developed by CCA or its subsidiaries in the future. With respect to a sale of any such facility, if the Company declines to purchase such facility, CCA will be free to sell such facility for a specified period of time at a price at least equal to the price offered to the Company and on terms and conditions substantially consistent with those offered to the Company. With respect to a first mortgage financing of 90% of the cost of any such facility, if the Company declines to provide such financing on the terms set forth in such third party offer, CCA will be free to obtain first mortgage financing from a third party on terms and conditions no less favorable to CCA than those contained in the third party offer.</w:t>
      </w:r>
    </w:p>
    <w:p>
      <w:pPr>
        <w:spacing w:after="0" w:line="91" w:lineRule="exact"/>
        <w:rPr>
          <w:sz w:val="20"/>
          <w:szCs w:val="20"/>
          <w:color w:val="auto"/>
        </w:rPr>
      </w:pPr>
    </w:p>
    <w:p>
      <w:pPr>
        <w:ind w:right="3359" w:firstLine="763"/>
        <w:spacing w:after="0" w:line="252" w:lineRule="auto"/>
        <w:rPr>
          <w:sz w:val="20"/>
          <w:szCs w:val="20"/>
          <w:color w:val="auto"/>
        </w:rPr>
      </w:pPr>
      <w:r>
        <w:rPr>
          <w:rFonts w:ascii="Courier New" w:cs="Courier New" w:eastAsia="Courier New" w:hAnsi="Courier New"/>
          <w:sz w:val="14"/>
          <w:szCs w:val="14"/>
          <w:color w:val="auto"/>
        </w:rPr>
        <w:t>The Company has also entered into: (i) an Amended and Restated Services Agreement with CCA pursuant to which CCA is to serve as a facilitator of the construction and development of additional facilities on behalf of the Company for a term of five years from the date of such agreement; (ii) an Amended and Restated Tenant Incentive Agreement with CCA pursuant to which the Company will pay to CCA an incentive fee to induce CCA to enter into CCA Leases with respect to those facilities developed and facilitated by CCA; and (iii) a Business Development Agreement with CCA pursuant to which CCA will provide marketing and other business development services on behalf of the Company. With respect to the Services Agreement, in consideration of a fee, CCA has agreed to perform, at the direction of the Company, services needed in the construction and development of correctional and detention facilities, including services related to identification of potential additional facilities, preparation of proposals, project bidding, project design, government relations and project marketing. With respect to the Amended and Restated Tenant Incentive Agreement, the Company has agreed to pay an incentive fee to CCA for each facility leased by CCA for which CCA has served as developer and facilitator. Pursuant to the Business Development Agreement, the Company has agreed to pay CCA a fee for the marketing and business development services provided to the Company. The Company and CCA intend to amend the terms of these agreements to defer all fees to be paid by the Company to CCA under these agreements until September 30, 2000. See "Recent Developments--Transactions Between the Company and CCA."</w:t>
      </w:r>
    </w:p>
    <w:p>
      <w:pPr>
        <w:spacing w:after="0" w:line="25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257"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REGULATION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68" w:lineRule="exact"/>
        <w:rPr>
          <w:sz w:val="20"/>
          <w:szCs w:val="20"/>
          <w:color w:val="auto"/>
        </w:rPr>
      </w:pPr>
    </w:p>
    <w:p>
      <w:pPr>
        <w:ind w:right="3459" w:firstLine="763"/>
        <w:spacing w:after="0" w:line="255" w:lineRule="auto"/>
        <w:rPr>
          <w:sz w:val="20"/>
          <w:szCs w:val="20"/>
          <w:color w:val="auto"/>
        </w:rPr>
      </w:pPr>
      <w:r>
        <w:rPr>
          <w:rFonts w:ascii="Courier New" w:cs="Courier New" w:eastAsia="Courier New" w:hAnsi="Courier New"/>
          <w:sz w:val="14"/>
          <w:szCs w:val="14"/>
          <w:color w:val="auto"/>
        </w:rPr>
        <w:t>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As an owner of correctional and detention facilities, the Company has been subject to these laws, ordinances and regulations, and such laws, rules and regulations. In addition, upon the completion of the Restructuring and related transactions, the Company will also be subject to these laws, ordinances and regulations as the result of the Company's, and its subsidiaries', operation and management of the correctional and detention facilities currently managed and operated by CCA, PMSI and JJFMSI. The cost of complying with environmental laws could materially adversely affect the Company's financial condition and results of operations.</w:t>
      </w:r>
    </w:p>
    <w:p>
      <w:pPr>
        <w:spacing w:after="0" w:line="87" w:lineRule="exact"/>
        <w:rPr>
          <w:sz w:val="20"/>
          <w:szCs w:val="20"/>
          <w:color w:val="auto"/>
        </w:rPr>
      </w:pPr>
    </w:p>
    <w:p>
      <w:pPr>
        <w:ind w:right="3459" w:firstLine="763"/>
        <w:spacing w:after="0" w:line="255" w:lineRule="auto"/>
        <w:rPr>
          <w:sz w:val="20"/>
          <w:szCs w:val="20"/>
          <w:color w:val="auto"/>
        </w:rPr>
      </w:pPr>
      <w:r>
        <w:rPr>
          <w:rFonts w:ascii="Courier New" w:cs="Courier New" w:eastAsia="Courier New" w:hAnsi="Courier New"/>
          <w:sz w:val="14"/>
          <w:szCs w:val="14"/>
          <w:color w:val="auto"/>
        </w:rPr>
        <w:t>Phase I environmental assessments have been obtained on substantially all of the facilities currently owned by the Company. The purpose of a Phase I environmental assessment is to identify potential environmental contamination that is made apparent from historical reviews of such facilities, review of certain public records, visual investigations of the sites and surrounding properties, toxic substances and underground storage tanks. The Phase I environmental assessment reports do not reveal any environmental contamination that the Company believes would have a material adverse effect on the Company's business, assets, results of operations or liquidity, nor is the Company aware of any such liability. Nevertheless, it is possible that these reports do not reveal all environmental liabilities or that there are material environmental liabilities of which the Company is unaware. In addition, environmental conditions on properties owned by the Company may affect the operation or expansion of facilities located on the properties.</w:t>
      </w:r>
    </w:p>
    <w:p>
      <w:pPr>
        <w:spacing w:after="0" w:line="87" w:lineRule="exact"/>
        <w:rPr>
          <w:sz w:val="20"/>
          <w:szCs w:val="20"/>
          <w:color w:val="auto"/>
        </w:rPr>
      </w:pPr>
    </w:p>
    <w:p>
      <w:pPr>
        <w:ind w:right="3459" w:firstLine="763"/>
        <w:spacing w:after="0" w:line="260" w:lineRule="auto"/>
        <w:rPr>
          <w:sz w:val="20"/>
          <w:szCs w:val="20"/>
          <w:color w:val="auto"/>
        </w:rPr>
      </w:pPr>
      <w:r>
        <w:rPr>
          <w:rFonts w:ascii="Courier New" w:cs="Courier New" w:eastAsia="Courier New" w:hAnsi="Courier New"/>
          <w:sz w:val="14"/>
          <w:szCs w:val="14"/>
          <w:color w:val="auto"/>
        </w:rPr>
        <w:t>Under the terms of the existing CCA Leases, CCA has made various representations and warranties relating to environmental matters with respect to each CCA Leased Property. Each CCA Lease requires CCA to indemnify and hold harmless the Company and any CCA mortgagee from and against all liabilities, costs and expenses imposed upon or asserted against the Company or the CCA Leased Property on account of, among other things, any federal, state or local law, ordinance, regulation, order or decree relating to the protection of human health or the environment in respect of the CCA Leased Property. Upon completion of the Restructuring and related transactions, the CCA Leases will be canceled and will be of no further force and effect.</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AMERICANS WITH DISABILITIES ACT</w:t>
      </w:r>
    </w:p>
    <w:p>
      <w:pPr>
        <w:spacing w:after="0" w:line="168" w:lineRule="exact"/>
        <w:rPr>
          <w:sz w:val="20"/>
          <w:szCs w:val="20"/>
          <w:color w:val="auto"/>
        </w:rPr>
      </w:pPr>
    </w:p>
    <w:p>
      <w:pPr>
        <w:ind w:right="3539" w:firstLine="763"/>
        <w:spacing w:after="0" w:line="260" w:lineRule="auto"/>
        <w:rPr>
          <w:sz w:val="20"/>
          <w:szCs w:val="20"/>
          <w:color w:val="auto"/>
        </w:rPr>
      </w:pPr>
      <w:r>
        <w:rPr>
          <w:rFonts w:ascii="Courier New" w:cs="Courier New" w:eastAsia="Courier New" w:hAnsi="Courier New"/>
          <w:sz w:val="14"/>
          <w:szCs w:val="14"/>
          <w:color w:val="auto"/>
        </w:rPr>
        <w:t>The Company's properties, and those correctional and detention facilities operated and managed by CCA, PMSI and JJFMSI, are subject to the Americans with Disabilities Act of 1990, as amended (the "ADA"). The ADA has separate compliance requirements for "public accommodations" and "commercial facilities" but generally requires that public facilities such as correctional and detention facilities be made accessible to people with disabilities. These requirements became effective in 1992. Compliance with the ADA requirements could require removal of access barriers and other modifications or capital improvements at the facilities. Noncompliance could result in imposition of fines or an award of damages to private litigants.</w:t>
      </w:r>
    </w:p>
    <w:p>
      <w:pPr>
        <w:spacing w:after="0" w:line="76" w:lineRule="exact"/>
        <w:rPr>
          <w:sz w:val="20"/>
          <w:szCs w:val="20"/>
          <w:color w:val="auto"/>
        </w:rPr>
      </w:pPr>
    </w:p>
    <w:p>
      <w:pPr>
        <w:ind w:right="3459" w:firstLine="763"/>
        <w:spacing w:after="0" w:line="266" w:lineRule="auto"/>
        <w:rPr>
          <w:sz w:val="20"/>
          <w:szCs w:val="20"/>
          <w:color w:val="auto"/>
        </w:rPr>
      </w:pPr>
      <w:r>
        <w:rPr>
          <w:rFonts w:ascii="Courier New" w:cs="Courier New" w:eastAsia="Courier New" w:hAnsi="Courier New"/>
          <w:sz w:val="14"/>
          <w:szCs w:val="14"/>
          <w:color w:val="auto"/>
        </w:rPr>
        <w:t>Under the Company's existing leases, including the CCA Leases, the lessee is required to make any necessary modifications or improvements to comply with the ADA. However, the Company does not believe that such costs will be material because it believes that relatively few modifications are necessary to comply with the ADA. Upon completion of the Restructuring and related transactions, however, the CCA Leases will be canceled and will be of no further force and effect.</w:t>
      </w:r>
    </w:p>
    <w:p>
      <w:pPr>
        <w:spacing w:after="0" w:line="23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257"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w:t>
      </w:r>
    </w:p>
    <w:p>
      <w:pPr>
        <w:spacing w:after="0" w:line="142" w:lineRule="exact"/>
        <w:rPr>
          <w:sz w:val="20"/>
          <w:szCs w:val="20"/>
          <w:color w:val="auto"/>
        </w:rPr>
      </w:pPr>
    </w:p>
    <w:p>
      <w:pPr>
        <w:ind w:right="3359" w:firstLine="763"/>
        <w:spacing w:after="0" w:line="256" w:lineRule="auto"/>
        <w:rPr>
          <w:sz w:val="20"/>
          <w:szCs w:val="20"/>
          <w:color w:val="auto"/>
        </w:rPr>
      </w:pPr>
      <w:r>
        <w:rPr>
          <w:rFonts w:ascii="Courier New" w:cs="Courier New" w:eastAsia="Courier New" w:hAnsi="Courier New"/>
          <w:sz w:val="14"/>
          <w:szCs w:val="14"/>
          <w:color w:val="auto"/>
        </w:rPr>
        <w:t>The Company maintains a general liability insurance policy of $2 million for all of its operations, as well as insurance in amounts it deems adequate to cover property and casualty risks, workers' compensation and directors and officers liability. In addition, each lease between the Company and its lessees, including the CCA Leases, provides that the lessee will maintain insurance on each leased property under the lessee's insurance policies providing for the following coverages: (i) fire, vandalism and malicious mischief, extended coverage perils, and all physical loss perils; (ii) comprehensive general public liability (including personal injury and property damage); and (iii) worker's compensation. Under each of these leases, the Company has the right to periodically review its lessees' insurance coverage and provide input with respect thereto. CCA currently maintains general liability coverage of $55 million.</w:t>
      </w:r>
    </w:p>
    <w:p>
      <w:pPr>
        <w:spacing w:after="0" w:line="84" w:lineRule="exact"/>
        <w:rPr>
          <w:sz w:val="20"/>
          <w:szCs w:val="20"/>
          <w:color w:val="auto"/>
        </w:rPr>
      </w:pPr>
    </w:p>
    <w:p>
      <w:pPr>
        <w:ind w:right="3359" w:firstLine="763"/>
        <w:spacing w:after="0" w:line="263" w:lineRule="auto"/>
        <w:rPr>
          <w:sz w:val="20"/>
          <w:szCs w:val="20"/>
          <w:color w:val="auto"/>
        </w:rPr>
      </w:pPr>
      <w:r>
        <w:rPr>
          <w:rFonts w:ascii="Courier New" w:cs="Courier New" w:eastAsia="Courier New" w:hAnsi="Courier New"/>
          <w:sz w:val="14"/>
          <w:szCs w:val="14"/>
          <w:color w:val="auto"/>
        </w:rPr>
        <w:t>Upon completion of the Restructuring and related transactions, the CCA Leases will be canceled and will be of no further force and effect. As such, the Company will be required to obtain and maintain liability insurance substantially equivalent to that currently held by CCA to cover liabilities arising from the operation, and in some cases, the leasing of correctional and detention facilities currently being operated by CCA, as well as sufficient liability insurance to cover the operation of the correctional and detention facilities currently operated by PMSI and JJFMSI.</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68" w:lineRule="exact"/>
        <w:rPr>
          <w:sz w:val="20"/>
          <w:szCs w:val="20"/>
          <w:color w:val="auto"/>
        </w:rPr>
      </w:pPr>
    </w:p>
    <w:p>
      <w:pPr>
        <w:ind w:right="3359" w:firstLine="763"/>
        <w:spacing w:after="0" w:line="270" w:lineRule="auto"/>
        <w:rPr>
          <w:sz w:val="20"/>
          <w:szCs w:val="20"/>
          <w:color w:val="auto"/>
        </w:rPr>
      </w:pPr>
      <w:r>
        <w:rPr>
          <w:rFonts w:ascii="Courier New" w:cs="Courier New" w:eastAsia="Courier New" w:hAnsi="Courier New"/>
          <w:sz w:val="14"/>
          <w:szCs w:val="14"/>
          <w:color w:val="auto"/>
        </w:rPr>
        <w:t>As of December 31, 1999, the Company had 10 full-time employees and no part-time employees. Of such full-time employees, all were employed at the Company's corporate offices. None of the Company's employees are subject to a collective bargaining agreement, and the Company has experienced no labor-related work stoppages. The Company generally considers its relations with its personnel to be good.</w:t>
      </w:r>
    </w:p>
    <w:p>
      <w:pPr>
        <w:spacing w:after="0" w:line="71" w:lineRule="exact"/>
        <w:rPr>
          <w:sz w:val="20"/>
          <w:szCs w:val="20"/>
          <w:color w:val="auto"/>
        </w:rPr>
      </w:pPr>
    </w:p>
    <w:p>
      <w:pPr>
        <w:ind w:right="3459" w:firstLine="763"/>
        <w:spacing w:after="0" w:line="254" w:lineRule="auto"/>
        <w:rPr>
          <w:sz w:val="20"/>
          <w:szCs w:val="20"/>
          <w:color w:val="auto"/>
        </w:rPr>
      </w:pPr>
      <w:r>
        <w:rPr>
          <w:rFonts w:ascii="Courier New" w:cs="Courier New" w:eastAsia="Courier New" w:hAnsi="Courier New"/>
          <w:sz w:val="14"/>
          <w:szCs w:val="14"/>
          <w:color w:val="auto"/>
        </w:rPr>
        <w:t>As of December 31, 1999, CCA employed approximately 8,100 full-time employees and 137 part-time employees. Of such full-time employees, 189 were employed at CCA's corporate offices and 8,048 were employed at CCA's facilities and in its inmate transportation business. CCA employed personnel in the following areas: clerical and administrative, including facility administrators/wardens, security, food service, medical, transportation and scheduling, maintenance, teachers, counselors and other support services. At December 31, 1999, PMSI employed approximately 3,110 full-time employees and 54 part-time employees. PMSI employed personnel in the following areas: clerical and administrative, including facility administrators/wardens, security, food service, medical, transportation and scheduling, maintenance, teachers, counselors and other support services. As of December 31, 1999, JJFMSI employed approximately 2,350 full-time employees and 49 part-time employees. JJFMSI employed personnel in the following areas: clerical and administrative, including facility administrators/wardens, security, food service, medical, transportation and scheduling, maintenance, teachers, counselors and other support services.</w:t>
      </w:r>
    </w:p>
    <w:p>
      <w:pPr>
        <w:spacing w:after="0" w:line="82" w:lineRule="exact"/>
        <w:rPr>
          <w:sz w:val="20"/>
          <w:szCs w:val="20"/>
          <w:color w:val="auto"/>
        </w:rPr>
      </w:pPr>
    </w:p>
    <w:p>
      <w:pPr>
        <w:ind w:right="3359" w:firstLine="763"/>
        <w:spacing w:after="0" w:line="254" w:lineRule="auto"/>
        <w:rPr>
          <w:sz w:val="20"/>
          <w:szCs w:val="20"/>
          <w:color w:val="auto"/>
        </w:rPr>
      </w:pPr>
      <w:r>
        <w:rPr>
          <w:rFonts w:ascii="Courier New" w:cs="Courier New" w:eastAsia="Courier New" w:hAnsi="Courier New"/>
          <w:sz w:val="14"/>
          <w:szCs w:val="14"/>
          <w:color w:val="auto"/>
        </w:rPr>
        <w:t>Each of the correctional and detention facilities currently operated under the name "Corrections Corporation of America" by CCA, PMSI and JJFMSI is managed as a separate operational unit by the facility administrator or warden. All of these facilities follow a standardized code of policies and procedures. Neither CCA, PMSI nor JJFMSI has experienced a strike or work stoppage at any of its facilities. In January 1996, Old CCA reached an agreement with a union to represent 38 non-security personnel at its Shelby Training Center. This agreement was renewed in April 1998. In September 1997, Old CCA entered into an agreement with a union to represent approximately 60 correctional officers at the Shelby Training Center. In March 1997, Old CCA assumed management of the D.C. Correctional Treatment Facility in Washington, D.C., and Old CCA agreed to recognize organized labor in representing certain employees at this facility. In December 1998, Old CCA finalized an agreement with the union to represent approximately 120 correctional officers and other support services staff. In the opinion of the management of each of CCA, PMSI and JJFMSI, overall employee relations are generally considered good.</w:t>
      </w:r>
    </w:p>
    <w:p>
      <w:pPr>
        <w:spacing w:after="0" w:line="200" w:lineRule="exact"/>
        <w:rPr>
          <w:sz w:val="20"/>
          <w:szCs w:val="20"/>
          <w:color w:val="auto"/>
        </w:rPr>
      </w:pPr>
    </w:p>
    <w:p>
      <w:pPr>
        <w:spacing w:after="0" w:line="21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257"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68" w:lineRule="exact"/>
        <w:rPr>
          <w:sz w:val="20"/>
          <w:szCs w:val="20"/>
          <w:color w:val="auto"/>
        </w:rPr>
      </w:pPr>
    </w:p>
    <w:p>
      <w:pPr>
        <w:ind w:right="3359" w:firstLine="763"/>
        <w:spacing w:after="0" w:line="257" w:lineRule="auto"/>
        <w:rPr>
          <w:sz w:val="20"/>
          <w:szCs w:val="20"/>
          <w:color w:val="auto"/>
        </w:rPr>
      </w:pPr>
      <w:r>
        <w:rPr>
          <w:rFonts w:ascii="Courier New" w:cs="Courier New" w:eastAsia="Courier New" w:hAnsi="Courier New"/>
          <w:sz w:val="14"/>
          <w:szCs w:val="14"/>
          <w:color w:val="auto"/>
        </w:rPr>
        <w:t>Owners and operators of privatized correctional and detention facilities are subject to a variety of legal proceedings arising in the ordinary course of operating such facilities, including proceedings relating to personal injury and property damage. Such proceedings are generally brought against the operator of a correctional facility, but may also be brought against the owner. The Company's lessees, including CCA, PMSI and JJFMSI, as the operators of correctional and detention facilities, are currently parties to such proceedings, and, upon completion of the Restructuring and related transactions, the Company and its subsidiaries also expect to become parties to such proceedings. The Company does not believe that such litigation, if resolved against its lessees, or the Company and its subsidiaries, would have a material adverse effect upon its business or financial position.</w:t>
      </w:r>
    </w:p>
    <w:p>
      <w:pPr>
        <w:spacing w:after="0" w:line="82" w:lineRule="exact"/>
        <w:rPr>
          <w:sz w:val="20"/>
          <w:szCs w:val="20"/>
          <w:color w:val="auto"/>
        </w:rPr>
      </w:pPr>
    </w:p>
    <w:p>
      <w:pPr>
        <w:ind w:right="3359" w:firstLine="763"/>
        <w:spacing w:after="0" w:line="257" w:lineRule="auto"/>
        <w:rPr>
          <w:sz w:val="20"/>
          <w:szCs w:val="20"/>
          <w:color w:val="auto"/>
        </w:rPr>
      </w:pPr>
      <w:r>
        <w:rPr>
          <w:rFonts w:ascii="Courier New" w:cs="Courier New" w:eastAsia="Courier New" w:hAnsi="Courier New"/>
          <w:sz w:val="14"/>
          <w:szCs w:val="14"/>
          <w:color w:val="auto"/>
        </w:rPr>
        <w:t>The Company's existing leases with its lessees, including the CCA Leases, generally provide that lessees are responsible for claims based on personal injury and property damage at such facilities and that the Company's lessees maintain insurance for such claims. Upon completion of the Restructuring and related transactions, however, the CCA Leases will be canceled and will be of no further force and effect. For further discussion of potential legal proceedings affecting the Company and its lessees, see the information contained under the heading "-- Risk Factors" herein. For a discussion of specific claims to which the Company, CCA, PMSI and JJFMSI are a party, including certain shareholder litigation commenced against the Company, see the information contained under the headings "-- Recent Developments -- Shareholder Litigation" and "Legal Proceedings" herein.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68" w:lineRule="exact"/>
        <w:rPr>
          <w:sz w:val="20"/>
          <w:szCs w:val="20"/>
          <w:color w:val="auto"/>
        </w:rPr>
      </w:pPr>
    </w:p>
    <w:p>
      <w:pPr>
        <w:ind w:right="3359" w:firstLine="763"/>
        <w:spacing w:after="0" w:line="255" w:lineRule="auto"/>
        <w:rPr>
          <w:sz w:val="20"/>
          <w:szCs w:val="20"/>
          <w:color w:val="auto"/>
        </w:rPr>
      </w:pPr>
      <w:r>
        <w:rPr>
          <w:rFonts w:ascii="Courier New" w:cs="Courier New" w:eastAsia="Courier New" w:hAnsi="Courier New"/>
          <w:sz w:val="14"/>
          <w:szCs w:val="14"/>
          <w:color w:val="auto"/>
        </w:rPr>
        <w:t>The Company's existing correctional and detention facilities are, and any additional correctional and detention facilities acquired by the Company, will be, subject to competition for inmates from private prison managers. In addition, the correctional and detention facilities currently managed by CCA, PMSI and JJFMSI are, and the correctional and detention facilities to be managed by the Company and its subsidiaries upon the completion of the Restructuring and related transactions, will be, subject to competition for inmates from other private prison managers. As such, the number of inmates in a particular area could have a material adverse effect on the operating revenues of the Company's facilities. In addition, revenues of the facilities will be affected by a number of factors, including the demand for inmate beds and general economic conditions. The Company will also be subject to competition for the acquisition of correctional and detention facilities with other purchasers of correctional and detention facilities.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w:t>
      </w:r>
    </w:p>
    <w:p>
      <w:pPr>
        <w:spacing w:after="0" w:line="168" w:lineRule="exact"/>
        <w:rPr>
          <w:sz w:val="20"/>
          <w:szCs w:val="20"/>
          <w:color w:val="auto"/>
        </w:rPr>
      </w:pPr>
    </w:p>
    <w:p>
      <w:pPr>
        <w:ind w:right="3359" w:firstLine="763"/>
        <w:spacing w:after="0" w:line="253" w:lineRule="auto"/>
        <w:rPr>
          <w:sz w:val="20"/>
          <w:szCs w:val="20"/>
          <w:color w:val="auto"/>
        </w:rPr>
      </w:pPr>
      <w:r>
        <w:rPr>
          <w:rFonts w:ascii="Courier New" w:cs="Courier New" w:eastAsia="Courier New" w:hAnsi="Courier New"/>
          <w:sz w:val="14"/>
          <w:szCs w:val="14"/>
          <w:color w:val="auto"/>
        </w:rPr>
        <w:t>As the owner and developer of correctional and detention facilities, the Company is currently subject to certain risks and uncertainties associated with, among other things, the corrections and detention industry, investments in real estate properties, and potential conflicts of interest that could cause actual results to differ materially from those indicated in certain forward-looking statements contained herein and elsewhere. These risks, as identified by the Company, are set forth below. In addition, as a result of the Company's operation so as to preserve its ability to qualify as a REIT to date, the Company is also currently subject to certain tax related risks. In the event the Company completes the Restructuring and related transactions, or another similar transaction or series of transactions, the Company will also be subject to risks and uncertainties associated with, among other things, the management and operation of correctional and detention facilities and the demands placed on the Company's capital and liquidity as a result of the Fortress/Blackstone or Pacific Life equity investment, if completed, and taxation as a C corporation that could cause actual results to differ materially from those indicated in certain forward-looking statements contained herein and elsewhere. These risks, to the extent they differ from the risks and uncertainties the Company is currently subject to, are also set forth below.</w:t>
      </w:r>
    </w:p>
    <w:p>
      <w:pPr>
        <w:spacing w:after="0" w:line="200" w:lineRule="exact"/>
        <w:rPr>
          <w:sz w:val="20"/>
          <w:szCs w:val="20"/>
          <w:color w:val="auto"/>
        </w:rPr>
      </w:pPr>
    </w:p>
    <w:p>
      <w:pPr>
        <w:spacing w:after="0" w:line="21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25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200" w:lineRule="exact"/>
        <w:rPr>
          <w:sz w:val="20"/>
          <w:szCs w:val="20"/>
          <w:color w:val="auto"/>
        </w:rPr>
      </w:pPr>
    </w:p>
    <w:p>
      <w:pPr>
        <w:spacing w:after="0" w:line="294" w:lineRule="exact"/>
        <w:rPr>
          <w:sz w:val="20"/>
          <w:szCs w:val="20"/>
          <w:color w:val="auto"/>
        </w:rPr>
      </w:pPr>
    </w:p>
    <w:p>
      <w:pPr>
        <w:ind w:right="3959"/>
        <w:spacing w:after="0" w:line="366" w:lineRule="auto"/>
        <w:rPr>
          <w:sz w:val="20"/>
          <w:szCs w:val="20"/>
          <w:color w:val="auto"/>
        </w:rPr>
      </w:pPr>
      <w:r>
        <w:rPr>
          <w:rFonts w:ascii="Courier New" w:cs="Courier New" w:eastAsia="Courier New" w:hAnsi="Courier New"/>
          <w:sz w:val="14"/>
          <w:szCs w:val="14"/>
          <w:color w:val="auto"/>
        </w:rPr>
        <w:t>THE COMPANY IS SUBJECT TO RISKS INHERENT IN THE CORRECTIONS AND DETENTION INDUSTRY</w:t>
      </w:r>
    </w:p>
    <w:p>
      <w:pPr>
        <w:spacing w:after="0" w:line="6" w:lineRule="exact"/>
        <w:rPr>
          <w:sz w:val="20"/>
          <w:szCs w:val="20"/>
          <w:color w:val="auto"/>
        </w:rPr>
      </w:pPr>
    </w:p>
    <w:p>
      <w:pPr>
        <w:ind w:right="3359" w:firstLine="763"/>
        <w:spacing w:after="0" w:line="256" w:lineRule="auto"/>
        <w:rPr>
          <w:sz w:val="20"/>
          <w:szCs w:val="20"/>
          <w:color w:val="auto"/>
        </w:rPr>
      </w:pPr>
      <w:r>
        <w:rPr>
          <w:rFonts w:ascii="Courier New" w:cs="Courier New" w:eastAsia="Courier New" w:hAnsi="Courier New"/>
          <w:sz w:val="14"/>
          <w:szCs w:val="14"/>
          <w:color w:val="auto"/>
        </w:rPr>
        <w:t>GENERAL. The Company currently owns, or is in the process of developing, 50 correctional and detention facilities which it leases to both private prison managers and government agencies. In addition, the Company owns shares of non-voting common stock in each of CCA, PMSI and JJFMSI, companies whose sole business is the operation and management of correctional and detention facilities. As such, the Company's revenues and its ability to make distributions as a REIT are dependent upon the ability of its tenants, including CCA, to make rental payments under the terms of the leases and upon the ability of CCA, PMSI and JJFMSI to make payments to the Company under the terms of various agreements and as dividends on the shares of CCA, PMSI and JJFMSI non-voting common stock held by the Company. Accordingly, the Company is subject to the operating risks generally inherent in the corrections and detention industry, including those set forth below.</w:t>
      </w:r>
    </w:p>
    <w:p>
      <w:pPr>
        <w:spacing w:after="0" w:line="84" w:lineRule="exact"/>
        <w:rPr>
          <w:sz w:val="20"/>
          <w:szCs w:val="20"/>
          <w:color w:val="auto"/>
        </w:rPr>
      </w:pPr>
    </w:p>
    <w:p>
      <w:pPr>
        <w:ind w:right="3359" w:firstLine="763"/>
        <w:spacing w:after="0" w:line="254" w:lineRule="auto"/>
        <w:rPr>
          <w:sz w:val="20"/>
          <w:szCs w:val="20"/>
          <w:color w:val="auto"/>
        </w:rPr>
      </w:pPr>
      <w:r>
        <w:rPr>
          <w:rFonts w:ascii="Courier New" w:cs="Courier New" w:eastAsia="Courier New" w:hAnsi="Courier New"/>
          <w:sz w:val="14"/>
          <w:szCs w:val="14"/>
          <w:color w:val="auto"/>
        </w:rPr>
        <w:t>SHORT-TERM NATURE OF GOVERNMENT CONTRACTS. Private prison managers typically enter into facility management contracts with government entities for terms of up to five years, with one or more renewal options that may be exercised only by the contracting government agency. No assurance can be given that any agency will exercise a renewal option in the future. The contracting agency typically may also terminate a facility contract at any time without cause by giving the private prison manager written notice. There also exists the risk that a facility owned by the Company may not be the subject of a contract between a private manager and a government entity while it is leased to a private prison manager since the Company's leases with its lessees generally extend for periods substantially longer than the contracts with government entities. Accordingly, if a private prison manager's contract with a government entity to operate a Company facility is terminated, or otherwise not renewed, or if such government entity is unable to supply a facility with a sufficient number of inmates, such event may adversely affect the ability of the contracting private prison manager to make the required rental or other payments to the Company.</w:t>
      </w:r>
    </w:p>
    <w:p>
      <w:pPr>
        <w:spacing w:after="0" w:line="82" w:lineRule="exact"/>
        <w:rPr>
          <w:sz w:val="20"/>
          <w:szCs w:val="20"/>
          <w:color w:val="auto"/>
        </w:rPr>
      </w:pPr>
    </w:p>
    <w:p>
      <w:pPr>
        <w:ind w:right="3359" w:firstLine="763"/>
        <w:spacing w:after="0" w:line="255" w:lineRule="auto"/>
        <w:rPr>
          <w:sz w:val="20"/>
          <w:szCs w:val="20"/>
          <w:color w:val="auto"/>
        </w:rPr>
      </w:pPr>
      <w:r>
        <w:rPr>
          <w:rFonts w:ascii="Courier New" w:cs="Courier New" w:eastAsia="Courier New" w:hAnsi="Courier New"/>
          <w:sz w:val="14"/>
          <w:szCs w:val="14"/>
          <w:color w:val="auto"/>
        </w:rPr>
        <w:t>DEPENDENCE ON GOVERNMENT APPROPRIATIONS. A private prison manager's cash flow is subject to the receipt of sufficient funding of and timely payment by contracting government entities. If the appropriate government agency does not receive sufficient appropriations to cover its contractual obligations, a contract may be terminated or the management fee may be deferred or reduced. Any delays in payment could have an adverse effect on the private prison manager's cash flow and therefore its ability to make payments to the Company, whether in the form of lease payments or dividends or other payments. Further, the Company's existing business strategy is, among other things, to acquire facilities from government entities and to lease those facilities to the government entity or to finance construction of the facility for the government entity. The ability of the government entity to make payments under such leases or in connection with such financing may be dependent upon annual appropriations.</w:t>
      </w:r>
    </w:p>
    <w:p>
      <w:pPr>
        <w:spacing w:after="0" w:line="87" w:lineRule="exact"/>
        <w:rPr>
          <w:sz w:val="20"/>
          <w:szCs w:val="20"/>
          <w:color w:val="auto"/>
        </w:rPr>
      </w:pPr>
    </w:p>
    <w:p>
      <w:pPr>
        <w:ind w:right="3359" w:firstLine="763"/>
        <w:spacing w:after="0" w:line="253" w:lineRule="auto"/>
        <w:rPr>
          <w:sz w:val="20"/>
          <w:szCs w:val="20"/>
          <w:color w:val="auto"/>
        </w:rPr>
      </w:pPr>
      <w:r>
        <w:rPr>
          <w:rFonts w:ascii="Courier New" w:cs="Courier New" w:eastAsia="Courier New" w:hAnsi="Courier New"/>
          <w:sz w:val="14"/>
          <w:szCs w:val="14"/>
          <w:color w:val="auto"/>
        </w:rPr>
        <w:t>DEPENDENCE ON ABILITY TO DEVELOP NEW PRISONS AND CONTRACTS. The success of a private prison manager in obtaining new awards and contracts may depend, in part, upon its ability to locate land that can be leased or acquired under favorable terms. Otherwise desirable locations may be in or near populated areas and, therefore, may generate legal action or other forms of opposition from residents in areas surrounding a proposed site. Moreover, the private corrections industry is subject to public scrutiny. Negative publicity about an escape, riot or other disturbance at a privately managed facility may result in publicity adverse to the Company, CCA, PMSI or JJFMSI and the private corrections industry in general. In addition, organized labor unions in many states, including organized labor unions consisting of state correctional and detention facility employees, have increasingly opposed the awarding of contracts to private prison managers. Any of these occurrences or continued trends may make it more difficult for a private prison manager to renew or maintain existing contracts or to obtain new contracts or sites on which to operate new facilities or for the Company to develop or purchase facilities and lease them to government or private entities, any or all of which could have a material adverse effect on the Company's business.</w:t>
      </w:r>
    </w:p>
    <w:p>
      <w:pPr>
        <w:spacing w:after="0" w:line="89" w:lineRule="exact"/>
        <w:rPr>
          <w:sz w:val="20"/>
          <w:szCs w:val="20"/>
          <w:color w:val="auto"/>
        </w:rPr>
      </w:pPr>
    </w:p>
    <w:p>
      <w:pPr>
        <w:ind w:right="3459" w:firstLine="763"/>
        <w:spacing w:after="0" w:line="270" w:lineRule="auto"/>
        <w:rPr>
          <w:sz w:val="20"/>
          <w:szCs w:val="20"/>
          <w:color w:val="auto"/>
        </w:rPr>
      </w:pPr>
      <w:r>
        <w:rPr>
          <w:rFonts w:ascii="Courier New" w:cs="Courier New" w:eastAsia="Courier New" w:hAnsi="Courier New"/>
          <w:sz w:val="14"/>
          <w:szCs w:val="14"/>
          <w:color w:val="auto"/>
        </w:rPr>
        <w:t>INCREASED REGULATION OF THE PRIVATE PRISON INDUSTRY. A substantial majority of the Company's facilities are managed and operated by private prison managers. These private prison managers, including CCA, have been increasingly subject to public scrutiny regarding proposed facilities, opposition from organized labor and federal and state regulation. For example, legislation has been proposed or enacted in several states, and has previously been</w:t>
      </w:r>
    </w:p>
    <w:p>
      <w:pPr>
        <w:spacing w:after="0" w:line="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25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200" w:lineRule="exact"/>
        <w:rPr>
          <w:sz w:val="20"/>
          <w:szCs w:val="20"/>
          <w:color w:val="auto"/>
        </w:rPr>
      </w:pPr>
    </w:p>
    <w:p>
      <w:pPr>
        <w:spacing w:after="0" w:line="294" w:lineRule="exact"/>
        <w:rPr>
          <w:sz w:val="20"/>
          <w:szCs w:val="20"/>
          <w:color w:val="auto"/>
        </w:rPr>
      </w:pPr>
    </w:p>
    <w:p>
      <w:pPr>
        <w:ind w:right="3359"/>
        <w:spacing w:after="0" w:line="276" w:lineRule="auto"/>
        <w:rPr>
          <w:sz w:val="20"/>
          <w:szCs w:val="20"/>
          <w:color w:val="auto"/>
        </w:rPr>
      </w:pPr>
      <w:r>
        <w:rPr>
          <w:rFonts w:ascii="Courier New" w:cs="Courier New" w:eastAsia="Courier New" w:hAnsi="Courier New"/>
          <w:sz w:val="14"/>
          <w:szCs w:val="14"/>
          <w:color w:val="auto"/>
        </w:rPr>
        <w:t>introduced in the United States House of Representatives, restricting the ability of private prison managers to house certain types of inmates, including at least one state which has attempted to restrict the ability of private prison management companies to house certain types of out-of-state prisoners in that state.</w:t>
      </w:r>
    </w:p>
    <w:p>
      <w:pPr>
        <w:spacing w:after="0" w:line="67" w:lineRule="exact"/>
        <w:rPr>
          <w:sz w:val="20"/>
          <w:szCs w:val="20"/>
          <w:color w:val="auto"/>
        </w:rPr>
      </w:pPr>
    </w:p>
    <w:p>
      <w:pPr>
        <w:ind w:right="3359" w:firstLine="763"/>
        <w:spacing w:after="0" w:line="256" w:lineRule="auto"/>
        <w:rPr>
          <w:sz w:val="20"/>
          <w:szCs w:val="20"/>
          <w:color w:val="auto"/>
        </w:rPr>
      </w:pPr>
      <w:r>
        <w:rPr>
          <w:rFonts w:ascii="Courier New" w:cs="Courier New" w:eastAsia="Courier New" w:hAnsi="Courier New"/>
          <w:sz w:val="14"/>
          <w:szCs w:val="14"/>
          <w:color w:val="auto"/>
        </w:rPr>
        <w:t>OPTIONS TO PURCHASE AND REVERSIONS. Eight of the facilities currently owned or under development by the Company are or will be subject to an option to purchase by certain government agencies. If any of these options are exercised, there exists the risk that the Company will not recoup its full investment from the applicable facility or that it will be otherwise unable to invest the proceeds from the sale of the facility in one or more properties that yield as much revenue as the property acquired by the government entity. In addition, ownership of two of the Company's facilities currently owned will, upon the expiration of a specified time period, revert to the respective government agency contracting with the Company or with CCA. Also, one facility under development will have its ownership revert back to a government agency under its contract. See "Properties -- The Facilities" herein for a description of the terms and conditions of these options to purchase and reversions.</w:t>
      </w:r>
    </w:p>
    <w:p>
      <w:pPr>
        <w:spacing w:after="0" w:line="84" w:lineRule="exact"/>
        <w:rPr>
          <w:sz w:val="20"/>
          <w:szCs w:val="20"/>
          <w:color w:val="auto"/>
        </w:rPr>
      </w:pPr>
    </w:p>
    <w:p>
      <w:pPr>
        <w:ind w:right="3359" w:firstLine="763"/>
        <w:spacing w:after="0" w:line="255" w:lineRule="auto"/>
        <w:rPr>
          <w:sz w:val="20"/>
          <w:szCs w:val="20"/>
          <w:color w:val="auto"/>
        </w:rPr>
      </w:pPr>
      <w:r>
        <w:rPr>
          <w:rFonts w:ascii="Courier New" w:cs="Courier New" w:eastAsia="Courier New" w:hAnsi="Courier New"/>
          <w:sz w:val="14"/>
          <w:szCs w:val="14"/>
          <w:color w:val="auto"/>
        </w:rPr>
        <w:t>LEGAL PROCEEDINGS. The Company's ownership of correctional and detention facilities and its current ownership interest in companies which operate and manage such facilities could expose it to potential third party claims or litigation by prisoners or other persons relating to personal injury or other damages resulting from contact with a facility, its managers, personnel or other prisoners, including damages arising from a prisoner's escape from, or a disturbance or riot at, a facility owned by the Company. In addition, as an owner of real property, the Company may be subject to certain proceedings relating to personal injuries of persons at such facilities. Moreover, legal proceedings against private prison managers could have a material adverse effect on the Company's tenants, including CCA, and PMSI and JJFMSI, which could adversely affect their ability to make lease payments or the other required payments to the Company, or which could adversely affect the amounts of such payments.</w:t>
      </w:r>
    </w:p>
    <w:p>
      <w:pPr>
        <w:spacing w:after="0" w:line="87" w:lineRule="exact"/>
        <w:rPr>
          <w:sz w:val="20"/>
          <w:szCs w:val="20"/>
          <w:color w:val="auto"/>
        </w:rPr>
      </w:pPr>
    </w:p>
    <w:p>
      <w:pPr>
        <w:ind w:right="3459" w:firstLine="763"/>
        <w:spacing w:after="0" w:line="276" w:lineRule="auto"/>
        <w:rPr>
          <w:sz w:val="20"/>
          <w:szCs w:val="20"/>
          <w:color w:val="auto"/>
        </w:rPr>
      </w:pPr>
      <w:r>
        <w:rPr>
          <w:rFonts w:ascii="Courier New" w:cs="Courier New" w:eastAsia="Courier New" w:hAnsi="Courier New"/>
          <w:sz w:val="14"/>
          <w:szCs w:val="14"/>
          <w:color w:val="auto"/>
        </w:rPr>
        <w:t>By effecting the Restructuring and related transactions, and specifically the Combination, as an owner, operator and manager of correctional and detention facilities, the Company will become more directly exposed to the risks inherent in the private corrections and detention industry described above.</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IS SUBJECT TO TAX RELATED RISKS</w:t>
      </w:r>
    </w:p>
    <w:p>
      <w:pPr>
        <w:spacing w:after="0" w:line="168" w:lineRule="exact"/>
        <w:rPr>
          <w:sz w:val="20"/>
          <w:szCs w:val="20"/>
          <w:color w:val="auto"/>
        </w:rPr>
      </w:pPr>
    </w:p>
    <w:p>
      <w:pPr>
        <w:ind w:right="3359" w:firstLine="763"/>
        <w:spacing w:after="0" w:line="250" w:lineRule="auto"/>
        <w:rPr>
          <w:sz w:val="20"/>
          <w:szCs w:val="20"/>
          <w:color w:val="auto"/>
        </w:rPr>
      </w:pPr>
      <w:r>
        <w:rPr>
          <w:rFonts w:ascii="Courier New" w:cs="Courier New" w:eastAsia="Courier New" w:hAnsi="Courier New"/>
          <w:sz w:val="14"/>
          <w:szCs w:val="14"/>
          <w:color w:val="auto"/>
        </w:rPr>
        <w:t>The Company has operated so as to preserve its ability to qualify for taxation as a REIT for federal income tax purposes beginning with its taxable year ending December 31, 1999. If the Company qualifies for taxation as a REIT, the Company (subject to certain exceptions) will not be subject to federal income taxation at the corporate level on its taxable income that it distributes to its shareholders. As discussed herein under the heading "--Recent Developments--Restructuring and Related Transactions," the Company has operated so as to preserve its ability to elect to be taxed as a REIT with respect to its taxable year ended December 31, 1999. If, however, the Fortress/Blackstone Restructuring, under its existing terms, is approved by the Company's shareholders and is subsequently completed, the Company will elect to be taxed as a C corporation, and not as a REIT, with respect to its taxable year ended December 31, 1999 and all subsequent taxable years. See "--Recent Developments Restructuring and Related Transactions." In any event, if the Company determines to elect to be taxed as a REIT with respect to its 1999 taxable year or in future years, because qualification as a REIT involves the application of highly technical and complex provisions of the Internal Revenue Code of 1986, as amended (the "Code"), no assurance can be made that the Company would qualify as a REIT. If the Company does not elect to be taxed, or otherwise qualify, as a REIT, it will be subject to federal income tax, including any applicable alternative minimum tax, on its taxable income at corporate rates. Failure to qualify as a REIT would therefore reduce the net earnings of the Company available for distribution to shareholders because of the additional tax liability to the Company for the year or years involved. To the extent that distributions to shareholders have been made in reliance upon the Company's qualifying as a REIT, the Company may be required to borrow funds or to liquidate certain of its investments to pay the applicable income tax. The failure to qualify as a REIT would also constitute a default under certain of the Company's current debt obligations. The Company, however, intends to refinance and/or amend the terms of its existing indebtedness and is currently seeking a waiver of this requirement</w:t>
      </w:r>
    </w:p>
    <w:p>
      <w:pPr>
        <w:spacing w:after="0" w:line="9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25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35</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pending the completion of the Restructuring. See "--Recent</w:t>
      </w:r>
    </w:p>
    <w:p>
      <w:pPr>
        <w:spacing w:after="0" w:line="30" w:lineRule="exact"/>
        <w:rPr>
          <w:sz w:val="20"/>
          <w:szCs w:val="20"/>
          <w:color w:val="auto"/>
        </w:rPr>
      </w:pPr>
    </w:p>
    <w:p>
      <w:pPr>
        <w:ind w:right="3959"/>
        <w:spacing w:after="0" w:line="327" w:lineRule="auto"/>
        <w:rPr>
          <w:sz w:val="20"/>
          <w:szCs w:val="20"/>
          <w:color w:val="auto"/>
        </w:rPr>
      </w:pPr>
      <w:r>
        <w:rPr>
          <w:rFonts w:ascii="Courier New" w:cs="Courier New" w:eastAsia="Courier New" w:hAnsi="Courier New"/>
          <w:sz w:val="14"/>
          <w:szCs w:val="14"/>
          <w:color w:val="auto"/>
        </w:rPr>
        <w:t>Developments--Solicitation of Consents for Waivers of, and Amendments to, Provisions of the Company's and CCA's Outstanding Indebtedness."</w:t>
      </w:r>
    </w:p>
    <w:p>
      <w:pPr>
        <w:spacing w:after="0" w:line="31" w:lineRule="exact"/>
        <w:rPr>
          <w:sz w:val="20"/>
          <w:szCs w:val="20"/>
          <w:color w:val="auto"/>
        </w:rPr>
      </w:pPr>
    </w:p>
    <w:p>
      <w:pPr>
        <w:ind w:right="3359" w:firstLine="763"/>
        <w:spacing w:after="0" w:line="251" w:lineRule="auto"/>
        <w:rPr>
          <w:sz w:val="20"/>
          <w:szCs w:val="20"/>
          <w:color w:val="auto"/>
        </w:rPr>
      </w:pPr>
      <w:r>
        <w:rPr>
          <w:rFonts w:ascii="Courier New" w:cs="Courier New" w:eastAsia="Courier New" w:hAnsi="Courier New"/>
          <w:sz w:val="14"/>
          <w:szCs w:val="14"/>
          <w:color w:val="auto"/>
        </w:rPr>
        <w:t>In the event that the Company does not elect, or is otherwise unable to qualify, to be taxed as a REIT, the REIT requirements that the Company pay dividends equal to at least 95% of its taxable income each year and distribute the accumulated earnings and profits from any predecessor C corporation will no longer apply. Although the Company has already distributed the existing earnings and profits of Old CCA with respect to its 1999 taxable year, it would have no further obligation to distribute any increase in such earnings and profits should the Internal Revenue Service (the "IRS") make adjustments thereto in the future. As a C corporation, future distributions by the Company to its shareholders will be made at the discretion of the Company's board of directors, and it is not anticipated that the Company would make any distributions to its common shareholders in the foreseeable future. As a C corporation, the Company would be subject to regular corporate rates, and the Company currently estimates that it will owe approximately $90.0 million in taxes, interest and penalties for the year ending December 31, 1999 if it does not elect REIT status with respect to such year. Accordingly, completing the Restructuring and related transactions, including the Equity Investment, or any similar transactions or series of transactions, including those transactions contemplated by the Pacific Life Proposal, will place significant demands on the combined company's liquidity as the result of the dividend requirements of the convertible preferred stock and the obligation to pay corporate income taxes as a C corporation. The company's ability to meet these liquidity requirements will depend on its ability to borrow under its new credit facility and to generate sufficient cash from operations. See "Business--Recent Developments--Restructuring and Related Transactions."</w:t>
      </w:r>
    </w:p>
    <w:p>
      <w:pPr>
        <w:spacing w:after="0" w:line="9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COMPANY IS SUBJECT TO RISKS INHERENT IN INVESTMENT IN REAL ESTATE PROPERTIES</w:t>
      </w:r>
    </w:p>
    <w:p>
      <w:pPr>
        <w:spacing w:after="0" w:line="168" w:lineRule="exact"/>
        <w:rPr>
          <w:sz w:val="20"/>
          <w:szCs w:val="20"/>
          <w:color w:val="auto"/>
        </w:rPr>
      </w:pPr>
    </w:p>
    <w:p>
      <w:pPr>
        <w:ind w:right="3359" w:firstLine="848"/>
        <w:spacing w:after="0" w:line="251" w:lineRule="auto"/>
        <w:rPr>
          <w:sz w:val="20"/>
          <w:szCs w:val="20"/>
          <w:color w:val="auto"/>
        </w:rPr>
      </w:pPr>
      <w:r>
        <w:rPr>
          <w:rFonts w:ascii="Courier New" w:cs="Courier New" w:eastAsia="Courier New" w:hAnsi="Courier New"/>
          <w:sz w:val="14"/>
          <w:szCs w:val="14"/>
          <w:color w:val="auto"/>
        </w:rPr>
        <w:t>Investments in correctional and detention facilities and any additional properties in which the Company may invest in the future are subject to risks typically associated with investments in real estate. As an entity which has operated so as to preserve its ability to qualify as a REIT, the Company derives the substantial majority of its revenues from the ownership of such real estate properties and, therefore its revenues and net income are directly subject to such risks. Such risks include the possibility that the correctional and detention facilities, and any additional investment properties, will generate total rental rates lower than those anticipated or will yield returns lower than those available through investment in comparable real estate or other investments. Furthermore, equity investments in real estate are relatively illiquid and, therefore, the ability of the Company to vary its portfolio promptly in response to changed conditions will be limited. Investments in correctional and detention facilities, in particular, subject the Company to risks involving potential exposure to environmental liability and uninsured loss. The operating costs of the Company may be affected by the obligation to pay for the cost of complying with existing environmental laws, ordinances and regulations, as well as the cost of complying with future legislation. Although, the Company's existing CCA Leases require CCA to maintain insurance with respect to each of the Company's facilities leased to CCA, there are certain types of losses, such as losses from earthquakes, which may be either uninsurable or for which it may not be economically feasible to obtain insurance coverage, in light of the substantial costs associated with such insurance. As a result, the Company could lose both its capital invested in, and anticipated profits from, one or more of the facilities owned by the Company.</w:t>
      </w:r>
    </w:p>
    <w:p>
      <w:pPr>
        <w:spacing w:after="0" w:line="93" w:lineRule="exact"/>
        <w:rPr>
          <w:sz w:val="20"/>
          <w:szCs w:val="20"/>
          <w:color w:val="auto"/>
        </w:rPr>
      </w:pPr>
    </w:p>
    <w:p>
      <w:pPr>
        <w:ind w:right="3459" w:firstLine="848"/>
        <w:spacing w:after="0" w:line="261" w:lineRule="auto"/>
        <w:rPr>
          <w:sz w:val="20"/>
          <w:szCs w:val="20"/>
          <w:color w:val="auto"/>
        </w:rPr>
      </w:pPr>
      <w:r>
        <w:rPr>
          <w:rFonts w:ascii="Courier New" w:cs="Courier New" w:eastAsia="Courier New" w:hAnsi="Courier New"/>
          <w:sz w:val="14"/>
          <w:szCs w:val="14"/>
          <w:color w:val="auto"/>
        </w:rPr>
        <w:t>Upon the completion of the Restructuring and related transactions, and, in particular, the Combination, the Company will remain subject to these risks as the result of the Company's continued ownership of correctional and detention facilities. Moreover, as the result of the cancellation of the CCA Leases, the Company will be required to maintain insurance with respect to each of the Company's facilities and will be directly liable should a loss occur at any of the facilities. As a result, the Company could lose both its capital invested in, and anticipated profits from, one or more of the facilities owned by the Company.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DEPENDENCE ON TENANTS FOR REVENUES</w:t>
      </w:r>
    </w:p>
    <w:p>
      <w:pPr>
        <w:spacing w:after="0" w:line="168" w:lineRule="exact"/>
        <w:rPr>
          <w:sz w:val="20"/>
          <w:szCs w:val="20"/>
          <w:color w:val="auto"/>
        </w:rPr>
      </w:pPr>
    </w:p>
    <w:p>
      <w:pPr>
        <w:ind w:right="3359" w:firstLine="933"/>
        <w:spacing w:after="0" w:line="306" w:lineRule="auto"/>
        <w:rPr>
          <w:sz w:val="20"/>
          <w:szCs w:val="20"/>
          <w:color w:val="auto"/>
        </w:rPr>
      </w:pPr>
      <w:r>
        <w:rPr>
          <w:rFonts w:ascii="Courier New" w:cs="Courier New" w:eastAsia="Courier New" w:hAnsi="Courier New"/>
          <w:sz w:val="14"/>
          <w:szCs w:val="14"/>
          <w:color w:val="auto"/>
        </w:rPr>
        <w:t>As the lessor of correctional and detention facilities, the Company is currently dependent upon the ability of its tenants to make lease payments to the Company. CCA is currently the lessee of a substantial majority of the</w:t>
      </w:r>
    </w:p>
    <w:p>
      <w:pPr>
        <w:spacing w:after="0" w:line="4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257"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36</w:t>
      </w:r>
    </w:p>
    <w:p>
      <w:pPr>
        <w:spacing w:after="0" w:line="200" w:lineRule="exact"/>
        <w:rPr>
          <w:sz w:val="20"/>
          <w:szCs w:val="20"/>
          <w:color w:val="auto"/>
        </w:rPr>
      </w:pPr>
    </w:p>
    <w:p>
      <w:pPr>
        <w:spacing w:after="0" w:line="294"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Company's facilities. Therefore, the Company is currently dependent for a substantial portion of its revenues on CCA's ability to make the lease payments required under the CCA Leases for such facilities. As previously discussed herein, CCA has incurred substantial losses from operations through the fourth quarter of 1999. In an effort to address CCA's liquidity, the Company and CCA intend to amend the terms of the CCA Leases as described herein under the heading "--Recent Developments--Transactions Between the Company and CCA" to restructure the payments due the Company under the CCA Leases. CCA's obligation to make payments under the CCA Leases is not secured by any of the assets of CCA, although the obligations under the CCA Leases are cross-defaulted so that the Company could terminate all of the leases if CCA fails to make required lease payments. Under such circumstances, the Company would be required to find a suitable lessee for the Company's facilities in order to generate revenue and to maintain its ability to qualify as a REIT. Due to the unique nature of correctional and detention facilities, the Company may be unable to locate suitable lessees or to attract such lessees.</w:t>
      </w:r>
    </w:p>
    <w:p>
      <w:pPr>
        <w:spacing w:after="0" w:line="87" w:lineRule="exact"/>
        <w:rPr>
          <w:sz w:val="20"/>
          <w:szCs w:val="20"/>
          <w:color w:val="auto"/>
        </w:rPr>
      </w:pPr>
    </w:p>
    <w:p>
      <w:pPr>
        <w:ind w:right="3359" w:firstLine="848"/>
        <w:spacing w:after="0" w:line="266" w:lineRule="auto"/>
        <w:rPr>
          <w:sz w:val="20"/>
          <w:szCs w:val="20"/>
          <w:color w:val="auto"/>
        </w:rPr>
      </w:pPr>
      <w:r>
        <w:rPr>
          <w:rFonts w:ascii="Courier New" w:cs="Courier New" w:eastAsia="Courier New" w:hAnsi="Courier New"/>
          <w:sz w:val="14"/>
          <w:szCs w:val="14"/>
          <w:color w:val="auto"/>
        </w:rPr>
        <w:t>Upon the completion of the Restructuring and related transactions, the CCA Leases will be canceled and be of no further force and effect and the Company, through its subsidiaries, would manage and operate the correctional and detention facilities currently being operated by CCA. The Company would, however, still lease nine of its facilities to government agencies and private operators other than CCA, and would thus be dependent on such tenants for a portion of its revenues.</w:t>
      </w:r>
    </w:p>
    <w:p>
      <w:pPr>
        <w:spacing w:after="0" w:line="74" w:lineRule="exact"/>
        <w:rPr>
          <w:sz w:val="20"/>
          <w:szCs w:val="20"/>
          <w:color w:val="auto"/>
        </w:rPr>
      </w:pPr>
    </w:p>
    <w:p>
      <w:pPr>
        <w:ind w:right="3359"/>
        <w:spacing w:after="0" w:line="366" w:lineRule="auto"/>
        <w:rPr>
          <w:sz w:val="20"/>
          <w:szCs w:val="20"/>
          <w:color w:val="auto"/>
        </w:rPr>
      </w:pPr>
      <w:r>
        <w:rPr>
          <w:rFonts w:ascii="Courier New" w:cs="Courier New" w:eastAsia="Courier New" w:hAnsi="Courier New"/>
          <w:sz w:val="14"/>
          <w:szCs w:val="14"/>
          <w:color w:val="auto"/>
        </w:rPr>
        <w:t>DEPENDENCE ON OUTSIDE FINANCING TO SUPPORT THE COMPANY'S GROWTH; DILUTIVE EFFECT OF SUCH FINANCING</w:t>
      </w:r>
    </w:p>
    <w:p>
      <w:pPr>
        <w:spacing w:after="0" w:line="6" w:lineRule="exact"/>
        <w:rPr>
          <w:sz w:val="20"/>
          <w:szCs w:val="20"/>
          <w:color w:val="auto"/>
        </w:rPr>
      </w:pPr>
    </w:p>
    <w:p>
      <w:pPr>
        <w:ind w:right="3359" w:firstLine="848"/>
        <w:spacing w:after="0" w:line="261" w:lineRule="auto"/>
        <w:rPr>
          <w:sz w:val="20"/>
          <w:szCs w:val="20"/>
          <w:color w:val="auto"/>
        </w:rPr>
      </w:pPr>
      <w:r>
        <w:rPr>
          <w:rFonts w:ascii="Courier New" w:cs="Courier New" w:eastAsia="Courier New" w:hAnsi="Courier New"/>
          <w:sz w:val="14"/>
          <w:szCs w:val="14"/>
          <w:color w:val="auto"/>
        </w:rPr>
        <w:t>The Company's current growth strategy includes acquiring, developing and expanding correctional and detention facilities as well as other properties. As an entity which has operated so as to preserve its ability to qualify as a REIT, the Company is not generally able to fund such growth with cash from its operating activities because the Company is required to distribute to its shareholders at least 95% of its taxable income each year in order to qualify as a REIT. Consequently, the Company must rely primarily upon the availability of debt or equity capital to fund acquisitions and improvements, the availability of which cannot be assured.</w:t>
      </w:r>
    </w:p>
    <w:p>
      <w:pPr>
        <w:spacing w:after="0" w:line="78" w:lineRule="exact"/>
        <w:rPr>
          <w:sz w:val="20"/>
          <w:szCs w:val="20"/>
          <w:color w:val="auto"/>
        </w:rPr>
      </w:pPr>
    </w:p>
    <w:p>
      <w:pPr>
        <w:ind w:right="3359" w:firstLine="848"/>
        <w:spacing w:after="0" w:line="251" w:lineRule="auto"/>
        <w:rPr>
          <w:sz w:val="20"/>
          <w:szCs w:val="20"/>
          <w:color w:val="auto"/>
        </w:rPr>
      </w:pPr>
      <w:r>
        <w:rPr>
          <w:rFonts w:ascii="Courier New" w:cs="Courier New" w:eastAsia="Courier New" w:hAnsi="Courier New"/>
          <w:sz w:val="14"/>
          <w:szCs w:val="14"/>
          <w:color w:val="auto"/>
        </w:rPr>
        <w:t>The Company's existing bank credit facility currently consists of a $400.0 million revolving loan and $600.0 million in term loans. The bank credit facility bears interest at a floating rate calculated from either the current LIBOR rate or an applicable base rate, as may be elected by the Company. The incurrence of additional indebtedness, and the potential issuance of additional debt securities, may result in increased interest expense for the Company and increase the Company's exposure to the risks associated with debt financing and there can be no assurance that the Company will have access to debt markets to fund future growth at an acceptable cost. The bank credit facility contains restrictions upon the Company's ability to incur additional debt and requires the Company to maintain certain specified financial ratios and a minimum net worth. These provisions may also restrict the Company's ability to obtain additional debt capital or limit its ability to engage in certain transactions. In addition, the board of directors of the Company has adopted a policy of limiting indebtedness to not more than 50% of the Company's total capitalization, which could also limit the Company's ability to incur additional indebtedness to fund its continued growth. As of December 31, 2000, the Company was not in compliance with certain financial and other covenants under its bank credit facility and under the terms of certain other indebtedness. The Company intends to request the consent of its lenders with respect to a waiver of these provisions. See "--Recent Developments--Solicitation of Consents for Waivers of, and Amendments to, Provisions of the Company's and CCA's Outstanding Indebtedness." There can be no assurance, however, that the Company will obtain such waivers. The failure to obtain such waivers or any additional breaches of these covenants could result in the acceleration of the Company's outstanding indebtedness under the bank credit facility. The Company may not be able to refinance or repay this indebtedness in full under such circumstances. There also can also be no assurance that the Company will have access to the capital markets to fund future growth at an acceptable cost.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LACK OF CONTROL OVER DAY-TO-DAY OPERATIONS AND MANAGEMENT OF ITS FACILITIES</w:t>
      </w:r>
    </w:p>
    <w:p>
      <w:pPr>
        <w:spacing w:after="0" w:line="168" w:lineRule="exact"/>
        <w:rPr>
          <w:sz w:val="20"/>
          <w:szCs w:val="20"/>
          <w:color w:val="auto"/>
        </w:rPr>
      </w:pPr>
    </w:p>
    <w:p>
      <w:pPr>
        <w:ind w:right="3459" w:firstLine="848"/>
        <w:spacing w:after="0" w:line="306" w:lineRule="auto"/>
        <w:rPr>
          <w:sz w:val="20"/>
          <w:szCs w:val="20"/>
          <w:color w:val="auto"/>
        </w:rPr>
      </w:pPr>
      <w:r>
        <w:rPr>
          <w:rFonts w:ascii="Courier New" w:cs="Courier New" w:eastAsia="Courier New" w:hAnsi="Courier New"/>
          <w:sz w:val="14"/>
          <w:szCs w:val="14"/>
          <w:color w:val="auto"/>
        </w:rPr>
        <w:t>To qualify as a REIT for federal income tax purposes, the Company cannot operate, or participate in decisions affecting the operations of, its facilities or those government-owned facilities managed by CCA, PMSI or JJFMSI.</w:t>
      </w:r>
    </w:p>
    <w:p>
      <w:pPr>
        <w:spacing w:after="0" w:line="4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25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37</w:t>
      </w:r>
    </w:p>
    <w:p>
      <w:pPr>
        <w:spacing w:after="0" w:line="200" w:lineRule="exact"/>
        <w:rPr>
          <w:sz w:val="20"/>
          <w:szCs w:val="20"/>
          <w:color w:val="auto"/>
        </w:rPr>
      </w:pPr>
    </w:p>
    <w:p>
      <w:pPr>
        <w:spacing w:after="0" w:line="294"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4"/>
          <w:szCs w:val="14"/>
          <w:color w:val="auto"/>
        </w:rPr>
        <w:t>Accordingly, the Company's lessees control the operations of its facilities pursuant to long-term "triple-net" leases, most of which have initial terms of 12 years and three renewal terms of five years each, exercisable upon the mutual agreement of the lessee and the Company. During the terms of the leases, the Company does not have the authority to require lessees to operate the facilities in a particular manner or to govern any particular aspect of their operation, except as set forth in the leases. Thus, even if the Company believes a lessee is operating a facility inefficiently or in a manner adverse to the Company's interests, the Company may not require a lessee to change its method of operation. The Company is limited to seeking redress only if the lessee violates the terms of a lease, in which case the Company's primary remedy is to terminate the lease or, in certain circumstances, all of the leases with that particular lessee, and seek to recover damages from the lessee. If a lease is terminated, the Company is required to find another suitable lessee or risk losing its ability to elect or maintain REIT status, as applicable. Moreover, PMSI and JJFMSI control the operations of the government-owned facilities managed and operated by them, and CCA controls the operations of the facilities managed and operated by it. The Company will not have the authority to require any of them to operate the facilities in a particular manner or to govern any particular aspect of their operation. Accordingly, the Company has no control over the operations of CCA, PMSI or JJFMSI which provide the basis for any dividends or other payments to be made to the Company from CCA, PMSI or JJFMSI.</w:t>
      </w:r>
    </w:p>
    <w:p>
      <w:pPr>
        <w:spacing w:after="0" w:line="87" w:lineRule="exact"/>
        <w:rPr>
          <w:sz w:val="20"/>
          <w:szCs w:val="20"/>
          <w:color w:val="auto"/>
        </w:rPr>
      </w:pPr>
    </w:p>
    <w:p>
      <w:pPr>
        <w:ind w:right="3359" w:firstLine="848"/>
        <w:spacing w:after="0" w:line="263" w:lineRule="auto"/>
        <w:rPr>
          <w:sz w:val="20"/>
          <w:szCs w:val="20"/>
          <w:color w:val="auto"/>
        </w:rPr>
      </w:pPr>
      <w:r>
        <w:rPr>
          <w:rFonts w:ascii="Courier New" w:cs="Courier New" w:eastAsia="Courier New" w:hAnsi="Courier New"/>
          <w:sz w:val="14"/>
          <w:szCs w:val="14"/>
          <w:color w:val="auto"/>
        </w:rPr>
        <w:t>If the Company completes the Restructuring and related transactions, and, in particular, the Combination, the business operations currently conducted by each of CCA, PMSI and JJFMSI will be conducted by the Company and its subsidiaries, and the existing CCA Leases and other agreements between the Company, CCA, PMSI and JJFMSI will be canceled. As such, the Company will have control, either directly or indirectly through its subsidiaries, over the daily operations and management of each facility which is currently managed by CCA, PMSI or JJFMSI.</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POTENTIAL CONFLICTS OF INTEREST MAY HAVE AN EFFECT ON THE COMPANY</w:t>
      </w:r>
    </w:p>
    <w:p>
      <w:pPr>
        <w:spacing w:after="0" w:line="168" w:lineRule="exact"/>
        <w:rPr>
          <w:sz w:val="20"/>
          <w:szCs w:val="20"/>
          <w:color w:val="auto"/>
        </w:rPr>
      </w:pPr>
    </w:p>
    <w:p>
      <w:pPr>
        <w:ind w:right="3359" w:firstLine="933"/>
        <w:spacing w:after="0" w:line="252" w:lineRule="auto"/>
        <w:rPr>
          <w:sz w:val="20"/>
          <w:szCs w:val="20"/>
          <w:color w:val="auto"/>
        </w:rPr>
      </w:pPr>
      <w:r>
        <w:rPr>
          <w:rFonts w:ascii="Courier New" w:cs="Courier New" w:eastAsia="Courier New" w:hAnsi="Courier New"/>
          <w:sz w:val="14"/>
          <w:szCs w:val="14"/>
          <w:color w:val="auto"/>
        </w:rPr>
        <w:t>Some directors, officers and shareholders of the Company currently have relationships with the Company, CCA, PMSI and JJFMSI which may create the potential for a conflict of interest with respect to the business decisions affecting the Company. Some directors, officers and shareholders of the Company also have an ownership interest in CCA which may create the potential for a conflict of interest with respect to the business decisions affecting the Company. In addition, the significant contractual and other ongoing relationships between the Company, CCA, PMSI and JJFMSI may present the potential for conflicts of interest. Such conflicts would impose a risk that these persons will favor their own interests over the interests of the Company in connection with the operations of the Company and CCA and their ongoing relationship. The Company has adopted policies to address these conflicts of interest. A more detailed discussion of these potential conflicts of interest is set forth herein under the heading "Certain Relationships and Transactions." Upon the completion of the Restructuring and related transactions, the business operations currently conducted by each of CCA, PMSI and JJFMSI will be conducted by the Company and its subsidiaries and the existing agreements between the Company, CCA, PMSI and JJFMSI, including the CCA Leases, will be canceled and will be of no further force and effect. As such, the current potential for conflicts of interest caused by the status of the Company as a landlord and a creditor of CCA, and as a shareholder of PMSI and JJFMSI, will be eliminated.</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STATUS</w:t>
      </w:r>
    </w:p>
    <w:p>
      <w:pPr>
        <w:spacing w:after="0" w:line="168" w:lineRule="exact"/>
        <w:rPr>
          <w:sz w:val="20"/>
          <w:szCs w:val="20"/>
          <w:color w:val="auto"/>
        </w:rPr>
      </w:pPr>
    </w:p>
    <w:p>
      <w:pPr>
        <w:ind w:right="3359" w:firstLine="848"/>
        <w:spacing w:after="0" w:line="255" w:lineRule="auto"/>
        <w:rPr>
          <w:sz w:val="20"/>
          <w:szCs w:val="20"/>
          <w:color w:val="auto"/>
        </w:rPr>
      </w:pPr>
      <w:r>
        <w:rPr>
          <w:rFonts w:ascii="Courier New" w:cs="Courier New" w:eastAsia="Courier New" w:hAnsi="Courier New"/>
          <w:sz w:val="14"/>
          <w:szCs w:val="14"/>
          <w:color w:val="auto"/>
        </w:rPr>
        <w:t>The Company has operated so as to preserve its ability to qualify for taxation as a REIT for federal income tax purposes beginning with its taxable year ending December 31, 1999. As discussed herein under the heading "--Recent Developments--Restructuring and Related Transactions," the Company currently intends to elect to be taxed as a REIT with respect to its taxable year ended December 31, 1999 and to operate as a C corporation thereafter unless the Fortress/Blackstone Restructuring, under its existing terms, is approved by the Company's shareholders and is subsequently completed. In the event, however, the Company completes the Fortress/Blackstone Restructuring under its existing terms, subject to shareholder approval, the Company will be required to operate as a C corporation commencing with its taxable year ended December 31, 1999. Therefore, there can be no assurance that the Company will be required to not elect REIT status with respect to its 1999 taxable year under the terms of the Fortress/Blackstone Restructuring or any other Restructuring proposal accepted by the Company. Moreover, there can be no assurance</w:t>
      </w:r>
    </w:p>
    <w:p>
      <w:pPr>
        <w:spacing w:after="0" w:line="8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257"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38</w:t>
      </w:r>
    </w:p>
    <w:p>
      <w:pPr>
        <w:spacing w:after="0" w:line="200" w:lineRule="exact"/>
        <w:rPr>
          <w:sz w:val="20"/>
          <w:szCs w:val="20"/>
          <w:color w:val="auto"/>
        </w:rPr>
      </w:pPr>
    </w:p>
    <w:p>
      <w:pPr>
        <w:spacing w:after="0" w:line="294" w:lineRule="exact"/>
        <w:rPr>
          <w:sz w:val="20"/>
          <w:szCs w:val="20"/>
          <w:color w:val="auto"/>
        </w:rPr>
      </w:pPr>
    </w:p>
    <w:p>
      <w:pPr>
        <w:ind w:right="3359"/>
        <w:spacing w:after="0" w:line="255" w:lineRule="auto"/>
        <w:rPr>
          <w:sz w:val="20"/>
          <w:szCs w:val="20"/>
          <w:color w:val="auto"/>
        </w:rPr>
      </w:pPr>
      <w:r>
        <w:rPr>
          <w:rFonts w:ascii="Courier New" w:cs="Courier New" w:eastAsia="Courier New" w:hAnsi="Courier New"/>
          <w:sz w:val="14"/>
          <w:szCs w:val="14"/>
          <w:color w:val="auto"/>
        </w:rPr>
        <w:t>that the Company will qualify to be taxed as a REIT for its 1999 taxable year in the event it elects such. Notwithstanding the foregoing, pending the vote of the Company's shareholders, the Company intends to take such actions as may be necessary to retain its ability to elect REIT status for its 1999 taxable year and beyond. In connection therewith, the Company has obtained an extension of time to file its 1999 federal tax return until September 15, 2000, which enables the Company to declare sufficient dividends (in cash or securities) with respect to its 1999 taxable year (equal to approximately $220.0 million) to elect to be taxed as a REIT for 1999 (and subsequent years) if shareholder approval is not obtained. If the Restructuring and related transactions, or another similar transaction or series of transactions, are completed, it is highly unlikely that the Company will elect, or be eligible, to qualify as a REIT for the taxable year in which the Restructuring is completed or in any taxable year subsequent to such Restructuring.</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TAXATION AS A REIT</w:t>
      </w:r>
    </w:p>
    <w:p>
      <w:pPr>
        <w:spacing w:after="0" w:line="168" w:lineRule="exact"/>
        <w:rPr>
          <w:sz w:val="20"/>
          <w:szCs w:val="20"/>
          <w:color w:val="auto"/>
        </w:rPr>
      </w:pPr>
    </w:p>
    <w:p>
      <w:pPr>
        <w:ind w:right="3359" w:firstLine="848"/>
        <w:spacing w:after="0" w:line="266" w:lineRule="auto"/>
        <w:rPr>
          <w:sz w:val="20"/>
          <w:szCs w:val="20"/>
          <w:color w:val="auto"/>
        </w:rPr>
      </w:pPr>
      <w:r>
        <w:rPr>
          <w:rFonts w:ascii="Courier New" w:cs="Courier New" w:eastAsia="Courier New" w:hAnsi="Courier New"/>
          <w:sz w:val="14"/>
          <w:szCs w:val="14"/>
          <w:color w:val="auto"/>
        </w:rPr>
        <w:t>In any year which the Company elects and qualifies for taxation as a REIT, the Company (subject to certain exceptions) would not be subject to federal income taxation at the corporate level on its taxable income that is distributed to its shareholders during the applicable year. Qualification as a REIT depends on the Company's ability to meet certain distribution and stock ownership requirements, as well as various qualification tests prescribed in the Code, as more fully described below.</w:t>
      </w:r>
    </w:p>
    <w:p>
      <w:pPr>
        <w:spacing w:after="0" w:line="74" w:lineRule="exact"/>
        <w:rPr>
          <w:sz w:val="20"/>
          <w:szCs w:val="20"/>
          <w:color w:val="auto"/>
        </w:rPr>
      </w:pPr>
    </w:p>
    <w:p>
      <w:pPr>
        <w:ind w:right="3359" w:firstLine="848"/>
        <w:spacing w:after="0" w:line="255" w:lineRule="auto"/>
        <w:rPr>
          <w:sz w:val="20"/>
          <w:szCs w:val="20"/>
          <w:color w:val="auto"/>
        </w:rPr>
      </w:pPr>
      <w:r>
        <w:rPr>
          <w:rFonts w:ascii="Courier New" w:cs="Courier New" w:eastAsia="Courier New" w:hAnsi="Courier New"/>
          <w:sz w:val="14"/>
          <w:szCs w:val="14"/>
          <w:color w:val="auto"/>
        </w:rPr>
        <w:t>STOCK OWNERSHIP RESTRICTIONS. As an entity which has operated so as to preserve its ability to qualify as a REIT, the Company is subject to rules regarding ownership of its capital stock (the "Stock Ownership Restrictions"). First, the Company, during a substantial portion of its taxable year, must be beneficially owned by 100 or more persons. Second, during the last half of the Company's taxable year, not more than 50% of the Company's capital stock may be owned, directly or indirectly, by five or fewer "individuals," as that term is defined in the Code. The Company's charter contains certain restrictive provisions with respect to the direct or constructive ownership of the Company's capital stock which are designed to assist the Company in satisfying the Stock Ownership Restrictions. However, the constructive ownership rules in the Code are complex and may cause shares of the Company's capital stock owned, directly or indirectly, by a group of related individuals and/or entities to be deemed to be constructively owned by an individual or entity in violation of the Stock Ownership Restrictions.</w:t>
      </w:r>
    </w:p>
    <w:p>
      <w:pPr>
        <w:spacing w:after="0" w:line="82" w:lineRule="exact"/>
        <w:rPr>
          <w:sz w:val="20"/>
          <w:szCs w:val="20"/>
          <w:color w:val="auto"/>
        </w:rPr>
      </w:pPr>
    </w:p>
    <w:p>
      <w:pPr>
        <w:ind w:right="3359" w:firstLine="848"/>
        <w:spacing w:after="0" w:line="253" w:lineRule="auto"/>
        <w:rPr>
          <w:sz w:val="20"/>
          <w:szCs w:val="20"/>
          <w:color w:val="auto"/>
        </w:rPr>
      </w:pPr>
      <w:r>
        <w:rPr>
          <w:rFonts w:ascii="Courier New" w:cs="Courier New" w:eastAsia="Courier New" w:hAnsi="Courier New"/>
          <w:sz w:val="14"/>
          <w:szCs w:val="14"/>
          <w:color w:val="auto"/>
        </w:rPr>
        <w:t>INCOME TESTS. For the Company to be able to qualify as a REIT, it must satisfy two gross income requirements (the "Income Tests") on an annual basis. First, at least 75% of the Company's gross income (excluding gross income from prohibited transactions) for each taxable year must be derived directly or indirectly from investments relating to real property (including, among other items, Rents from Real Property, as hereinafter defined) or from "qualified temporary investment income," as defined in the Code (the "75% Income Test"). "Rents from Real Property" generally means the gross amount received for the use of, or the right to use, a REIT's real property. Rents received by a REIT will qualify as Rents from Real Property only if the following conditions, among others, are met: (i) the leases under which such rents are paid must be respected as "true leases" for federal income tax purposes; and (ii) the REIT receiving rental payments from a corporate tenant, or a 10% shareholder of such REIT, must not own, directly or constructively, 10% or more of the voting power or total number of outstanding shares of such corporate tenant (a "Related Party Tenant"). Second, at least 95% of the Company's gross income (excluding gross income from prohibited transactions) for each taxable year must be derived from investments related to real property or from certain other types of passive income (the "95% Income Test").</w:t>
      </w:r>
    </w:p>
    <w:p>
      <w:pPr>
        <w:spacing w:after="0" w:line="85" w:lineRule="exact"/>
        <w:rPr>
          <w:sz w:val="20"/>
          <w:szCs w:val="20"/>
          <w:color w:val="auto"/>
        </w:rPr>
      </w:pPr>
    </w:p>
    <w:p>
      <w:pPr>
        <w:ind w:right="3359" w:firstLine="848"/>
        <w:spacing w:after="0" w:line="257" w:lineRule="auto"/>
        <w:rPr>
          <w:sz w:val="20"/>
          <w:szCs w:val="20"/>
          <w:color w:val="auto"/>
        </w:rPr>
      </w:pPr>
      <w:r>
        <w:rPr>
          <w:rFonts w:ascii="Courier New" w:cs="Courier New" w:eastAsia="Courier New" w:hAnsi="Courier New"/>
          <w:sz w:val="14"/>
          <w:szCs w:val="14"/>
          <w:color w:val="auto"/>
        </w:rPr>
        <w:t>Due to certain aspects of the Company's relationship with CCA, the IRS may not consider part or all of the payments that the Company receives from CCA under the CCA Leases to be Rents from Real Property. First, the IRS could recharacterize the CCA Leases as service contracts or partnership agreements, rather than as "true leases." Second, the IRS could recharacterize the CCA Note as equity for federal income tax purposes, which could result in the Company being deemed to own in excess of 10% of the total outstanding capital stock of CCA. If either of those events occur, part or all of the payments under the CCA Leases would not be considered Rents from Real Property. In either event, based upon the expected amount of rent payments under the CCA Leases, the Company likely would not satisfy either the 75% Income Test or the 95% Income Test and, as a result, would not be able to elect REIT status.</w:t>
      </w:r>
    </w:p>
    <w:p>
      <w:pPr>
        <w:spacing w:after="0" w:line="8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25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39</w:t>
      </w:r>
    </w:p>
    <w:p>
      <w:pPr>
        <w:spacing w:after="0" w:line="200" w:lineRule="exact"/>
        <w:rPr>
          <w:sz w:val="20"/>
          <w:szCs w:val="20"/>
          <w:color w:val="auto"/>
        </w:rPr>
      </w:pPr>
    </w:p>
    <w:p>
      <w:pPr>
        <w:spacing w:after="0" w:line="294" w:lineRule="exact"/>
        <w:rPr>
          <w:sz w:val="20"/>
          <w:szCs w:val="20"/>
          <w:color w:val="auto"/>
        </w:rPr>
      </w:pPr>
    </w:p>
    <w:p>
      <w:pPr>
        <w:ind w:right="3539"/>
        <w:spacing w:after="0" w:line="286" w:lineRule="auto"/>
        <w:rPr>
          <w:sz w:val="20"/>
          <w:szCs w:val="20"/>
          <w:color w:val="auto"/>
        </w:rPr>
      </w:pPr>
      <w:r>
        <w:rPr>
          <w:rFonts w:ascii="Courier New" w:cs="Courier New" w:eastAsia="Courier New" w:hAnsi="Courier New"/>
          <w:sz w:val="14"/>
          <w:szCs w:val="14"/>
          <w:color w:val="auto"/>
        </w:rPr>
        <w:t>As described herein under the heading "Business--General Development of Business--Recent Developments --Transactions Between the Company and CCA," the Company and CCA intend to amend the terms of the CCA Leases to restructure the payments due the Company under the CCA Leases.</w:t>
      </w:r>
    </w:p>
    <w:p>
      <w:pPr>
        <w:spacing w:after="0" w:line="59" w:lineRule="exact"/>
        <w:rPr>
          <w:sz w:val="20"/>
          <w:szCs w:val="20"/>
          <w:color w:val="auto"/>
        </w:rPr>
      </w:pPr>
    </w:p>
    <w:p>
      <w:pPr>
        <w:ind w:right="3359" w:firstLine="848"/>
        <w:spacing w:after="0" w:line="256" w:lineRule="auto"/>
        <w:rPr>
          <w:sz w:val="20"/>
          <w:szCs w:val="20"/>
          <w:color w:val="auto"/>
        </w:rPr>
      </w:pPr>
      <w:r>
        <w:rPr>
          <w:rFonts w:ascii="Courier New" w:cs="Courier New" w:eastAsia="Courier New" w:hAnsi="Courier New"/>
          <w:sz w:val="14"/>
          <w:szCs w:val="14"/>
          <w:color w:val="auto"/>
        </w:rPr>
        <w:t>The Company also realizes on a regular basis: (i) interest income under the CCA Note; (ii) license fees under the Trade Name Use Agreement relating to the use of the CCA name; and (iii) dividend income on its non-voting common stock in PMSI and JJFMSI, some or all of which will not be qualifying income under the 75% Income Test and the 95% Income Test. Taking into account these other sources of income, the Company believes it has satisfied the 75% Income Test and the 95% Income Test with respect to its 1999 tax year. The IRS, however, may assert that the payments under the CCA Leases are excessive and treat the excess as attributable to the Trade Name Use Agreement, the management contracts acquired in connection with the issuance of the CCA Note or some other source. CCA has been required to defer the first scheduled payment of accrued interest under the CCA Note. See "Business--General Development of Business--Recent Developments --Transactions between the Company and CCA."</w:t>
      </w:r>
    </w:p>
    <w:p>
      <w:pPr>
        <w:spacing w:after="0" w:line="84" w:lineRule="exact"/>
        <w:rPr>
          <w:sz w:val="20"/>
          <w:szCs w:val="20"/>
          <w:color w:val="auto"/>
        </w:rPr>
      </w:pPr>
    </w:p>
    <w:p>
      <w:pPr>
        <w:ind w:right="3359" w:firstLine="848"/>
        <w:spacing w:after="0" w:line="254" w:lineRule="auto"/>
        <w:rPr>
          <w:sz w:val="20"/>
          <w:szCs w:val="20"/>
          <w:color w:val="auto"/>
        </w:rPr>
      </w:pPr>
      <w:r>
        <w:rPr>
          <w:rFonts w:ascii="Courier New" w:cs="Courier New" w:eastAsia="Courier New" w:hAnsi="Courier New"/>
          <w:sz w:val="14"/>
          <w:szCs w:val="14"/>
          <w:color w:val="auto"/>
        </w:rPr>
        <w:t>ASSET TESTS. For the Company to be able to qualify as a REIT, at the close of each quarter of its taxable year it must also satisfy three tests relating to the nature of its assets (the "Asset Tests"). First, at least 75% of the value of the Company's total assets (determined in accordance with GAAP) must be represented by real estate assets, cash, cash items and government securities. Second, the value of any one issuer's securities owned by the Company (other than those qualifying for the 75% test) may not exceed 5% of the value of the Company's total assets. Third, the Company may not own more than 10% of any one issuer's outstanding voting securities. These Asset Tests are applied as of the close of each fiscal quarter. After initially meeting the Asset Tests, the Company will not lose its ability to qualify as a REIT for failure to satisfy the Asset Tests at the end of a later quarter solely by reason of a change in asset values. Pursuant to valuations determined in good faith by the Board of Directors of the Company, the Company satisfied the Asset Tests as of the end of each quarter during 1999. However, the Company's determination is not binding on the IRS.</w:t>
      </w:r>
    </w:p>
    <w:p>
      <w:pPr>
        <w:spacing w:after="0" w:line="87" w:lineRule="exact"/>
        <w:rPr>
          <w:sz w:val="20"/>
          <w:szCs w:val="20"/>
          <w:color w:val="auto"/>
        </w:rPr>
      </w:pPr>
    </w:p>
    <w:p>
      <w:pPr>
        <w:ind w:right="3359" w:firstLine="848"/>
        <w:spacing w:after="0" w:line="255" w:lineRule="auto"/>
        <w:rPr>
          <w:sz w:val="20"/>
          <w:szCs w:val="20"/>
          <w:color w:val="auto"/>
        </w:rPr>
      </w:pPr>
      <w:r>
        <w:rPr>
          <w:rFonts w:ascii="Courier New" w:cs="Courier New" w:eastAsia="Courier New" w:hAnsi="Courier New"/>
          <w:sz w:val="14"/>
          <w:szCs w:val="14"/>
          <w:color w:val="auto"/>
        </w:rPr>
        <w:t>DISTRIBUTION REQUIREMENTS. For the Company to be able to qualify as a REIT, it will be required to make annual distributions to its shareholders in an amount at least equal to (1) the sum of (a) 95% of the Company's "REIT taxable income" (as defined in the Code to exclude net capital gains), and (b) 95% of the net income, if any, from foreclosure property in excess of the special tax on income from foreclosure property, minus (2) the sum of certain items of non-cash income. To the extent that the Company does not distribute all of its net capital gain or distribute at least 95% (but less than 100%) of its REIT taxable income, as adjusted, it will be subject to tax on the undistributed portion, at regular corporate tax rates. Furthermore, if the Company fails to distribute for each calendar year at least the sum of (a) 85% of its ordinary income for such year, (b) 95% of its net capital gain for such year, and (c) any undistributed ordinary income and capital gain net income from prior periods, the Company will be subject to a 4% excise tax on the excess of such required distribution over the amounts actually distributed.</w:t>
      </w:r>
    </w:p>
    <w:p>
      <w:pPr>
        <w:spacing w:after="0" w:line="82" w:lineRule="exact"/>
        <w:rPr>
          <w:sz w:val="20"/>
          <w:szCs w:val="20"/>
          <w:color w:val="auto"/>
        </w:rPr>
      </w:pPr>
    </w:p>
    <w:p>
      <w:pPr>
        <w:ind w:right="3459" w:firstLine="848"/>
        <w:spacing w:after="0" w:line="263" w:lineRule="auto"/>
        <w:rPr>
          <w:sz w:val="20"/>
          <w:szCs w:val="20"/>
          <w:color w:val="auto"/>
        </w:rPr>
      </w:pPr>
      <w:r>
        <w:rPr>
          <w:rFonts w:ascii="Courier New" w:cs="Courier New" w:eastAsia="Courier New" w:hAnsi="Courier New"/>
          <w:sz w:val="14"/>
          <w:szCs w:val="14"/>
          <w:color w:val="auto"/>
        </w:rPr>
        <w:t>Prior to the 1999 Merger, Old CCA operated as a taxable corporation for federal income tax purposes since its inception, and, therefore, generated accumulated earnings and profits to the extent its taxable income, subject to certain adjustments, was not distributed to its shareholders. To preserve its ability to qualify as a REIT, the Company was required to distribute all of Old CCA's earnings and profits before the end of 1999. If in the future the IRS makes adjustments increasing Old CCA's earnings and profits, the Company may be required to make additional distributions equal to the amount of the increase.</w:t>
      </w:r>
    </w:p>
    <w:p>
      <w:pPr>
        <w:spacing w:after="0" w:line="77" w:lineRule="exact"/>
        <w:rPr>
          <w:sz w:val="20"/>
          <w:szCs w:val="20"/>
          <w:color w:val="auto"/>
        </w:rPr>
      </w:pPr>
    </w:p>
    <w:p>
      <w:pPr>
        <w:ind w:right="3359" w:firstLine="848"/>
        <w:spacing w:after="0" w:line="260" w:lineRule="auto"/>
        <w:rPr>
          <w:sz w:val="20"/>
          <w:szCs w:val="20"/>
          <w:color w:val="auto"/>
        </w:rPr>
      </w:pPr>
      <w:r>
        <w:rPr>
          <w:rFonts w:ascii="Courier New" w:cs="Courier New" w:eastAsia="Courier New" w:hAnsi="Courier New"/>
          <w:sz w:val="14"/>
          <w:szCs w:val="14"/>
          <w:color w:val="auto"/>
        </w:rPr>
        <w:t>The Company distributed approximately $217.7 million in dividends in 1999. Under certain ordering rules contained in the Code, these dividends were applied first to Old CCA's earnings and profits, with the excess being applied to the 95% distribution requirement. If the Company elects to be taxed as a REIT for 1999, it will be required to pay in 2000 dividends (in cash or securities) and excise taxes of up to approximately $220.0 million, a substantial portion of which would be required to be paid in the year 2000, with the remainder, if any, to be paid in later years and may be required to pay additional dividends in the future should the IRS make adjustments increasing Old CCA's earnings and profits.</w:t>
      </w:r>
    </w:p>
    <w:p>
      <w:pPr>
        <w:spacing w:after="0" w:line="7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9"/>
          </w:cols>
          <w:pgMar w:left="300" w:top="25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40</w:t>
      </w:r>
    </w:p>
    <w:p>
      <w:pPr>
        <w:spacing w:after="0" w:line="200" w:lineRule="exact"/>
        <w:rPr>
          <w:sz w:val="20"/>
          <w:szCs w:val="20"/>
          <w:color w:val="auto"/>
        </w:rPr>
      </w:pPr>
    </w:p>
    <w:p>
      <w:pPr>
        <w:spacing w:after="0" w:line="294" w:lineRule="exact"/>
        <w:rPr>
          <w:sz w:val="20"/>
          <w:szCs w:val="20"/>
          <w:color w:val="auto"/>
        </w:rPr>
      </w:pPr>
    </w:p>
    <w:p>
      <w:pPr>
        <w:ind w:right="3359" w:firstLine="848"/>
        <w:spacing w:after="0" w:line="261" w:lineRule="auto"/>
        <w:rPr>
          <w:sz w:val="20"/>
          <w:szCs w:val="20"/>
          <w:color w:val="auto"/>
        </w:rPr>
      </w:pPr>
      <w:r>
        <w:rPr>
          <w:rFonts w:ascii="Courier New" w:cs="Courier New" w:eastAsia="Courier New" w:hAnsi="Courier New"/>
          <w:sz w:val="14"/>
          <w:szCs w:val="14"/>
          <w:color w:val="auto"/>
        </w:rPr>
        <w:t>TAX LEGISLATION. The REIT industry is subject to regulation by Congress. Legislation affecting REITs could be introduced in Congress at any time. Moreover, legislation, as well as administrative interpretations or court decisions, could also change the tax laws with respect to REIT qualification and the federal income tax consequences of such qualification. The adoption of any such legislation, regulation, administrative interpretation or court decision could have a material adverse effect on the results of operations, financial condition and prospects of the Company for so long as the Company elects to qualify as a REIT.</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TAXATION AS A C CORPORATION</w:t>
      </w:r>
    </w:p>
    <w:p>
      <w:pPr>
        <w:spacing w:after="0" w:line="168" w:lineRule="exact"/>
        <w:rPr>
          <w:sz w:val="20"/>
          <w:szCs w:val="20"/>
          <w:color w:val="auto"/>
        </w:rPr>
      </w:pPr>
    </w:p>
    <w:p>
      <w:pPr>
        <w:ind w:right="3359" w:firstLine="848"/>
        <w:spacing w:after="0" w:line="253" w:lineRule="auto"/>
        <w:rPr>
          <w:sz w:val="20"/>
          <w:szCs w:val="20"/>
          <w:color w:val="auto"/>
        </w:rPr>
      </w:pPr>
      <w:r>
        <w:rPr>
          <w:rFonts w:ascii="Courier New" w:cs="Courier New" w:eastAsia="Courier New" w:hAnsi="Courier New"/>
          <w:sz w:val="14"/>
          <w:szCs w:val="14"/>
          <w:color w:val="auto"/>
        </w:rPr>
        <w:t>In the event that the Company does not elect, or is otherwise unable to qualify, to be taxed as a REIT, the REIT requirements that the Company pay dividends equal to at least 95% of its taxable income each year and distribute the accumulated earnings and profits from any predecessor C corporation will no longer apply. Although the Company has already distributed the existing earnings and profits of Old CCA with respect to its 1999 taxable year, it would have no further obligation to distribute any increase in such earnings and profits should the IRS make adjustments thereto in the future. Additionally, any distributions which the Company paid to the shareholders of the Company would not be deductible for purposes of computing the Company's taxable income and the Company would be subject to income tax, including any applicable alternative minimum tax, on its taxable income at regular corporate rates. As such, the Company will be required to reflect the appropriate provision for income taxes in its financial statements in accordance with SFAS No. 109. As a C corporation, the Company would be subject to regular corporate rates, and the Company currently estimates that it will owe approximately $90.0 million in taxes, interest and penalties for the year ending December 31, 1999 if it does not elect REIT status with respect to such year.</w:t>
      </w:r>
    </w:p>
    <w:p>
      <w:pPr>
        <w:spacing w:after="0" w:line="89" w:lineRule="exact"/>
        <w:rPr>
          <w:sz w:val="20"/>
          <w:szCs w:val="20"/>
          <w:color w:val="auto"/>
        </w:rPr>
      </w:pPr>
    </w:p>
    <w:p>
      <w:pPr>
        <w:ind w:right="3359" w:firstLine="848"/>
        <w:spacing w:after="0" w:line="258" w:lineRule="auto"/>
        <w:rPr>
          <w:sz w:val="20"/>
          <w:szCs w:val="20"/>
          <w:color w:val="auto"/>
        </w:rPr>
      </w:pPr>
      <w:r>
        <w:rPr>
          <w:rFonts w:ascii="Courier New" w:cs="Courier New" w:eastAsia="Courier New" w:hAnsi="Courier New"/>
          <w:sz w:val="14"/>
          <w:szCs w:val="14"/>
          <w:color w:val="auto"/>
        </w:rPr>
        <w:t>DISTRIBUTIONS ON, AND INVESTMENT IN COMMON STOCK. As a C corporation, future distributions by the Company to its shareholders would be made at the discretion of the Company's board of directors, and it is not anticipated that the Company would make any distributions to its common shareholders in the foreseeable future. However, any distributions that may be paid by the Company to a corporate shareholder may be eligible for the dividends received deduction, subject to certain limitations set forth in the Code, whereas distributions paid by REITs are not eligible for the dividends received deduction. As a C corporation, investments in the Common Stock will be taxed under the general rules applicable to investments in stock of regular C corporations, and a holder of Common Stock will no longer be subject to the special rules governing REITs.</w:t>
      </w:r>
    </w:p>
    <w:p>
      <w:pPr>
        <w:spacing w:after="0" w:line="82" w:lineRule="exact"/>
        <w:rPr>
          <w:sz w:val="20"/>
          <w:szCs w:val="20"/>
          <w:color w:val="auto"/>
        </w:rPr>
      </w:pPr>
    </w:p>
    <w:p>
      <w:pPr>
        <w:ind w:right="3539" w:firstLine="848"/>
        <w:spacing w:after="0" w:line="270" w:lineRule="auto"/>
        <w:rPr>
          <w:sz w:val="20"/>
          <w:szCs w:val="20"/>
          <w:color w:val="auto"/>
        </w:rPr>
      </w:pPr>
      <w:r>
        <w:rPr>
          <w:rFonts w:ascii="Courier New" w:cs="Courier New" w:eastAsia="Courier New" w:hAnsi="Courier New"/>
          <w:sz w:val="14"/>
          <w:szCs w:val="14"/>
          <w:color w:val="auto"/>
        </w:rPr>
        <w:t>SPECIAL CONSEQUENCES TO NON -U.S. SHAREHOLDERS. Should the Company fail to elect REIT status commencing with its taxable year ending December 31, 1999, their shares of Common Stock will not be eligible for an exemption from the Foreign Investment in Real Property Tax Act ("FIRPTA") as stock of a domestically-controlled REIT and the Company will constitute a "United States real property holding corporation" within the meaning of FIRPTA.</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OPERATIONS</w:t>
      </w:r>
    </w:p>
    <w:p>
      <w:pPr>
        <w:spacing w:after="0" w:line="168" w:lineRule="exact"/>
        <w:rPr>
          <w:sz w:val="20"/>
          <w:szCs w:val="20"/>
          <w:color w:val="auto"/>
        </w:rPr>
      </w:pPr>
    </w:p>
    <w:p>
      <w:pPr>
        <w:ind w:right="3359" w:firstLine="763"/>
        <w:spacing w:after="0" w:line="254" w:lineRule="auto"/>
        <w:rPr>
          <w:sz w:val="20"/>
          <w:szCs w:val="20"/>
          <w:color w:val="auto"/>
        </w:rPr>
      </w:pPr>
      <w:r>
        <w:rPr>
          <w:rFonts w:ascii="Courier New" w:cs="Courier New" w:eastAsia="Courier New" w:hAnsi="Courier New"/>
          <w:sz w:val="14"/>
          <w:szCs w:val="14"/>
          <w:color w:val="auto"/>
        </w:rPr>
        <w:t>The Company does not currently engage in any foreign operations or derive revenues from foreign sources. However, the Company, through a wholly owned subsidiary, has constructed the HMP Forrest Bank Prison, an 800 bed medium security facility located in Salford, England. The facility, which became operational in January 2000, is subject to a 25 year lease with Agecroft Prison Management, Inc. ("APM"). APM is a special purpose entity acting as the contracting entity for a 25 year prison management contract with an agency of the U.K. government. APM is a joint venture of a wholly owned subsidiary of JJFMSI and Sodexho. APM subcontracts the operation of the facility to U.K. Detention Services Limited, a company incorporated in the U.K. and 50% owned by a wholly owned subsidiary of JJFMSI and Sodexho. Additionally, in connection with the 1999 Merger, Old CCA transferred all of the issued and outstanding capital stock of certain of its subsidiaries, constituting all of its international operations, to JJFMSI. The Company may, in the future, pursue other opportunities which may result in the Company or its subsidiaries engaging in foreign operations or deriving revenues from foreign sources.</w:t>
      </w:r>
    </w:p>
    <w:p>
      <w:pPr>
        <w:spacing w:after="0" w:line="25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159"/>
          </w:cols>
          <w:pgMar w:left="300" w:top="25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41</w:t>
      </w:r>
    </w:p>
    <w:p>
      <w:pPr>
        <w:spacing w:after="0" w:line="200" w:lineRule="exact"/>
        <w:rPr>
          <w:sz w:val="20"/>
          <w:szCs w:val="20"/>
          <w:color w:val="auto"/>
        </w:rPr>
      </w:pPr>
    </w:p>
    <w:p>
      <w:pPr>
        <w:spacing w:after="0" w:line="29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3"/>
          <w:szCs w:val="13"/>
          <w:color w:val="auto"/>
        </w:rPr>
        <w:t>PROPERTIES.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68" w:lineRule="exact"/>
        <w:rPr>
          <w:sz w:val="20"/>
          <w:szCs w:val="20"/>
          <w:color w:val="auto"/>
        </w:rPr>
      </w:pPr>
    </w:p>
    <w:p>
      <w:pPr>
        <w:ind w:right="3359" w:firstLine="763"/>
        <w:spacing w:after="0" w:line="257" w:lineRule="auto"/>
        <w:rPr>
          <w:sz w:val="20"/>
          <w:szCs w:val="20"/>
          <w:color w:val="auto"/>
        </w:rPr>
      </w:pPr>
      <w:r>
        <w:rPr>
          <w:rFonts w:ascii="Courier New" w:cs="Courier New" w:eastAsia="Courier New" w:hAnsi="Courier New"/>
          <w:sz w:val="14"/>
          <w:szCs w:val="14"/>
          <w:color w:val="auto"/>
        </w:rPr>
        <w:t>At March 15, 2000, the Company owned or was in the process of developing 50 correctional and detention facilities in 17 states, the District of Columbia and the United Kingdom, of which 43 facilities were operating, four were under construction or expansion, and three were in the planning stages with a total aggregate cost of $2.3 billion. At March 15, 2000, Prison Realty leased 34 facilities to CCA, its primary tenant, six facilities to government agencies and three facilities to private operators. Upon the completion of the Restructuring and related transactions, and, in particular, the Combination, the Company will continue to own these correctional and detention facilities and will operate each of the facilities currently leased to CCA, as well as the other detention facilities owned by various governments and currently being operated by CCA, PMSI and JJFMSI.</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FACILITIES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68" w:lineRule="exact"/>
        <w:rPr>
          <w:sz w:val="20"/>
          <w:szCs w:val="20"/>
          <w:color w:val="auto"/>
        </w:rPr>
      </w:pPr>
    </w:p>
    <w:p>
      <w:pPr>
        <w:ind w:right="3459" w:firstLine="763"/>
        <w:spacing w:after="0" w:line="255" w:lineRule="auto"/>
        <w:rPr>
          <w:sz w:val="20"/>
          <w:szCs w:val="20"/>
          <w:color w:val="auto"/>
        </w:rPr>
      </w:pPr>
      <w:r>
        <w:rPr>
          <w:rFonts w:ascii="Courier New" w:cs="Courier New" w:eastAsia="Courier New" w:hAnsi="Courier New"/>
          <w:sz w:val="14"/>
          <w:szCs w:val="14"/>
          <w:color w:val="auto"/>
        </w:rPr>
        <w:t>The facilities owned or under development by the Company can generally be classified according to the level(s) of security at such facility. Minimum security facilities are facilities having open housing within an appropriately designed and patrolled institutional perimeter. Medium security facilities are facilities having either cells, rooms or dormitories, a secure perimeter, and some form of external patrol. Maximum security facilities are facilities having single occupancy cells, a secure perimeter and external patrol or detention services. Multi-security facilities are facilities with various areas encompassing either minimum, medium or maximum security. The Company's facilities can also be classified according to the type(s) of inmates or other detainees held at such facility, or with respect to its juvenile educational facilities, the level of security provided for the students attending educational programs at such facilities. The facilities can, generally be grouped in this manner into the following five facility types:</w:t>
      </w:r>
    </w:p>
    <w:p>
      <w:pPr>
        <w:spacing w:after="0" w:line="87" w:lineRule="exact"/>
        <w:rPr>
          <w:sz w:val="20"/>
          <w:szCs w:val="20"/>
          <w:color w:val="auto"/>
        </w:rPr>
      </w:pPr>
    </w:p>
    <w:p>
      <w:pPr>
        <w:jc w:val="both"/>
        <w:ind w:left="1540" w:right="3539" w:hanging="770"/>
        <w:spacing w:after="0" w:line="306" w:lineRule="auto"/>
        <w:tabs>
          <w:tab w:leader="none" w:pos="15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Correctional Facilities. Correctional facilities are used to house inmates on a permanent basis for the duration of their sentences.</w:t>
      </w:r>
    </w:p>
    <w:p>
      <w:pPr>
        <w:spacing w:after="0" w:line="45" w:lineRule="exact"/>
        <w:rPr>
          <w:rFonts w:ascii="Courier New" w:cs="Courier New" w:eastAsia="Courier New" w:hAnsi="Courier New"/>
          <w:sz w:val="14"/>
          <w:szCs w:val="14"/>
          <w:color w:val="auto"/>
        </w:rPr>
      </w:pPr>
    </w:p>
    <w:p>
      <w:pPr>
        <w:ind w:left="1540" w:right="3459" w:hanging="770"/>
        <w:spacing w:after="0" w:line="270" w:lineRule="auto"/>
        <w:tabs>
          <w:tab w:leader="none" w:pos="15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Detention Facilities. Detention facilities are multi-security level facilities used to house inmates of all levels, including pre-trial and pre-sentence prisoners for the USMS, inmates sentenced but not yet housed in correctional facilities, inmates awaiting trial, sentencing or hearing and persons detained by the INS.</w:t>
      </w:r>
    </w:p>
    <w:p>
      <w:pPr>
        <w:spacing w:after="0" w:line="71" w:lineRule="exact"/>
        <w:rPr>
          <w:rFonts w:ascii="Courier New" w:cs="Courier New" w:eastAsia="Courier New" w:hAnsi="Courier New"/>
          <w:sz w:val="14"/>
          <w:szCs w:val="14"/>
          <w:color w:val="auto"/>
        </w:rPr>
      </w:pPr>
    </w:p>
    <w:p>
      <w:pPr>
        <w:ind w:left="1540" w:right="3699" w:hanging="770"/>
        <w:spacing w:after="0" w:line="270" w:lineRule="auto"/>
        <w:tabs>
          <w:tab w:leader="none" w:pos="15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Juvenile Educational Facilities. Juvenile educational facilities leased to Community Education Partners, Inc. ("CEP") are used to provide services to at-risk juveniles attending educational programs in a secure setting. These facilities may be generally classified as juvenile/minimum security facilities.</w:t>
      </w:r>
    </w:p>
    <w:p>
      <w:pPr>
        <w:spacing w:after="0" w:line="71" w:lineRule="exact"/>
        <w:rPr>
          <w:rFonts w:ascii="Courier New" w:cs="Courier New" w:eastAsia="Courier New" w:hAnsi="Courier New"/>
          <w:sz w:val="14"/>
          <w:szCs w:val="14"/>
          <w:color w:val="auto"/>
        </w:rPr>
      </w:pPr>
    </w:p>
    <w:p>
      <w:pPr>
        <w:ind w:left="1540" w:right="3459" w:hanging="770"/>
        <w:spacing w:after="0" w:line="306" w:lineRule="auto"/>
        <w:tabs>
          <w:tab w:leader="none" w:pos="15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Processing Centers. Processing centers are used to house undocumented aliens for the INS and are classified as minimum to medium security facilities.</w:t>
      </w:r>
    </w:p>
    <w:p>
      <w:pPr>
        <w:spacing w:after="0" w:line="45" w:lineRule="exact"/>
        <w:rPr>
          <w:rFonts w:ascii="Courier New" w:cs="Courier New" w:eastAsia="Courier New" w:hAnsi="Courier New"/>
          <w:sz w:val="14"/>
          <w:szCs w:val="14"/>
          <w:color w:val="auto"/>
        </w:rPr>
      </w:pPr>
    </w:p>
    <w:p>
      <w:pPr>
        <w:ind w:left="1540" w:right="3359" w:hanging="770"/>
        <w:spacing w:after="0" w:line="270" w:lineRule="auto"/>
        <w:tabs>
          <w:tab w:leader="none" w:pos="15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Pre-Parole Transfer Facilities. Pre-parole transfer facilities are used to hold inmates who have been arrested for technical violations of their parole agreements with a State Department of Criminal Justice, Board of Pardons and Paroles. Pre-parole transfer facilities are classified as minimum security facilities.</w:t>
      </w:r>
    </w:p>
    <w:p>
      <w:pPr>
        <w:spacing w:after="0" w:line="71" w:lineRule="exact"/>
        <w:rPr>
          <w:sz w:val="20"/>
          <w:szCs w:val="20"/>
          <w:color w:val="auto"/>
        </w:rPr>
      </w:pPr>
    </w:p>
    <w:p>
      <w:pPr>
        <w:ind w:right="3459" w:firstLine="763"/>
        <w:spacing w:after="0" w:line="286" w:lineRule="auto"/>
        <w:rPr>
          <w:sz w:val="20"/>
          <w:szCs w:val="20"/>
          <w:color w:val="auto"/>
        </w:rPr>
      </w:pPr>
      <w:r>
        <w:rPr>
          <w:rFonts w:ascii="Courier New" w:cs="Courier New" w:eastAsia="Courier New" w:hAnsi="Courier New"/>
          <w:sz w:val="14"/>
          <w:szCs w:val="14"/>
          <w:color w:val="auto"/>
        </w:rPr>
        <w:t>Each of the Company's facilities has been pledged to secure borrowings under the Company's existing bank credit facility. Information regarding each facility owned by the Company as of March 15, 2000 is set forth below, grouped by state:</w:t>
      </w:r>
    </w:p>
    <w:p>
      <w:pPr>
        <w:spacing w:after="0" w:line="5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25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00" w:type="dxa"/>
        <w:tblCellMar>
          <w:top w:w="0" w:type="dxa"/>
          <w:left w:w="0" w:type="dxa"/>
          <w:bottom w:w="0" w:type="dxa"/>
          <w:right w:w="0" w:type="dxa"/>
        </w:tblCellMar>
      </w:tblPr>
      <w:tr>
        <w:trPr>
          <w:trHeight w:val="163"/>
        </w:trPr>
        <w:tc>
          <w:tcPr>
            <w:tcW w:w="1820" w:type="dxa"/>
            <w:vAlign w:val="bottom"/>
            <w:vMerge w:val="restart"/>
          </w:tcPr>
          <w:p>
            <w:pPr>
              <w:spacing w:after="0"/>
              <w:rPr>
                <w:sz w:val="20"/>
                <w:szCs w:val="20"/>
                <w:color w:val="auto"/>
              </w:rPr>
            </w:pPr>
            <w:r>
              <w:rPr>
                <w:rFonts w:ascii="Courier New" w:cs="Courier New" w:eastAsia="Courier New" w:hAnsi="Courier New"/>
                <w:sz w:val="14"/>
                <w:szCs w:val="14"/>
                <w:color w:val="auto"/>
              </w:rPr>
              <w:t>FACILITIES</w:t>
            </w:r>
          </w:p>
        </w:tc>
        <w:tc>
          <w:tcPr>
            <w:tcW w:w="2160" w:type="dxa"/>
            <w:vAlign w:val="bottom"/>
            <w:vMerge w:val="restart"/>
          </w:tcPr>
          <w:p>
            <w:pPr>
              <w:ind w:left="980"/>
              <w:spacing w:after="0"/>
              <w:rPr>
                <w:sz w:val="20"/>
                <w:szCs w:val="20"/>
                <w:color w:val="auto"/>
              </w:rPr>
            </w:pPr>
            <w:r>
              <w:rPr>
                <w:rFonts w:ascii="Courier New" w:cs="Courier New" w:eastAsia="Courier New" w:hAnsi="Courier New"/>
                <w:sz w:val="14"/>
                <w:szCs w:val="14"/>
                <w:color w:val="auto"/>
              </w:rPr>
              <w:t>LOCATION</w:t>
            </w:r>
          </w:p>
        </w:tc>
        <w:tc>
          <w:tcPr>
            <w:tcW w:w="17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DESIGN</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SECURITY</w:t>
            </w:r>
          </w:p>
        </w:tc>
        <w:tc>
          <w:tcPr>
            <w:tcW w:w="158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TENANT</w:t>
            </w:r>
          </w:p>
        </w:tc>
        <w:tc>
          <w:tcPr>
            <w:tcW w:w="880" w:type="dxa"/>
            <w:vAlign w:val="bottom"/>
          </w:tcPr>
          <w:p>
            <w:pPr>
              <w:ind w:left="460"/>
              <w:spacing w:after="0"/>
              <w:rPr>
                <w:sz w:val="20"/>
                <w:szCs w:val="20"/>
                <w:color w:val="auto"/>
              </w:rPr>
            </w:pPr>
            <w:r>
              <w:rPr>
                <w:rFonts w:ascii="Courier New" w:cs="Courier New" w:eastAsia="Courier New" w:hAnsi="Courier New"/>
                <w:sz w:val="14"/>
                <w:szCs w:val="14"/>
                <w:color w:val="auto"/>
                <w:w w:val="95"/>
              </w:rPr>
              <w:t>LEASE</w:t>
            </w:r>
          </w:p>
        </w:tc>
        <w:tc>
          <w:tcPr>
            <w:tcW w:w="0" w:type="dxa"/>
            <w:vAlign w:val="bottom"/>
          </w:tcPr>
          <w:p>
            <w:pPr>
              <w:spacing w:after="0"/>
              <w:rPr>
                <w:sz w:val="1"/>
                <w:szCs w:val="1"/>
                <w:color w:val="auto"/>
              </w:rPr>
            </w:pPr>
          </w:p>
        </w:tc>
      </w:tr>
      <w:tr>
        <w:trPr>
          <w:trHeight w:val="163"/>
        </w:trPr>
        <w:tc>
          <w:tcPr>
            <w:tcW w:w="182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CAPACITY (1)</w:t>
            </w:r>
          </w:p>
        </w:tc>
        <w:tc>
          <w:tcPr>
            <w:tcW w:w="1520" w:type="dxa"/>
            <w:vAlign w:val="bottom"/>
          </w:tcPr>
          <w:p>
            <w:pPr>
              <w:ind w:left="420"/>
              <w:spacing w:after="0"/>
              <w:rPr>
                <w:sz w:val="20"/>
                <w:szCs w:val="20"/>
                <w:color w:val="auto"/>
              </w:rPr>
            </w:pPr>
            <w:r>
              <w:rPr>
                <w:rFonts w:ascii="Courier New" w:cs="Courier New" w:eastAsia="Courier New" w:hAnsi="Courier New"/>
                <w:sz w:val="14"/>
                <w:szCs w:val="14"/>
                <w:color w:val="auto"/>
              </w:rPr>
              <w:t>LEVEL</w:t>
            </w:r>
          </w:p>
        </w:tc>
        <w:tc>
          <w:tcPr>
            <w:tcW w:w="1580" w:type="dxa"/>
            <w:vAlign w:val="bottom"/>
            <w:vMerge w:val="continue"/>
          </w:tcPr>
          <w:p>
            <w:pPr>
              <w:spacing w:after="0"/>
              <w:rPr>
                <w:sz w:val="14"/>
                <w:szCs w:val="14"/>
                <w:color w:val="auto"/>
              </w:rPr>
            </w:pPr>
          </w:p>
        </w:tc>
        <w:tc>
          <w:tcPr>
            <w:tcW w:w="880" w:type="dxa"/>
            <w:vAlign w:val="bottom"/>
          </w:tcPr>
          <w:p>
            <w:pPr>
              <w:ind w:left="460"/>
              <w:spacing w:after="0"/>
              <w:rPr>
                <w:sz w:val="20"/>
                <w:szCs w:val="20"/>
                <w:color w:val="auto"/>
              </w:rPr>
            </w:pPr>
            <w:r>
              <w:rPr>
                <w:rFonts w:ascii="Courier New" w:cs="Courier New" w:eastAsia="Courier New" w:hAnsi="Courier New"/>
                <w:sz w:val="14"/>
                <w:szCs w:val="14"/>
                <w:color w:val="auto"/>
              </w:rPr>
              <w:t>TERM</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ind w:left="98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2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Eloy Detention Center</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ELOY, ARIZONA</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1,500</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CENTRAL ARIZONA DETENTION CENTER</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FLORENCE, ARIZONA</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2,304</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MULTI</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FLORENCE CORRECTIONAL FACILITY</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FLORENCE, ARIZONA</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1,600</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CALIFORNIA CORRECTIONAL FACILITY</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CALIFORNIA CITY,</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2,304</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vMerge w:val="restart"/>
          </w:tcPr>
          <w:p>
            <w:pPr>
              <w:spacing w:after="0"/>
              <w:rPr>
                <w:sz w:val="20"/>
                <w:szCs w:val="20"/>
                <w:color w:val="auto"/>
              </w:rPr>
            </w:pPr>
            <w:r>
              <w:rPr>
                <w:rFonts w:ascii="Courier New" w:cs="Courier New" w:eastAsia="Courier New" w:hAnsi="Courier New"/>
                <w:sz w:val="14"/>
                <w:szCs w:val="14"/>
                <w:color w:val="auto"/>
              </w:rPr>
              <w:t>LEO CHESNEY CORRECTIONAL CENTER</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240</w:t>
            </w:r>
          </w:p>
        </w:tc>
        <w:tc>
          <w:tcPr>
            <w:tcW w:w="11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MINIMUM</w:t>
            </w:r>
          </w:p>
        </w:tc>
        <w:tc>
          <w:tcPr>
            <w:tcW w:w="2280" w:type="dxa"/>
            <w:vAlign w:val="bottom"/>
            <w:gridSpan w:val="2"/>
            <w:vMerge w:val="restart"/>
          </w:tcPr>
          <w:p>
            <w:pPr>
              <w:jc w:val="right"/>
              <w:ind w:right="309"/>
              <w:spacing w:after="0"/>
              <w:rPr>
                <w:sz w:val="20"/>
                <w:szCs w:val="20"/>
                <w:color w:val="auto"/>
              </w:rPr>
            </w:pPr>
            <w:r>
              <w:rPr>
                <w:rFonts w:ascii="Courier New" w:cs="Courier New" w:eastAsia="Courier New" w:hAnsi="Courier New"/>
                <w:sz w:val="14"/>
                <w:szCs w:val="14"/>
                <w:color w:val="auto"/>
              </w:rPr>
              <w:t>CORNELL CORRECTIONS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3"/>
        </w:trPr>
        <w:tc>
          <w:tcPr>
            <w:tcW w:w="3280" w:type="dxa"/>
            <w:vAlign w:val="bottom"/>
            <w:vMerge w:val="continue"/>
          </w:tcPr>
          <w:p>
            <w:pPr>
              <w:spacing w:after="0"/>
              <w:rPr>
                <w:sz w:val="14"/>
                <w:szCs w:val="14"/>
                <w:color w:val="auto"/>
              </w:rPr>
            </w:pP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LIVE OAK, CALIFORNIA</w:t>
            </w:r>
          </w:p>
        </w:tc>
        <w:tc>
          <w:tcPr>
            <w:tcW w:w="13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KIT CARSON CORRECTIONAL CENTER</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BURLINGTON, COLORADO</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768</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BENT COUNTY CORRECTIONAL FACILITY</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LAS ANIMAS, COLORADO</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700</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HUERFANO COUNTY CORRECTIONAL CENTER</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WALSENBURG, COLORADO</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752</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24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WASHINGTON, D. C.</w:t>
            </w:r>
          </w:p>
        </w:tc>
        <w:tc>
          <w:tcPr>
            <w:tcW w:w="13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866</w:t>
            </w:r>
          </w:p>
        </w:tc>
        <w:tc>
          <w:tcPr>
            <w:tcW w:w="11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DISTRICT OF</w:t>
            </w:r>
          </w:p>
        </w:tc>
        <w:tc>
          <w:tcPr>
            <w:tcW w:w="10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COLUMBIA</w:t>
            </w: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D.C. CORRECTIONAL</w:t>
            </w:r>
          </w:p>
        </w:tc>
        <w:tc>
          <w:tcPr>
            <w:tcW w:w="24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TREATMENT FACILITY (3)</w:t>
            </w:r>
          </w:p>
        </w:tc>
        <w:tc>
          <w:tcPr>
            <w:tcW w:w="24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NICHOLLS, GEORGIA</w:t>
            </w:r>
          </w:p>
        </w:tc>
        <w:tc>
          <w:tcPr>
            <w:tcW w:w="13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1,524</w:t>
            </w:r>
          </w:p>
        </w:tc>
        <w:tc>
          <w:tcPr>
            <w:tcW w:w="11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COFFEE CORRECTIONAL FACILITY (4)</w:t>
            </w:r>
          </w:p>
        </w:tc>
        <w:tc>
          <w:tcPr>
            <w:tcW w:w="24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WHEELER CORRECTIONAL FACILITY (4)</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ALAMO, GEORGIA</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1,524</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LEAVENWORTH DETENTION CENTER</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LEAVENWORTH, KANSAS</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327 (5)</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MAXIMUM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LEE ADJUSTMENT CENTER</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BEATTYVILLE, KENTUCKY</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756</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RIVER CITY CORRECTIONAL CENTER</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LOUISVILLE, KENTUCKY</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363</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MARION ADJUSTMENT CENTER</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ST. MARY, KENTUCKY</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856</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MINIMUM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OTTER CREEK CORRECTIONAL CENTER</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WHEELWRIGHT,</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656</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vMerge w:val="restart"/>
          </w:tcPr>
          <w:p>
            <w:pPr>
              <w:spacing w:after="0"/>
              <w:rPr>
                <w:sz w:val="20"/>
                <w:szCs w:val="20"/>
                <w:color w:val="auto"/>
              </w:rPr>
            </w:pPr>
            <w:r>
              <w:rPr>
                <w:rFonts w:ascii="Courier New" w:cs="Courier New" w:eastAsia="Courier New" w:hAnsi="Courier New"/>
                <w:sz w:val="14"/>
                <w:szCs w:val="14"/>
                <w:color w:val="auto"/>
              </w:rPr>
              <w:t>CROSSROADS CORRECTIONAL CENTER (6)</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KENTUCKY</w:t>
            </w:r>
          </w:p>
        </w:tc>
        <w:tc>
          <w:tcPr>
            <w:tcW w:w="13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512</w:t>
            </w:r>
          </w:p>
        </w:tc>
        <w:tc>
          <w:tcPr>
            <w:tcW w:w="11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vMerge w:val="continue"/>
          </w:tcPr>
          <w:p>
            <w:pPr>
              <w:spacing w:after="0"/>
              <w:rPr>
                <w:sz w:val="14"/>
                <w:szCs w:val="14"/>
                <w:color w:val="auto"/>
              </w:rPr>
            </w:pP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SHELBY, MONTANA</w:t>
            </w:r>
          </w:p>
        </w:tc>
        <w:tc>
          <w:tcPr>
            <w:tcW w:w="13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PRAIRIE CORRECTIONAL FACILITY</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APPLETON, MINNESOTA</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1,338</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SOUTHERN NEVADA WOMEN'S</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LAS VEGAS, NEVADA</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500</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2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STATE OF NEVADA(7)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CORRECTIONAL FACILITY</w:t>
            </w:r>
          </w:p>
        </w:tc>
        <w:tc>
          <w:tcPr>
            <w:tcW w:w="24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GRANTS, NEW MEXICO</w:t>
            </w:r>
          </w:p>
        </w:tc>
        <w:tc>
          <w:tcPr>
            <w:tcW w:w="13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322 (5)</w:t>
            </w:r>
          </w:p>
        </w:tc>
        <w:tc>
          <w:tcPr>
            <w:tcW w:w="11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NEW MEXICO WOMEN'S</w:t>
            </w:r>
          </w:p>
        </w:tc>
        <w:tc>
          <w:tcPr>
            <w:tcW w:w="24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CORRECTIONAL FACILITY (8)</w:t>
            </w:r>
          </w:p>
        </w:tc>
        <w:tc>
          <w:tcPr>
            <w:tcW w:w="24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MILAN, NEW MEXICO</w:t>
            </w:r>
          </w:p>
        </w:tc>
        <w:tc>
          <w:tcPr>
            <w:tcW w:w="13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1,012</w:t>
            </w:r>
          </w:p>
        </w:tc>
        <w:tc>
          <w:tcPr>
            <w:tcW w:w="11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CIBOLA COUNTY CORRECTIONS CENTER</w:t>
            </w:r>
          </w:p>
        </w:tc>
        <w:tc>
          <w:tcPr>
            <w:tcW w:w="24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TORRANCE COUNTY DETENTION FACILITY</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ESTANCIA, NEW MEXICO</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910</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MULTI</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CCA</w:t>
            </w:r>
          </w:p>
        </w:tc>
        <w:tc>
          <w:tcPr>
            <w:tcW w:w="10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OF</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PAMLICO CORRECTIONAL FACILITY (9)</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BAYBORO, NORTH</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528</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STATE</w:t>
            </w:r>
          </w:p>
        </w:tc>
        <w:tc>
          <w:tcPr>
            <w:tcW w:w="1020" w:type="dxa"/>
            <w:vAlign w:val="bottom"/>
            <w:vMerge w:val="continue"/>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vMerge w:val="restart"/>
          </w:tcPr>
          <w:p>
            <w:pPr>
              <w:spacing w:after="0"/>
              <w:rPr>
                <w:sz w:val="20"/>
                <w:szCs w:val="20"/>
                <w:color w:val="auto"/>
              </w:rPr>
            </w:pPr>
            <w:r>
              <w:rPr>
                <w:rFonts w:ascii="Courier New" w:cs="Courier New" w:eastAsia="Courier New" w:hAnsi="Courier New"/>
                <w:sz w:val="14"/>
                <w:szCs w:val="14"/>
                <w:color w:val="auto"/>
              </w:rPr>
              <w:t>MOUNTAIN VIEW CORRECTIONAL FACILITY(9)</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CAROLINA</w:t>
            </w:r>
          </w:p>
        </w:tc>
        <w:tc>
          <w:tcPr>
            <w:tcW w:w="13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528</w:t>
            </w:r>
          </w:p>
        </w:tc>
        <w:tc>
          <w:tcPr>
            <w:tcW w:w="11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MEDIUM</w:t>
            </w:r>
          </w:p>
        </w:tc>
        <w:tc>
          <w:tcPr>
            <w:tcW w:w="22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NORTH CAROLINA(10)</w:t>
            </w: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vMerge w:val="continue"/>
          </w:tcPr>
          <w:p>
            <w:pPr>
              <w:spacing w:after="0"/>
              <w:rPr>
                <w:sz w:val="14"/>
                <w:szCs w:val="14"/>
                <w:color w:val="auto"/>
              </w:rPr>
            </w:pP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SPRUCE PINE,</w:t>
            </w:r>
          </w:p>
        </w:tc>
        <w:tc>
          <w:tcPr>
            <w:tcW w:w="13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STATE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NORTH CAROLINA</w:t>
            </w: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NORTH CAROLINA(10)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2"/>
        </w:trPr>
        <w:tc>
          <w:tcPr>
            <w:tcW w:w="328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38</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00" w:top="257" w:right="659"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280" w:type="dxa"/>
            <w:vAlign w:val="bottom"/>
            <w:vMerge w:val="restart"/>
          </w:tcPr>
          <w:p>
            <w:pPr>
              <w:ind w:left="1200"/>
              <w:spacing w:after="0"/>
              <w:rPr>
                <w:sz w:val="20"/>
                <w:szCs w:val="20"/>
                <w:color w:val="auto"/>
              </w:rPr>
            </w:pPr>
            <w:r>
              <w:rPr>
                <w:rFonts w:ascii="Courier New" w:cs="Courier New" w:eastAsia="Courier New" w:hAnsi="Courier New"/>
                <w:sz w:val="14"/>
                <w:szCs w:val="14"/>
                <w:color w:val="auto"/>
              </w:rPr>
              <w:t>FACILITIES</w:t>
            </w:r>
          </w:p>
        </w:tc>
        <w:tc>
          <w:tcPr>
            <w:tcW w:w="2160" w:type="dxa"/>
            <w:vAlign w:val="bottom"/>
            <w:vMerge w:val="restart"/>
          </w:tcPr>
          <w:p>
            <w:pPr>
              <w:ind w:left="720"/>
              <w:spacing w:after="0"/>
              <w:rPr>
                <w:sz w:val="20"/>
                <w:szCs w:val="20"/>
                <w:color w:val="auto"/>
              </w:rPr>
            </w:pPr>
            <w:r>
              <w:rPr>
                <w:rFonts w:ascii="Courier New" w:cs="Courier New" w:eastAsia="Courier New" w:hAnsi="Courier New"/>
                <w:sz w:val="14"/>
                <w:szCs w:val="14"/>
                <w:color w:val="auto"/>
              </w:rPr>
              <w:t>LOCATION</w:t>
            </w:r>
          </w:p>
        </w:tc>
        <w:tc>
          <w:tcPr>
            <w:tcW w:w="16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DESIGN</w:t>
            </w:r>
          </w:p>
        </w:tc>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SECURITY</w:t>
            </w:r>
          </w:p>
        </w:tc>
        <w:tc>
          <w:tcPr>
            <w:tcW w:w="2260" w:type="dxa"/>
            <w:vAlign w:val="bottom"/>
            <w:vMerge w:val="restart"/>
          </w:tcPr>
          <w:p>
            <w:pPr>
              <w:ind w:left="940"/>
              <w:spacing w:after="0"/>
              <w:rPr>
                <w:sz w:val="20"/>
                <w:szCs w:val="20"/>
                <w:color w:val="auto"/>
              </w:rPr>
            </w:pPr>
            <w:r>
              <w:rPr>
                <w:rFonts w:ascii="Courier New" w:cs="Courier New" w:eastAsia="Courier New" w:hAnsi="Courier New"/>
                <w:sz w:val="14"/>
                <w:szCs w:val="14"/>
                <w:color w:val="auto"/>
              </w:rPr>
              <w:t>TENANT</w:t>
            </w:r>
          </w:p>
        </w:tc>
        <w:tc>
          <w:tcPr>
            <w:tcW w:w="540" w:type="dxa"/>
            <w:vAlign w:val="bottom"/>
          </w:tcPr>
          <w:p>
            <w:pPr>
              <w:ind w:left="120"/>
              <w:spacing w:after="0"/>
              <w:rPr>
                <w:sz w:val="20"/>
                <w:szCs w:val="20"/>
                <w:color w:val="auto"/>
              </w:rPr>
            </w:pPr>
            <w:r>
              <w:rPr>
                <w:rFonts w:ascii="Courier New" w:cs="Courier New" w:eastAsia="Courier New" w:hAnsi="Courier New"/>
                <w:sz w:val="14"/>
                <w:szCs w:val="14"/>
                <w:color w:val="auto"/>
                <w:w w:val="95"/>
              </w:rPr>
              <w:t>LEASE</w:t>
            </w:r>
          </w:p>
        </w:tc>
        <w:tc>
          <w:tcPr>
            <w:tcW w:w="0" w:type="dxa"/>
            <w:vAlign w:val="bottom"/>
          </w:tcPr>
          <w:p>
            <w:pPr>
              <w:spacing w:after="0"/>
              <w:rPr>
                <w:sz w:val="1"/>
                <w:szCs w:val="1"/>
                <w:color w:val="auto"/>
              </w:rPr>
            </w:pPr>
          </w:p>
        </w:tc>
      </w:tr>
      <w:tr>
        <w:trPr>
          <w:trHeight w:val="163"/>
        </w:trPr>
        <w:tc>
          <w:tcPr>
            <w:tcW w:w="328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16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CAPACITY (1)</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w w:val="99"/>
              </w:rPr>
              <w:t>LEVEL</w:t>
            </w:r>
          </w:p>
        </w:tc>
        <w:tc>
          <w:tcPr>
            <w:tcW w:w="2260" w:type="dxa"/>
            <w:vAlign w:val="bottom"/>
            <w:vMerge w:val="continue"/>
          </w:tcPr>
          <w:p>
            <w:pPr>
              <w:spacing w:after="0"/>
              <w:rPr>
                <w:sz w:val="14"/>
                <w:szCs w:val="14"/>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4"/>
                <w:szCs w:val="14"/>
                <w:color w:val="auto"/>
              </w:rPr>
              <w:t>TERM</w:t>
            </w:r>
          </w:p>
        </w:tc>
        <w:tc>
          <w:tcPr>
            <w:tcW w:w="0" w:type="dxa"/>
            <w:vAlign w:val="bottom"/>
          </w:tcPr>
          <w:p>
            <w:pPr>
              <w:spacing w:after="0"/>
              <w:rPr>
                <w:sz w:val="1"/>
                <w:szCs w:val="1"/>
                <w:color w:val="auto"/>
              </w:rPr>
            </w:pPr>
          </w:p>
        </w:tc>
      </w:tr>
      <w:tr>
        <w:trPr>
          <w:trHeight w:val="238"/>
        </w:trPr>
        <w:tc>
          <w:tcPr>
            <w:tcW w:w="328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ind w:left="72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2260" w:type="dxa"/>
            <w:vAlign w:val="bottom"/>
          </w:tcPr>
          <w:p>
            <w:pPr>
              <w:ind w:left="94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1"/>
        </w:trPr>
        <w:tc>
          <w:tcPr>
            <w:tcW w:w="3280" w:type="dxa"/>
            <w:vAlign w:val="bottom"/>
          </w:tcPr>
          <w:p>
            <w:pPr>
              <w:spacing w:after="0"/>
              <w:rPr>
                <w:sz w:val="20"/>
                <w:szCs w:val="20"/>
                <w:color w:val="auto"/>
              </w:rPr>
            </w:pPr>
            <w:r>
              <w:rPr>
                <w:rFonts w:ascii="Courier New" w:cs="Courier New" w:eastAsia="Courier New" w:hAnsi="Courier New"/>
                <w:sz w:val="14"/>
                <w:szCs w:val="14"/>
                <w:color w:val="auto"/>
              </w:rPr>
              <w:t>QUEENSGATE CORRECTIONAL FACILITY</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CINCINNATI, OHIO</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850</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MEDIUM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HAMILTON COUNTY, OHIO</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NORTHEAST OHIO CORRECTIONAL CENTER</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YOUNGSTOWN, OHIO</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2,016</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MEDIUM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NORTH FORK CORRECTIONAL FACILITY</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SAYRE, OKLAHOMA</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1,440</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MEDIUM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DIAMONDBACK CORRECTIONAL FACILITY</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WATONGA, OKLAHOMA</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1,440 (5)</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MEDIUM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CIMARRON CORRECTIONAL FACILITY (11)</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CUSHING, OKLAHOMA</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960</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MEDIUM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DAVIS CORRECTIONAL FACILITY(11)</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HOLDENVILLE,</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960</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MEDIUM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vMerge w:val="restart"/>
          </w:tcPr>
          <w:p>
            <w:pPr>
              <w:spacing w:after="0"/>
              <w:rPr>
                <w:sz w:val="20"/>
                <w:szCs w:val="20"/>
                <w:color w:val="auto"/>
              </w:rPr>
            </w:pPr>
            <w:r>
              <w:rPr>
                <w:rFonts w:ascii="Courier New" w:cs="Courier New" w:eastAsia="Courier New" w:hAnsi="Courier New"/>
                <w:sz w:val="14"/>
                <w:szCs w:val="14"/>
                <w:color w:val="auto"/>
              </w:rPr>
              <w:t>SHELBY TRAINING CENTER (12)</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OKLAHOMA</w:t>
            </w:r>
          </w:p>
        </w:tc>
        <w:tc>
          <w:tcPr>
            <w:tcW w:w="16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200</w:t>
            </w:r>
          </w:p>
        </w:tc>
        <w:tc>
          <w:tcPr>
            <w:tcW w:w="11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MEDIUM</w:t>
            </w:r>
          </w:p>
        </w:tc>
        <w:tc>
          <w:tcPr>
            <w:tcW w:w="2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vMerge w:val="continue"/>
          </w:tcPr>
          <w:p>
            <w:pPr>
              <w:spacing w:after="0"/>
              <w:rPr>
                <w:sz w:val="14"/>
                <w:szCs w:val="14"/>
                <w:color w:val="auto"/>
              </w:rPr>
            </w:pP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MEMPHIS, TENNESSEE</w:t>
            </w:r>
          </w:p>
        </w:tc>
        <w:tc>
          <w:tcPr>
            <w:tcW w:w="16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WEST TENNESSEE DETENTION FACILITY</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MASON, TENNESSEE</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600</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w w:val="99"/>
              </w:rPr>
              <w:t>MULTI</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WHITEVILLE CORRECTIONAL FACILITY</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WHITEVILLE, TENNESSEE</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1,536</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MEDIUM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BRIDGEPORT PPT FACILITY</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BRIDGEPORT, TEXAS</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200</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MINIMUM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EDEN DETENTION CENTER</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EDEN, TEXAS</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1,225</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MEDIUM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COMMUNITY EDUCATION PARTNERS - DALLAS</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DALLAS, TEXAS</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JUVENILE/</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CEP</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COUNTY SCHOOL FOR ACCELERATED</w:t>
            </w:r>
          </w:p>
        </w:tc>
        <w:tc>
          <w:tcPr>
            <w:tcW w:w="2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MINIMUM</w:t>
            </w:r>
          </w:p>
        </w:tc>
        <w:tc>
          <w:tcPr>
            <w:tcW w:w="2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LEARNING</w:t>
            </w:r>
          </w:p>
        </w:tc>
        <w:tc>
          <w:tcPr>
            <w:tcW w:w="21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HOUSTON, TEXAS</w:t>
            </w:r>
          </w:p>
        </w:tc>
        <w:tc>
          <w:tcPr>
            <w:tcW w:w="16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(13)</w:t>
            </w:r>
          </w:p>
        </w:tc>
        <w:tc>
          <w:tcPr>
            <w:tcW w:w="110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JUVENILE/</w:t>
            </w:r>
          </w:p>
        </w:tc>
        <w:tc>
          <w:tcPr>
            <w:tcW w:w="2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CEP</w:t>
            </w:r>
          </w:p>
        </w:tc>
        <w:tc>
          <w:tcPr>
            <w:tcW w:w="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COMMUNITY EDUCATION PARTNERS -</w:t>
            </w:r>
          </w:p>
        </w:tc>
        <w:tc>
          <w:tcPr>
            <w:tcW w:w="21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SOUTHEAST HOUSTON SCHOOL FOR</w:t>
            </w:r>
          </w:p>
        </w:tc>
        <w:tc>
          <w:tcPr>
            <w:tcW w:w="2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MINIMUM</w:t>
            </w:r>
          </w:p>
        </w:tc>
        <w:tc>
          <w:tcPr>
            <w:tcW w:w="2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ACCELERATED LEARNING</w:t>
            </w:r>
          </w:p>
        </w:tc>
        <w:tc>
          <w:tcPr>
            <w:tcW w:w="21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HOUSTON, TEXAS</w:t>
            </w:r>
          </w:p>
        </w:tc>
        <w:tc>
          <w:tcPr>
            <w:tcW w:w="16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411</w:t>
            </w:r>
          </w:p>
        </w:tc>
        <w:tc>
          <w:tcPr>
            <w:tcW w:w="11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MEDIUM</w:t>
            </w:r>
          </w:p>
        </w:tc>
        <w:tc>
          <w:tcPr>
            <w:tcW w:w="2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Courier New" w:cs="Courier New" w:eastAsia="Courier New" w:hAnsi="Courier New"/>
                <w:sz w:val="14"/>
                <w:szCs w:val="14"/>
                <w:color w:val="auto"/>
              </w:rPr>
              <w:t>HOUSTON PROCESSING CENTER</w:t>
            </w:r>
          </w:p>
        </w:tc>
        <w:tc>
          <w:tcPr>
            <w:tcW w:w="216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226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280" w:type="dxa"/>
            <w:vAlign w:val="bottom"/>
          </w:tcPr>
          <w:p>
            <w:pPr>
              <w:spacing w:after="0"/>
              <w:rPr>
                <w:sz w:val="20"/>
                <w:szCs w:val="20"/>
                <w:color w:val="auto"/>
              </w:rPr>
            </w:pPr>
            <w:r>
              <w:rPr>
                <w:rFonts w:ascii="Courier New" w:cs="Courier New" w:eastAsia="Courier New" w:hAnsi="Courier New"/>
                <w:sz w:val="14"/>
                <w:szCs w:val="14"/>
                <w:color w:val="auto"/>
              </w:rPr>
              <w:t>LAREDO PROCESSING CENTER</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LAREDO, TEXAS</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258</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MEDIUM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WEBB COUNTY DETENTION FACILITY</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LAREDO, TEXAS</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480</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MAXIMUM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MINERAL WELLS PPT FACILITY</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MINERAL WELLS, TEXAS</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2,103</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MINIMUM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T. DON HUTTO CORRECTIONAL CENTER</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TAYLOR, TEXAS</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480</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MEDIUM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CCA</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2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280" w:type="dxa"/>
            <w:vAlign w:val="bottom"/>
          </w:tcPr>
          <w:p>
            <w:pPr>
              <w:spacing w:after="0"/>
              <w:rPr>
                <w:sz w:val="20"/>
                <w:szCs w:val="20"/>
                <w:color w:val="auto"/>
              </w:rPr>
            </w:pPr>
            <w:r>
              <w:rPr>
                <w:rFonts w:ascii="Courier New" w:cs="Courier New" w:eastAsia="Courier New" w:hAnsi="Courier New"/>
                <w:sz w:val="14"/>
                <w:szCs w:val="14"/>
                <w:color w:val="auto"/>
              </w:rPr>
              <w:t>HMP Forrest Bank</w:t>
            </w:r>
          </w:p>
        </w:tc>
        <w:tc>
          <w:tcPr>
            <w:tcW w:w="2160" w:type="dxa"/>
            <w:vAlign w:val="bottom"/>
          </w:tcPr>
          <w:p>
            <w:pPr>
              <w:ind w:left="120"/>
              <w:spacing w:after="0"/>
              <w:rPr>
                <w:sz w:val="20"/>
                <w:szCs w:val="20"/>
                <w:color w:val="auto"/>
              </w:rPr>
            </w:pPr>
            <w:r>
              <w:rPr>
                <w:rFonts w:ascii="Courier New" w:cs="Courier New" w:eastAsia="Courier New" w:hAnsi="Courier New"/>
                <w:sz w:val="14"/>
                <w:szCs w:val="14"/>
                <w:color w:val="auto"/>
              </w:rPr>
              <w:t>SALFORD, ENGLAND</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800</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MEDIUM</w:t>
            </w: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rPr>
              <w:t>U.K. DETENTION SERVICES</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w w:val="98"/>
              </w:rPr>
              <w:t>LIMITED</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0" w:lineRule="exact"/>
        <w:rPr>
          <w:sz w:val="20"/>
          <w:szCs w:val="20"/>
          <w:color w:val="auto"/>
        </w:rPr>
      </w:pPr>
    </w:p>
    <w:p>
      <w:pPr>
        <w:ind w:right="4140" w:firstLine="7"/>
        <w:spacing w:after="0" w:line="246" w:lineRule="auto"/>
        <w:tabs>
          <w:tab w:leader="none" w:pos="33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 CAPACITY MEASURES THE NUMBER OF BEDS, AND ACCORDINGLY, THE NUMBER OF INMATES EACH FACILITY IS DESIGNED TO ACCOMMODATE. MANAGEMENT BELIEVES DESIGN CAPACITY IS AN APPROPRIATE MEASURE FOR EVALUATING PRISON OPERATIONS, BECAUSE THE REVENUES GENERATED BY EACH FACILITY ARE BASED ON A PER DIEM OR MONTHLY RATE PER INMATE HOUSED AT THE FACILITY PAID BY THE CORRESPONDING CONTRACTING GOVERNMENT ENTITY. THE ABILITY OF CCA OR ANOTHER PRIVATE OPERATOR TO SATISFY ITS FINANCIAL OBLIGATIONS UNDER ITS LEASES WITH THE COMPANY IS BASED IN PART ON THE REVENUES GENERATED BY THE FACILITIES, WHICH IN TURN DEPENDS ON THE DESIGN CAPACITY OF EACH FACILITY.</w:t>
      </w:r>
    </w:p>
    <w:p>
      <w:pPr>
        <w:spacing w:after="0" w:line="4" w:lineRule="exact"/>
        <w:rPr>
          <w:rFonts w:ascii="Courier New" w:cs="Courier New" w:eastAsia="Courier New" w:hAnsi="Courier New"/>
          <w:sz w:val="14"/>
          <w:szCs w:val="14"/>
          <w:color w:val="auto"/>
        </w:rPr>
      </w:pPr>
    </w:p>
    <w:p>
      <w:pPr>
        <w:ind w:right="4320" w:firstLine="7"/>
        <w:spacing w:after="0" w:line="246" w:lineRule="auto"/>
        <w:tabs>
          <w:tab w:leader="none" w:pos="33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IS SUBJECT TO A PURCHASE OPTION HELD BY HUERFANO COUNTY WHICH GRANTS HUERFANO COUNTY THE RIGHT TO PURCHASE THE FACILITY UPON AN EARLY TERMINATION OF THE LEASE AT A PRICE DETERMINED BY A FORMULA SET FORTH IN</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LEASE AGREEMENT.</w:t>
      </w:r>
    </w:p>
    <w:p>
      <w:pPr>
        <w:spacing w:after="0" w:line="4" w:lineRule="exact"/>
        <w:rPr>
          <w:rFonts w:ascii="Courier New" w:cs="Courier New" w:eastAsia="Courier New" w:hAnsi="Courier New"/>
          <w:sz w:val="14"/>
          <w:szCs w:val="14"/>
          <w:color w:val="auto"/>
        </w:rPr>
      </w:pPr>
    </w:p>
    <w:p>
      <w:pPr>
        <w:ind w:left="100" w:right="4240" w:hanging="93"/>
        <w:spacing w:after="0" w:line="327" w:lineRule="auto"/>
        <w:tabs>
          <w:tab w:leader="none" w:pos="35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THE FACILITY AUTOMATICALLY REVERTS TO THE DISTRICT OF COLUMBIA UPON EXPIRATION OF THE LEASE TERM.</w:t>
      </w:r>
    </w:p>
    <w:p>
      <w:pPr>
        <w:spacing w:after="0" w:line="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940"/>
          </w:cols>
          <w:pgMar w:left="300" w:top="257" w:right="659"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44</w:t>
      </w:r>
    </w:p>
    <w:p>
      <w:pPr>
        <w:spacing w:after="0" w:line="200" w:lineRule="exact"/>
        <w:rPr>
          <w:sz w:val="20"/>
          <w:szCs w:val="20"/>
          <w:color w:val="auto"/>
        </w:rPr>
      </w:pPr>
    </w:p>
    <w:p>
      <w:pPr>
        <w:spacing w:after="0" w:line="294" w:lineRule="exact"/>
        <w:rPr>
          <w:sz w:val="20"/>
          <w:szCs w:val="20"/>
          <w:color w:val="auto"/>
        </w:rPr>
      </w:pPr>
    </w:p>
    <w:p>
      <w:pPr>
        <w:ind w:right="3359" w:firstLine="7"/>
        <w:spacing w:after="0" w:line="254" w:lineRule="auto"/>
        <w:tabs>
          <w:tab w:leader="none" w:pos="33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IS SUBJECT TO A PURCHASE OPTION HELD BY THE GEORGIA DEPARTMENT OF CORRECTIONS (THE "GDOC") WHICH GRANTS THE GDOC THE RIGHT TO PURCHASE THE FACILITY FOR THE LESSER OF THE FACILITY'S DEPRECIATED BOOK VALUE OR FAIR MARKET VALUE AT ANY TIME DURING THE TERM OF THE MANAGEMENT CONTRACT BETWEEN CCA AND THE GDOC.</w:t>
      </w:r>
    </w:p>
    <w:p>
      <w:pPr>
        <w:spacing w:after="0" w:line="2"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IS CURRENTLY BEING EXPANDED BY THE COMPANY.</w:t>
      </w:r>
    </w:p>
    <w:p>
      <w:pPr>
        <w:spacing w:after="0" w:line="4" w:lineRule="exact"/>
        <w:rPr>
          <w:rFonts w:ascii="Courier New" w:cs="Courier New" w:eastAsia="Courier New" w:hAnsi="Courier New"/>
          <w:sz w:val="14"/>
          <w:szCs w:val="14"/>
          <w:color w:val="auto"/>
        </w:rPr>
      </w:pPr>
    </w:p>
    <w:p>
      <w:pPr>
        <w:ind w:right="3359" w:firstLine="7"/>
        <w:spacing w:after="0" w:line="246" w:lineRule="auto"/>
        <w:tabs>
          <w:tab w:leader="none" w:pos="33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 OF MONTANA HAS AN OPTION TO PURCHASE THE FACILITY AT FAIR MARKET VALUE GENERALLY AT ANY TIME DURING THE TERM OF THE MANAGEMENT CONTRACT WITH CCA.</w:t>
      </w:r>
    </w:p>
    <w:p>
      <w:pPr>
        <w:spacing w:after="0" w:line="1" w:lineRule="exact"/>
        <w:rPr>
          <w:rFonts w:ascii="Courier New" w:cs="Courier New" w:eastAsia="Courier New" w:hAnsi="Courier New"/>
          <w:sz w:val="14"/>
          <w:szCs w:val="14"/>
          <w:color w:val="auto"/>
        </w:rPr>
      </w:pPr>
    </w:p>
    <w:p>
      <w:pPr>
        <w:ind w:right="3959" w:firstLine="7"/>
        <w:spacing w:after="0" w:line="246" w:lineRule="auto"/>
        <w:tabs>
          <w:tab w:leader="none" w:pos="33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 OF NEVADA HAS CONTRACTED WITH CCA TO MANAGE AND OPERATE THE FACILITY.</w:t>
      </w:r>
    </w:p>
    <w:p>
      <w:pPr>
        <w:spacing w:after="0" w:line="1"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1995 FACILITY EXPANSION IS SUBJECT TO A PURCHASE OPTION HELD BY THE</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NEW MEXICO CORRECTIONAL DEPARTMENT (THE "NMCD") WHICH GRANTS THE NMCD THE RIGHT TO PURCHASE THE 1995 FACILITY EXPANSION AT ITS FAIR MARKET VALUE AT ANY TIME DURING THE TERM OF THE MANAGEMENT CONTRACT WITH CCA.</w:t>
      </w:r>
    </w:p>
    <w:p>
      <w:pPr>
        <w:spacing w:after="0" w:line="2" w:lineRule="exact"/>
        <w:rPr>
          <w:sz w:val="20"/>
          <w:szCs w:val="20"/>
          <w:color w:val="auto"/>
        </w:rPr>
      </w:pPr>
    </w:p>
    <w:p>
      <w:pPr>
        <w:ind w:right="3619" w:firstLine="7"/>
        <w:spacing w:after="0" w:line="246" w:lineRule="auto"/>
        <w:tabs>
          <w:tab w:leader="none" w:pos="33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 OF NORTH CAROLINA HAS AN OPTION TO PURCHASE THE FACILITY AT THE END OF THE SIXTH YEAR OF THE LEASE AND AT THE END OF EACH YEAR OF THE LEASE THEREAFTER AT A PURCHASE PRICE EQUAL TO DEPRECIATED BOOK VALUE.</w:t>
      </w:r>
    </w:p>
    <w:p>
      <w:pPr>
        <w:spacing w:after="0" w:line="1" w:lineRule="exact"/>
        <w:rPr>
          <w:rFonts w:ascii="Courier New" w:cs="Courier New" w:eastAsia="Courier New" w:hAnsi="Courier New"/>
          <w:sz w:val="14"/>
          <w:szCs w:val="14"/>
          <w:color w:val="auto"/>
        </w:rPr>
      </w:pPr>
    </w:p>
    <w:p>
      <w:pPr>
        <w:ind w:right="3359" w:firstLine="7"/>
        <w:spacing w:after="0" w:line="246" w:lineRule="auto"/>
        <w:tabs>
          <w:tab w:leader="none" w:pos="42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 OF NORTH CAROLINA HAS CONTRACTED WITH CCA TO MANAGE AND OPERATE THE FACILITY. (11) THE FACILITY IS SUBJECT TO A PURCHASE OPTION HELD BY THE OKLAHOMA DEPARTMENT OF CORRECTIONS (THE "ODC") WHICH GRANTS THE ODC THE RIGHT TO PURCHASE THE FACILITY AT ITS FAIR MARKET VALUE AT ANY TIME.</w:t>
      </w:r>
    </w:p>
    <w:p>
      <w:pPr>
        <w:spacing w:after="0" w:line="2" w:lineRule="exact"/>
        <w:rPr>
          <w:rFonts w:ascii="Courier New" w:cs="Courier New" w:eastAsia="Courier New" w:hAnsi="Courier New"/>
          <w:sz w:val="14"/>
          <w:szCs w:val="14"/>
          <w:color w:val="auto"/>
        </w:rPr>
      </w:pPr>
    </w:p>
    <w:p>
      <w:pPr>
        <w:ind w:right="3359" w:firstLine="7"/>
        <w:spacing w:after="0" w:line="246" w:lineRule="auto"/>
        <w:tabs>
          <w:tab w:leader="none" w:pos="424"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CONCLUSION OF THE THIRTY YEAR LEASE BETWEEN THE COMPANY AND SHELBY COUNTY, TENNESSEE, THE FACILITY WILL BECOME THE PROPERTY OF SHELBY COUNTY. PRIOR TO SUCH TIME, (A) IF THE COUNTY TERMINATES THE LEASE WITHOUT CAUSE, THE COMPANY MAY PURCHASE THE PROPERTY FOR $150,000; (B) IF THE STATE FAILS TO FUND THE CONTRACT, THEN THE COMPANY MAY PURCHASE THE PROPERTY FOR $150,000; (C) IF THE COMPANY TERMINATES THE LEASE WITHOUT CAUSE, THEN THE COMPANY SHALL PURCHASE THE PROPERTY FOR ITS FAIR MARKET VALUE AS AGREED TO BY THE COUNTY AND THE COMPANY;</w:t>
      </w:r>
    </w:p>
    <w:p>
      <w:pPr>
        <w:spacing w:after="0" w:line="3"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 IF THE COMPANY BREACHES THE LEASE CONTRACT, THEN THE COMPANY MAY PURCHASE THE PROPERTY FOR ITS FAIR MARKET VALUE AS AGREED TO BY THE COUNTY AND THE COMPANY; AND (E) IF THE COUNTY BREACHES THE LEASE CONTRACT, THEN THE COMPANY MAY PURCHASE THE PROPERTY FOR $150,000.</w:t>
      </w:r>
    </w:p>
    <w:p>
      <w:pPr>
        <w:spacing w:after="0" w:line="2" w:lineRule="exact"/>
        <w:rPr>
          <w:rFonts w:ascii="Courier New" w:cs="Courier New" w:eastAsia="Courier New" w:hAnsi="Courier New"/>
          <w:sz w:val="14"/>
          <w:szCs w:val="14"/>
          <w:color w:val="auto"/>
        </w:rPr>
      </w:pPr>
    </w:p>
    <w:p>
      <w:pPr>
        <w:ind w:right="3459" w:firstLine="7"/>
        <w:spacing w:after="0" w:line="260" w:lineRule="auto"/>
        <w:tabs>
          <w:tab w:leader="none" w:pos="424"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ALTERNATIVE EDUCATIONAL FACILITY IS CURRENTLY CONFIGURED TO ACCOMMODATE 900 AT-RISK JUVENILES AND MAY BE EXPANDED TO ACCOMMODATE A TOTAL OF 1,400 AT-RISK JUVENILES. THE COMPANY BELIEVES THAT DESIGN CAPACITY DOES NOT GENERALLY APPLY TO EDUCATIONAL FACILITIES, AND, THEREFORE, THE AGGREGATE DESIGN CAPACITY OF THE COMPANY'S FACILITIES REFERRED TO IN THIS ANNUAL REPORT DOES NOT INCLUDE THE TOTAL NUMBER OF AT-RISK JUVENILES WHICH CAN BE ACCOMMODATED AT THIS FACILITY.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UNDER CONSTRUCTION OR DEVELOPMENT</w:t>
      </w:r>
    </w:p>
    <w:p>
      <w:pPr>
        <w:spacing w:after="0" w:line="168" w:lineRule="exact"/>
        <w:rPr>
          <w:sz w:val="20"/>
          <w:szCs w:val="20"/>
          <w:color w:val="auto"/>
        </w:rPr>
      </w:pPr>
    </w:p>
    <w:p>
      <w:pPr>
        <w:ind w:right="3359" w:firstLine="763"/>
        <w:spacing w:after="0" w:line="263" w:lineRule="auto"/>
        <w:rPr>
          <w:sz w:val="20"/>
          <w:szCs w:val="20"/>
          <w:color w:val="auto"/>
        </w:rPr>
      </w:pPr>
      <w:r>
        <w:rPr>
          <w:rFonts w:ascii="Courier New" w:cs="Courier New" w:eastAsia="Courier New" w:hAnsi="Courier New"/>
          <w:sz w:val="14"/>
          <w:szCs w:val="14"/>
          <w:color w:val="auto"/>
        </w:rPr>
        <w:t>In addition to owning the facilities listed in the preceding tables, the Company is currently in the process of developing or constructing seven facilities, which are scheduled to open on various dates commencing in May 2000. Set forth below is a brief description of each of the facilities currently under development or construction by the Company, grouped by state. Unless indicated otherwise, upon completion of each of the facilities, pending and subject to the completion of the Restructuring, each of the facilities will be leased to, and managed by, CCA.</w:t>
      </w:r>
    </w:p>
    <w:p>
      <w:pPr>
        <w:spacing w:after="0" w:line="77" w:lineRule="exact"/>
        <w:rPr>
          <w:sz w:val="20"/>
          <w:szCs w:val="20"/>
          <w:color w:val="auto"/>
        </w:rPr>
      </w:pPr>
    </w:p>
    <w:p>
      <w:pPr>
        <w:ind w:right="3359"/>
        <w:spacing w:after="0" w:line="286" w:lineRule="auto"/>
        <w:rPr>
          <w:sz w:val="20"/>
          <w:szCs w:val="20"/>
          <w:color w:val="auto"/>
        </w:rPr>
      </w:pPr>
      <w:r>
        <w:rPr>
          <w:rFonts w:ascii="Courier New" w:cs="Courier New" w:eastAsia="Courier New" w:hAnsi="Courier New"/>
          <w:sz w:val="14"/>
          <w:szCs w:val="14"/>
          <w:color w:val="auto"/>
        </w:rPr>
        <w:t>Mendota Correctional Facility. The Mendota Correctional Facility will be located on 265 acres in Mendota, California. The 261,000 square foot, medium security facility will have a design capacity of 1,024 beds and is scheduled to open after 2001.</w:t>
      </w:r>
    </w:p>
    <w:p>
      <w:pPr>
        <w:spacing w:after="0" w:line="59" w:lineRule="exact"/>
        <w:rPr>
          <w:sz w:val="20"/>
          <w:szCs w:val="20"/>
          <w:color w:val="auto"/>
        </w:rPr>
      </w:pPr>
    </w:p>
    <w:p>
      <w:pPr>
        <w:ind w:right="3459"/>
        <w:spacing w:after="0" w:line="270" w:lineRule="auto"/>
        <w:rPr>
          <w:sz w:val="20"/>
          <w:szCs w:val="20"/>
          <w:color w:val="auto"/>
        </w:rPr>
      </w:pPr>
      <w:r>
        <w:rPr>
          <w:rFonts w:ascii="Courier New" w:cs="Courier New" w:eastAsia="Courier New" w:hAnsi="Courier New"/>
          <w:sz w:val="14"/>
          <w:szCs w:val="14"/>
          <w:color w:val="auto"/>
        </w:rPr>
        <w:t>San Diego Correctional Facility. The San Diego Correctional Facility will be located on 13 acres in San Diego, California. The 201,000 square foot, medium security facility will have a design capacity of 1,000 beds and is scheduled to open in May 2000. This facility will revert to San Diego County, California approximately 16 years and six months after the date the facility begins operations.</w:t>
      </w:r>
    </w:p>
    <w:p>
      <w:pPr>
        <w:spacing w:after="0" w:line="71" w:lineRule="exact"/>
        <w:rPr>
          <w:sz w:val="20"/>
          <w:szCs w:val="20"/>
          <w:color w:val="auto"/>
        </w:rPr>
      </w:pPr>
    </w:p>
    <w:p>
      <w:pPr>
        <w:ind w:right="3359"/>
        <w:spacing w:after="0" w:line="286" w:lineRule="auto"/>
        <w:rPr>
          <w:sz w:val="20"/>
          <w:szCs w:val="20"/>
          <w:color w:val="auto"/>
        </w:rPr>
      </w:pPr>
      <w:r>
        <w:rPr>
          <w:rFonts w:ascii="Courier New" w:cs="Courier New" w:eastAsia="Courier New" w:hAnsi="Courier New"/>
          <w:sz w:val="14"/>
          <w:szCs w:val="14"/>
          <w:color w:val="auto"/>
        </w:rPr>
        <w:t>McRae Correctional Facility. The McRae Correctional Facility will be located on 70 acres in McRae, Georgia. The 297,550 square foot medium security facility will have a design capacity of 1,524 beds and is scheduled to open in the second half of 2000.</w:t>
      </w:r>
    </w:p>
    <w:p>
      <w:pPr>
        <w:spacing w:after="0" w:line="59" w:lineRule="exact"/>
        <w:rPr>
          <w:sz w:val="20"/>
          <w:szCs w:val="20"/>
          <w:color w:val="auto"/>
        </w:rPr>
      </w:pPr>
    </w:p>
    <w:p>
      <w:pPr>
        <w:ind w:right="3539"/>
        <w:spacing w:after="0" w:line="286" w:lineRule="auto"/>
        <w:rPr>
          <w:sz w:val="20"/>
          <w:szCs w:val="20"/>
          <w:color w:val="auto"/>
        </w:rPr>
      </w:pPr>
      <w:r>
        <w:rPr>
          <w:rFonts w:ascii="Courier New" w:cs="Courier New" w:eastAsia="Courier New" w:hAnsi="Courier New"/>
          <w:sz w:val="14"/>
          <w:szCs w:val="14"/>
          <w:color w:val="auto"/>
        </w:rPr>
        <w:t>Millen Correctional Facility. The Millen Correctional Facility will be located on 102 acres in Millen, Georgia. The 307,600 square foot medium security facility will have a design capacity of 1,524 beds and is scheduled to open after 2001.</w:t>
      </w:r>
    </w:p>
    <w:p>
      <w:pPr>
        <w:spacing w:after="0" w:line="59" w:lineRule="exact"/>
        <w:rPr>
          <w:sz w:val="20"/>
          <w:szCs w:val="20"/>
          <w:color w:val="auto"/>
        </w:rPr>
      </w:pPr>
    </w:p>
    <w:p>
      <w:pPr>
        <w:ind w:right="3539"/>
        <w:spacing w:after="0" w:line="286" w:lineRule="auto"/>
        <w:rPr>
          <w:sz w:val="20"/>
          <w:szCs w:val="20"/>
          <w:color w:val="auto"/>
        </w:rPr>
      </w:pPr>
      <w:r>
        <w:rPr>
          <w:rFonts w:ascii="Courier New" w:cs="Courier New" w:eastAsia="Courier New" w:hAnsi="Courier New"/>
          <w:sz w:val="14"/>
          <w:szCs w:val="14"/>
          <w:color w:val="auto"/>
        </w:rPr>
        <w:t>Stewart County Detention Center. The Stewart County Detention Center will be located in Stewart County, Georgia. The 297,550 square foot medium security facility will have a design capacity of 1,524 beds and is scheduled to open in 2001.</w:t>
      </w:r>
    </w:p>
    <w:p>
      <w:pPr>
        <w:spacing w:after="0" w:line="22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159"/>
          </w:cols>
          <w:pgMar w:left="300" w:top="257"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45</w:t>
      </w:r>
    </w:p>
    <w:p>
      <w:pPr>
        <w:spacing w:after="0" w:line="200" w:lineRule="exact"/>
        <w:rPr>
          <w:sz w:val="20"/>
          <w:szCs w:val="20"/>
          <w:color w:val="auto"/>
        </w:rPr>
      </w:pPr>
    </w:p>
    <w:p>
      <w:pPr>
        <w:spacing w:after="0" w:line="294" w:lineRule="exact"/>
        <w:rPr>
          <w:sz w:val="20"/>
          <w:szCs w:val="20"/>
          <w:color w:val="auto"/>
        </w:rPr>
      </w:pPr>
    </w:p>
    <w:p>
      <w:pPr>
        <w:ind w:right="3539"/>
        <w:spacing w:after="0" w:line="286" w:lineRule="auto"/>
        <w:rPr>
          <w:sz w:val="20"/>
          <w:szCs w:val="20"/>
          <w:color w:val="auto"/>
        </w:rPr>
      </w:pPr>
      <w:r>
        <w:rPr>
          <w:rFonts w:ascii="Courier New" w:cs="Courier New" w:eastAsia="Courier New" w:hAnsi="Courier New"/>
          <w:sz w:val="14"/>
          <w:szCs w:val="14"/>
          <w:color w:val="auto"/>
        </w:rPr>
        <w:t>Northeast Indiana Youth Village. The Northeast Indiana Youth Village will be located in Warsaw, Indiana. The juvenile/minimum security facility will have a design capacity of 144 beds upon completion. No timetable for completion has been determined.</w:t>
      </w:r>
    </w:p>
    <w:p>
      <w:pPr>
        <w:spacing w:after="0" w:line="59" w:lineRule="exact"/>
        <w:rPr>
          <w:sz w:val="20"/>
          <w:szCs w:val="20"/>
          <w:color w:val="auto"/>
        </w:rPr>
      </w:pPr>
    </w:p>
    <w:p>
      <w:pPr>
        <w:ind w:right="3539"/>
        <w:spacing w:after="0" w:line="286" w:lineRule="auto"/>
        <w:rPr>
          <w:sz w:val="20"/>
          <w:szCs w:val="20"/>
          <w:color w:val="auto"/>
        </w:rPr>
      </w:pPr>
      <w:r>
        <w:rPr>
          <w:rFonts w:ascii="Courier New" w:cs="Courier New" w:eastAsia="Courier New" w:hAnsi="Courier New"/>
          <w:sz w:val="14"/>
          <w:szCs w:val="14"/>
          <w:color w:val="auto"/>
        </w:rPr>
        <w:t>Tallahatchie County Correctional Center. The Tallahatchie County Correctional Center is currently under construction and will be located in Tutwiler, Mississippi. Construction on the 1,104 bed facility began in February 1999 and the facility is scheduled to open in May 2000.</w:t>
      </w:r>
    </w:p>
    <w:p>
      <w:pPr>
        <w:spacing w:after="0" w:line="59"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8" w:lineRule="exact"/>
        <w:rPr>
          <w:sz w:val="20"/>
          <w:szCs w:val="20"/>
          <w:color w:val="auto"/>
        </w:rPr>
      </w:pPr>
    </w:p>
    <w:p>
      <w:pPr>
        <w:ind w:right="3359" w:firstLine="763"/>
        <w:spacing w:after="0" w:line="256" w:lineRule="auto"/>
        <w:rPr>
          <w:sz w:val="20"/>
          <w:szCs w:val="20"/>
          <w:color w:val="auto"/>
        </w:rPr>
      </w:pPr>
      <w:r>
        <w:rPr>
          <w:rFonts w:ascii="Courier New" w:cs="Courier New" w:eastAsia="Courier New" w:hAnsi="Courier New"/>
          <w:sz w:val="14"/>
          <w:szCs w:val="14"/>
          <w:color w:val="auto"/>
        </w:rPr>
        <w:t>As a result of the 1999 Merger, the Company became subject to a variety of legal proceedings outstanding as of December 31, 1998 against Old CCA arising in the ordinary course of Old CCA's business, including certain claims brought by and on behalf of inmates and employees of facilities managed and operated by Old CCA prior to the 1999 Merger. The Company does not believe that such litigation, if resolved against the Company, would have a material adverse effect upon its business or financial position. Also, as a result of the 1999 Merger, the Company became subject to certain legal proceedings outstanding as of January 1, 1999 against the Company arising in the ordinary course of the Company's business, including certain claims arising in connection with the construction and development of its facilities. The Company does not believe that such litigation, if resolved against the Company, would have a material adverse effect upon its business or financial position.</w:t>
      </w:r>
    </w:p>
    <w:p>
      <w:pPr>
        <w:spacing w:after="0" w:line="84" w:lineRule="exact"/>
        <w:rPr>
          <w:sz w:val="20"/>
          <w:szCs w:val="20"/>
          <w:color w:val="auto"/>
        </w:rPr>
      </w:pPr>
    </w:p>
    <w:p>
      <w:pPr>
        <w:ind w:right="3359" w:firstLine="763"/>
        <w:spacing w:after="0" w:line="270" w:lineRule="auto"/>
        <w:rPr>
          <w:sz w:val="20"/>
          <w:szCs w:val="20"/>
          <w:color w:val="auto"/>
        </w:rPr>
      </w:pPr>
      <w:r>
        <w:rPr>
          <w:rFonts w:ascii="Courier New" w:cs="Courier New" w:eastAsia="Courier New" w:hAnsi="Courier New"/>
          <w:sz w:val="14"/>
          <w:szCs w:val="14"/>
          <w:color w:val="auto"/>
        </w:rPr>
        <w:t>At December 31, 1998, Old CCA was a party to two inmate lawsuits at the Northeast Ohio Correctional Center for wrongful deaths. These lawsuits were assumed by the Company in the 1999 Merger. While the outcome of these lawsuits is not determinable, the Company does not believe that such litigation, if resolved against the Company, would have a material adverse effect upon its business or financial position.</w:t>
      </w:r>
    </w:p>
    <w:p>
      <w:pPr>
        <w:spacing w:after="0" w:line="71" w:lineRule="exact"/>
        <w:rPr>
          <w:sz w:val="20"/>
          <w:szCs w:val="20"/>
          <w:color w:val="auto"/>
        </w:rPr>
      </w:pPr>
    </w:p>
    <w:p>
      <w:pPr>
        <w:ind w:right="3359" w:firstLine="763"/>
        <w:spacing w:after="0" w:line="255" w:lineRule="auto"/>
        <w:rPr>
          <w:sz w:val="20"/>
          <w:szCs w:val="20"/>
          <w:color w:val="auto"/>
        </w:rPr>
      </w:pPr>
      <w:r>
        <w:rPr>
          <w:rFonts w:ascii="Courier New" w:cs="Courier New" w:eastAsia="Courier New" w:hAnsi="Courier New"/>
          <w:sz w:val="14"/>
          <w:szCs w:val="14"/>
          <w:color w:val="auto"/>
        </w:rPr>
        <w:t>The Company was the subject of a purported class action complaint filed in the Circuit Court for Davidson County, Tennessee, on January 28, 2000. The lawsuit, captioned White v. Prison Realty Trust, Inc., et al., alleged that the defendants engaged in unfair and deceptive practice of permitting telephone service providers exclusive service rights in return for illegal payments and kickbacks, which exclusive agreements allow and require the providers to charge unconscionable fees for phone services. This complaint was subsequently dismissed by the Circuit Court on February 23, 2000. A similar complaint, captioned Hunt v. Prison Realty Trust, Inc., was filed on February 23, 2000 in the Circuit Court for Davidson County, Tennessee, naming as defendants the Company, CCA, JJFMSI, PMSI and Does 1 - 100. Plaintiffs are asking for unspecified treble damages pursuant to the Tennessee Consumer Protection Act plus restitution of the amounts collected by the defendants under such arrangements, as well as a permanent injunction restraining the defendants from engaging in such conduct, in addition to unspecified damages.</w:t>
      </w:r>
    </w:p>
    <w:p>
      <w:pPr>
        <w:spacing w:after="0" w:line="82" w:lineRule="exact"/>
        <w:rPr>
          <w:sz w:val="20"/>
          <w:szCs w:val="20"/>
          <w:color w:val="auto"/>
        </w:rPr>
      </w:pPr>
    </w:p>
    <w:p>
      <w:pPr>
        <w:ind w:right="3359" w:firstLine="763"/>
        <w:spacing w:after="0" w:line="256" w:lineRule="auto"/>
        <w:rPr>
          <w:sz w:val="20"/>
          <w:szCs w:val="20"/>
          <w:color w:val="auto"/>
        </w:rPr>
      </w:pPr>
      <w:r>
        <w:rPr>
          <w:rFonts w:ascii="Courier New" w:cs="Courier New" w:eastAsia="Courier New" w:hAnsi="Courier New"/>
          <w:sz w:val="14"/>
          <w:szCs w:val="14"/>
          <w:color w:val="auto"/>
        </w:rPr>
        <w:t>In addition to the foregoing, the Company is also subject to certain shareholder litigation as described in this Annual Report under the heading "-Recent Developments - Recent Litigation." The Company is currently investigating the allegation contained in each of these complaints and/or is defending against these actions vigorously, as the case may be. However, no assurance can be given that the determination of one or more of these claims in a manner adverse to the Company will not have a material adverse effect upon the Company. As a result of potential liability from these claims and other financial circumstances, the Company's independent auditors have included an explanatory paragraph in its audit of the Company's financial statements for the year ended December 31, 1999 expressing substantial doubt as to the Company's ability to continue as a going concern. See "- Recent Developments - 1999 Financial Statements and Going Concern Matters."</w:t>
      </w:r>
    </w:p>
    <w:p>
      <w:pPr>
        <w:spacing w:after="0" w:line="84" w:lineRule="exact"/>
        <w:rPr>
          <w:sz w:val="20"/>
          <w:szCs w:val="20"/>
          <w:color w:val="auto"/>
        </w:rPr>
      </w:pPr>
    </w:p>
    <w:p>
      <w:pPr>
        <w:ind w:right="3359" w:firstLine="763"/>
        <w:spacing w:after="0" w:line="266" w:lineRule="auto"/>
        <w:rPr>
          <w:sz w:val="20"/>
          <w:szCs w:val="20"/>
          <w:color w:val="auto"/>
        </w:rPr>
      </w:pPr>
      <w:r>
        <w:rPr>
          <w:rFonts w:ascii="Courier New" w:cs="Courier New" w:eastAsia="Courier New" w:hAnsi="Courier New"/>
          <w:sz w:val="14"/>
          <w:szCs w:val="14"/>
          <w:color w:val="auto"/>
        </w:rPr>
        <w:t>With the exception of the foregoing matters, the Company is not presently subject to any material litigation nor, to the Company's knowledge, is any litigation threatened against the Company, other than routine litigation arising in the ordinary course of business, some of which is expected to be covered by liability insurance, and all of which collectively is not expected to have a material adverse effect on the consolidated financial statements of the Company.</w:t>
      </w:r>
    </w:p>
    <w:p>
      <w:pPr>
        <w:spacing w:after="0" w:line="23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159"/>
          </w:cols>
          <w:pgMar w:left="300" w:top="25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46</w:t>
      </w:r>
    </w:p>
    <w:p>
      <w:pPr>
        <w:spacing w:after="0" w:line="200" w:lineRule="exact"/>
        <w:rPr>
          <w:sz w:val="20"/>
          <w:szCs w:val="20"/>
          <w:color w:val="auto"/>
        </w:rPr>
      </w:pPr>
    </w:p>
    <w:p>
      <w:pPr>
        <w:spacing w:after="0" w:line="29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SHAREHOLDERS.</w:t>
      </w:r>
    </w:p>
    <w:p>
      <w:pPr>
        <w:spacing w:after="0" w:line="168" w:lineRule="exact"/>
        <w:rPr>
          <w:sz w:val="20"/>
          <w:szCs w:val="20"/>
          <w:color w:val="auto"/>
        </w:rPr>
      </w:pPr>
    </w:p>
    <w:p>
      <w:pPr>
        <w:ind w:right="640" w:firstLine="763"/>
        <w:spacing w:after="0" w:line="263" w:lineRule="auto"/>
        <w:rPr>
          <w:sz w:val="20"/>
          <w:szCs w:val="20"/>
          <w:color w:val="auto"/>
        </w:rPr>
      </w:pPr>
      <w:r>
        <w:rPr>
          <w:rFonts w:ascii="Courier New" w:cs="Courier New" w:eastAsia="Courier New" w:hAnsi="Courier New"/>
          <w:sz w:val="14"/>
          <w:szCs w:val="14"/>
          <w:color w:val="auto"/>
        </w:rPr>
        <w:t>No matters were submitted to a vote of the Company's shareholders during the fourth quarter of 1999. However, in connection with the proposed Fortress/Blackstone Restructuring, the Company filed the Preliminary Proxy Statement and intends to hold a special meeting of its shareholders in the second quarter of 2000 for the approval of the Restructuring and related transactions. At the date of this Annual Report, the Company has not fixed the record date for shareholders entitled to notice and eligible to vote at the special meeting nor the date of the special meeting.</w:t>
      </w:r>
    </w:p>
    <w:p>
      <w:pPr>
        <w:spacing w:after="0" w:line="77"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PART II.</w:t>
      </w:r>
    </w:p>
    <w:p>
      <w:pPr>
        <w:spacing w:after="0" w:line="168" w:lineRule="exact"/>
        <w:rPr>
          <w:sz w:val="20"/>
          <w:szCs w:val="20"/>
          <w:color w:val="auto"/>
        </w:rPr>
      </w:pPr>
    </w:p>
    <w:p>
      <w:pPr>
        <w:ind w:left="1620" w:right="460" w:hanging="1610"/>
        <w:spacing w:after="0" w:line="366" w:lineRule="auto"/>
        <w:tabs>
          <w:tab w:leader="none" w:pos="160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OF AND DISTRIBUTIONS ON COMMON STOCK</w:t>
      </w:r>
    </w:p>
    <w:p>
      <w:pPr>
        <w:spacing w:after="0" w:line="168" w:lineRule="exact"/>
        <w:rPr>
          <w:sz w:val="20"/>
          <w:szCs w:val="20"/>
          <w:color w:val="auto"/>
        </w:rPr>
      </w:pPr>
    </w:p>
    <w:p>
      <w:pPr>
        <w:ind w:right="460" w:firstLine="763"/>
        <w:spacing w:after="0" w:line="276" w:lineRule="auto"/>
        <w:rPr>
          <w:sz w:val="20"/>
          <w:szCs w:val="20"/>
          <w:color w:val="auto"/>
        </w:rPr>
      </w:pPr>
      <w:r>
        <w:rPr>
          <w:rFonts w:ascii="Courier New" w:cs="Courier New" w:eastAsia="Courier New" w:hAnsi="Courier New"/>
          <w:sz w:val="14"/>
          <w:szCs w:val="14"/>
          <w:color w:val="auto"/>
        </w:rPr>
        <w:t>The Common Stock is traded on the NYSE under the symbol "PZN" and the Series A Preferred Stock is traded on the NYSE under the symbol "PZN PrA." On March 15, 2000, the last reported sale price per share of Common Stock was $4.06 and there were 1,558 registered holders and approximately 28,000 beneficial holders, respectively, of Common Stock.</w:t>
      </w:r>
    </w:p>
    <w:p>
      <w:pPr>
        <w:spacing w:after="0" w:line="67" w:lineRule="exact"/>
        <w:rPr>
          <w:sz w:val="20"/>
          <w:szCs w:val="20"/>
          <w:color w:val="auto"/>
        </w:rPr>
      </w:pPr>
    </w:p>
    <w:p>
      <w:pPr>
        <w:ind w:right="460" w:firstLine="763"/>
        <w:spacing w:after="0" w:line="261" w:lineRule="auto"/>
        <w:rPr>
          <w:sz w:val="20"/>
          <w:szCs w:val="20"/>
          <w:color w:val="auto"/>
        </w:rPr>
      </w:pPr>
      <w:r>
        <w:rPr>
          <w:rFonts w:ascii="Courier New" w:cs="Courier New" w:eastAsia="Courier New" w:hAnsi="Courier New"/>
          <w:sz w:val="14"/>
          <w:szCs w:val="14"/>
          <w:color w:val="auto"/>
        </w:rPr>
        <w:t>The Common Stock and Series A Preferred Stock began trading on the NYSE on January 4, 1999, the first trading day following completion of the 1999 Merger. As such, certain of the information provided under this section relates to the securities of Old CCA and Old Prison Realty, which, as a result of the 1999 Merger, are no longer traded on the NYSE or on any other securities exchange or market. The following table sets forth, for the fiscal quarters indicated, (i) the range of high and low sales prices of the Common Stock, Old Prison Realty's common shares, and Old CCA's Common Stock on the NYSE, and (ii) the amount of cash distributions or dividends paid per share: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20" w:type="dxa"/>
            <w:vAlign w:val="bottom"/>
          </w:tcPr>
          <w:p>
            <w:pPr>
              <w:spacing w:after="0"/>
              <w:rPr>
                <w:sz w:val="14"/>
                <w:szCs w:val="14"/>
                <w:color w:val="auto"/>
              </w:rPr>
            </w:pPr>
          </w:p>
        </w:tc>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rPr>
              <w:t>COMPANY</w:t>
            </w:r>
          </w:p>
        </w:tc>
        <w:tc>
          <w:tcPr>
            <w:tcW w:w="560" w:type="dxa"/>
            <w:vAlign w:val="bottom"/>
          </w:tcPr>
          <w:p>
            <w:pPr>
              <w:spacing w:after="0"/>
              <w:rPr>
                <w:sz w:val="14"/>
                <w:szCs w:val="14"/>
                <w:color w:val="auto"/>
              </w:rPr>
            </w:pPr>
          </w:p>
        </w:tc>
      </w:tr>
      <w:tr>
        <w:trPr>
          <w:trHeight w:val="238"/>
        </w:trPr>
        <w:tc>
          <w:tcPr>
            <w:tcW w:w="3320" w:type="dxa"/>
            <w:vAlign w:val="bottom"/>
          </w:tcPr>
          <w:p>
            <w:pPr>
              <w:spacing w:after="0"/>
              <w:rPr>
                <w:sz w:val="20"/>
                <w:szCs w:val="20"/>
                <w:color w:val="auto"/>
              </w:rPr>
            </w:pPr>
          </w:p>
        </w:tc>
        <w:tc>
          <w:tcPr>
            <w:tcW w:w="390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SALES PRICE</w:t>
            </w:r>
          </w:p>
        </w:tc>
      </w:tr>
      <w:tr>
        <w:trPr>
          <w:trHeight w:val="251"/>
        </w:trPr>
        <w:tc>
          <w:tcPr>
            <w:tcW w:w="3320" w:type="dxa"/>
            <w:vAlign w:val="bottom"/>
          </w:tcPr>
          <w:p>
            <w:pPr>
              <w:spacing w:after="0"/>
              <w:rPr>
                <w:sz w:val="21"/>
                <w:szCs w:val="21"/>
                <w:color w:val="auto"/>
              </w:rPr>
            </w:pPr>
          </w:p>
        </w:tc>
        <w:tc>
          <w:tcPr>
            <w:tcW w:w="334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HIGH</w:t>
            </w:r>
          </w:p>
        </w:tc>
        <w:tc>
          <w:tcPr>
            <w:tcW w:w="5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LOW</w:t>
            </w:r>
          </w:p>
        </w:tc>
      </w:tr>
      <w:tr>
        <w:trPr>
          <w:trHeight w:val="238"/>
        </w:trPr>
        <w:tc>
          <w:tcPr>
            <w:tcW w:w="3320" w:type="dxa"/>
            <w:vAlign w:val="bottom"/>
          </w:tcPr>
          <w:p>
            <w:pPr>
              <w:spacing w:after="0"/>
              <w:rPr>
                <w:sz w:val="20"/>
                <w:szCs w:val="20"/>
                <w:color w:val="auto"/>
              </w:rPr>
            </w:pPr>
          </w:p>
        </w:tc>
        <w:tc>
          <w:tcPr>
            <w:tcW w:w="334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489"/>
        </w:trPr>
        <w:tc>
          <w:tcPr>
            <w:tcW w:w="3320" w:type="dxa"/>
            <w:vAlign w:val="bottom"/>
          </w:tcPr>
          <w:p>
            <w:pPr>
              <w:spacing w:after="0"/>
              <w:rPr>
                <w:sz w:val="20"/>
                <w:szCs w:val="20"/>
                <w:color w:val="auto"/>
              </w:rPr>
            </w:pPr>
            <w:r>
              <w:rPr>
                <w:rFonts w:ascii="Courier New" w:cs="Courier New" w:eastAsia="Courier New" w:hAnsi="Courier New"/>
                <w:sz w:val="14"/>
                <w:szCs w:val="14"/>
                <w:color w:val="auto"/>
              </w:rPr>
              <w:t>FISCAL YEAR 1999</w:t>
            </w:r>
          </w:p>
        </w:tc>
        <w:tc>
          <w:tcPr>
            <w:tcW w:w="3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6"/>
        </w:trPr>
        <w:tc>
          <w:tcPr>
            <w:tcW w:w="3320" w:type="dxa"/>
            <w:vAlign w:val="bottom"/>
          </w:tcPr>
          <w:p>
            <w:pPr>
              <w:spacing w:after="0"/>
              <w:rPr>
                <w:sz w:val="20"/>
                <w:szCs w:val="20"/>
                <w:color w:val="auto"/>
              </w:rPr>
            </w:pPr>
            <w:r>
              <w:rPr>
                <w:rFonts w:ascii="Courier New" w:cs="Courier New" w:eastAsia="Courier New" w:hAnsi="Courier New"/>
                <w:sz w:val="13"/>
                <w:szCs w:val="13"/>
                <w:color w:val="auto"/>
                <w:w w:val="71"/>
              </w:rPr>
              <w:t>First Quarter..............................................</w:t>
            </w:r>
          </w:p>
        </w:tc>
        <w:tc>
          <w:tcPr>
            <w:tcW w:w="33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$24.38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$16.63</w:t>
            </w:r>
          </w:p>
        </w:tc>
      </w:tr>
      <w:tr>
        <w:trPr>
          <w:trHeight w:val="326"/>
        </w:trPr>
        <w:tc>
          <w:tcPr>
            <w:tcW w:w="3320" w:type="dxa"/>
            <w:vAlign w:val="bottom"/>
          </w:tcPr>
          <w:p>
            <w:pPr>
              <w:spacing w:after="0"/>
              <w:rPr>
                <w:sz w:val="20"/>
                <w:szCs w:val="20"/>
                <w:color w:val="auto"/>
              </w:rPr>
            </w:pPr>
            <w:r>
              <w:rPr>
                <w:rFonts w:ascii="Courier New" w:cs="Courier New" w:eastAsia="Courier New" w:hAnsi="Courier New"/>
                <w:sz w:val="13"/>
                <w:szCs w:val="13"/>
                <w:color w:val="auto"/>
                <w:w w:val="71"/>
              </w:rPr>
              <w:t>Second Quarter.............................................</w:t>
            </w:r>
          </w:p>
        </w:tc>
        <w:tc>
          <w:tcPr>
            <w:tcW w:w="33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22.38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9.25</w:t>
            </w:r>
          </w:p>
        </w:tc>
      </w:tr>
      <w:tr>
        <w:trPr>
          <w:trHeight w:val="326"/>
        </w:trPr>
        <w:tc>
          <w:tcPr>
            <w:tcW w:w="3320" w:type="dxa"/>
            <w:vAlign w:val="bottom"/>
          </w:tcPr>
          <w:p>
            <w:pPr>
              <w:spacing w:after="0"/>
              <w:rPr>
                <w:sz w:val="20"/>
                <w:szCs w:val="20"/>
                <w:color w:val="auto"/>
              </w:rPr>
            </w:pPr>
            <w:r>
              <w:rPr>
                <w:rFonts w:ascii="Courier New" w:cs="Courier New" w:eastAsia="Courier New" w:hAnsi="Courier New"/>
                <w:sz w:val="13"/>
                <w:szCs w:val="13"/>
                <w:color w:val="auto"/>
                <w:w w:val="71"/>
              </w:rPr>
              <w:t>Third Quarter..............................................</w:t>
            </w:r>
          </w:p>
        </w:tc>
        <w:tc>
          <w:tcPr>
            <w:tcW w:w="33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14.18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326"/>
        </w:trPr>
        <w:tc>
          <w:tcPr>
            <w:tcW w:w="3320" w:type="dxa"/>
            <w:vAlign w:val="bottom"/>
          </w:tcPr>
          <w:p>
            <w:pPr>
              <w:spacing w:after="0"/>
              <w:rPr>
                <w:sz w:val="20"/>
                <w:szCs w:val="20"/>
                <w:color w:val="auto"/>
              </w:rPr>
            </w:pPr>
            <w:r>
              <w:rPr>
                <w:rFonts w:ascii="Courier New" w:cs="Courier New" w:eastAsia="Courier New" w:hAnsi="Courier New"/>
                <w:sz w:val="13"/>
                <w:szCs w:val="13"/>
                <w:color w:val="auto"/>
                <w:w w:val="71"/>
              </w:rPr>
              <w:t>Fourth Quarter.............................................</w:t>
            </w:r>
          </w:p>
        </w:tc>
        <w:tc>
          <w:tcPr>
            <w:tcW w:w="33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11.69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4.50</w:t>
            </w:r>
          </w:p>
        </w:tc>
      </w:tr>
      <w:tr>
        <w:trPr>
          <w:trHeight w:val="326"/>
        </w:trPr>
        <w:tc>
          <w:tcPr>
            <w:tcW w:w="3320" w:type="dxa"/>
            <w:vAlign w:val="bottom"/>
          </w:tcPr>
          <w:p>
            <w:pPr>
              <w:spacing w:after="0"/>
              <w:rPr>
                <w:sz w:val="20"/>
                <w:szCs w:val="20"/>
                <w:color w:val="auto"/>
              </w:rPr>
            </w:pPr>
            <w:r>
              <w:rPr>
                <w:rFonts w:ascii="Courier New" w:cs="Courier New" w:eastAsia="Courier New" w:hAnsi="Courier New"/>
                <w:sz w:val="14"/>
                <w:szCs w:val="14"/>
                <w:color w:val="auto"/>
              </w:rPr>
              <w:t>FISCAL YEAR 2000</w:t>
            </w:r>
          </w:p>
        </w:tc>
        <w:tc>
          <w:tcPr>
            <w:tcW w:w="3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6"/>
        </w:trPr>
        <w:tc>
          <w:tcPr>
            <w:tcW w:w="3320" w:type="dxa"/>
            <w:vAlign w:val="bottom"/>
          </w:tcPr>
          <w:p>
            <w:pPr>
              <w:spacing w:after="0"/>
              <w:rPr>
                <w:sz w:val="20"/>
                <w:szCs w:val="20"/>
                <w:color w:val="auto"/>
              </w:rPr>
            </w:pPr>
            <w:r>
              <w:rPr>
                <w:rFonts w:ascii="Courier New" w:cs="Courier New" w:eastAsia="Courier New" w:hAnsi="Courier New"/>
                <w:sz w:val="13"/>
                <w:szCs w:val="13"/>
                <w:color w:val="auto"/>
                <w:w w:val="71"/>
              </w:rPr>
              <w:t>First Quarter (through March 15, 2000).....................</w:t>
            </w:r>
          </w:p>
        </w:tc>
        <w:tc>
          <w:tcPr>
            <w:tcW w:w="33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6.25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3.63</w:t>
            </w:r>
          </w:p>
        </w:tc>
      </w:tr>
      <w:tr>
        <w:trPr>
          <w:trHeight w:val="815"/>
        </w:trPr>
        <w:tc>
          <w:tcPr>
            <w:tcW w:w="3320" w:type="dxa"/>
            <w:vAlign w:val="bottom"/>
          </w:tcPr>
          <w:p>
            <w:pPr>
              <w:spacing w:after="0"/>
              <w:rPr>
                <w:sz w:val="24"/>
                <w:szCs w:val="24"/>
                <w:color w:val="auto"/>
              </w:rPr>
            </w:pPr>
          </w:p>
        </w:tc>
        <w:tc>
          <w:tcPr>
            <w:tcW w:w="3340" w:type="dxa"/>
            <w:vAlign w:val="bottom"/>
          </w:tcPr>
          <w:p>
            <w:pPr>
              <w:jc w:val="right"/>
              <w:ind w:right="3109"/>
              <w:spacing w:after="0"/>
              <w:rPr>
                <w:sz w:val="20"/>
                <w:szCs w:val="20"/>
                <w:color w:val="auto"/>
              </w:rPr>
            </w:pPr>
            <w:r>
              <w:rPr>
                <w:rFonts w:ascii="Courier New" w:cs="Courier New" w:eastAsia="Courier New" w:hAnsi="Courier New"/>
                <w:sz w:val="14"/>
                <w:szCs w:val="14"/>
                <w:color w:val="auto"/>
                <w:w w:val="83"/>
              </w:rPr>
              <w:t>42</w:t>
            </w: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4"/>
          <w:szCs w:val="14"/>
          <w:color w:val="auto"/>
        </w:rPr>
        <w:t>PER SHARE</w:t>
      </w:r>
    </w:p>
    <w:p>
      <w:pPr>
        <w:spacing w:after="0" w:line="30"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4"/>
          <w:szCs w:val="14"/>
          <w:color w:val="auto"/>
        </w:rPr>
        <w:t>CASH</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4"/>
          <w:szCs w:val="14"/>
          <w:color w:val="auto"/>
        </w:rPr>
        <w:t>DISTRIBUTION</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4"/>
          <w:szCs w:val="14"/>
          <w:color w:val="auto"/>
        </w:rPr>
        <w:t>PAID OR EXPECTED</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4"/>
          <w:szCs w:val="14"/>
          <w:color w:val="auto"/>
        </w:rPr>
        <w:t>TO BE PAID</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68"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4"/>
          <w:szCs w:val="14"/>
          <w:color w:val="auto"/>
        </w:rPr>
        <w:t>$0.60</w:t>
      </w:r>
    </w:p>
    <w:p>
      <w:pPr>
        <w:spacing w:after="0" w:line="168"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4"/>
          <w:szCs w:val="14"/>
          <w:color w:val="auto"/>
        </w:rPr>
        <w:t>0.60</w:t>
      </w:r>
    </w:p>
    <w:p>
      <w:pPr>
        <w:spacing w:after="0" w:line="168"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0.60</w:t>
      </w:r>
    </w:p>
    <w:p>
      <w:pPr>
        <w:spacing w:after="0" w:line="168"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0.00</w:t>
      </w:r>
    </w:p>
    <w:p>
      <w:pPr>
        <w:spacing w:after="0" w:line="200" w:lineRule="exact"/>
        <w:rPr>
          <w:sz w:val="20"/>
          <w:szCs w:val="20"/>
          <w:color w:val="auto"/>
        </w:rPr>
      </w:pPr>
    </w:p>
    <w:p>
      <w:pPr>
        <w:spacing w:after="0" w:line="294" w:lineRule="exact"/>
        <w:rPr>
          <w:sz w:val="20"/>
          <w:szCs w:val="20"/>
          <w:color w:val="auto"/>
        </w:rPr>
      </w:pPr>
    </w:p>
    <w:p>
      <w:pPr>
        <w:jc w:val="right"/>
        <w:ind w:right="319"/>
        <w:spacing w:after="0"/>
        <w:rPr>
          <w:sz w:val="20"/>
          <w:szCs w:val="20"/>
          <w:color w:val="auto"/>
        </w:rPr>
      </w:pPr>
      <w:r>
        <w:rPr>
          <w:rFonts w:ascii="Courier New" w:cs="Courier New" w:eastAsia="Courier New" w:hAnsi="Courier New"/>
          <w:sz w:val="14"/>
          <w:szCs w:val="14"/>
          <w:color w:val="auto"/>
        </w:rPr>
        <w:t>0.00 (expected)</w:t>
      </w:r>
    </w:p>
    <w:p>
      <w:pPr>
        <w:sectPr>
          <w:pgSz w:w="11900" w:h="16838" w:orient="portrait"/>
          <w:cols w:equalWidth="0" w:num="2">
            <w:col w:w="7260" w:space="720"/>
            <w:col w:w="2179"/>
          </w:cols>
          <w:pgMar w:left="300" w:top="257"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47</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r>
              <w:rPr>
                <w:rFonts w:ascii="Courier New" w:cs="Courier New" w:eastAsia="Courier New" w:hAnsi="Courier New"/>
                <w:sz w:val="14"/>
                <w:szCs w:val="14"/>
                <w:color w:val="auto"/>
              </w:rPr>
              <w:t>OLD PRISON REALTY</w:t>
            </w: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904"/>
        </w:trPr>
        <w:tc>
          <w:tcPr>
            <w:tcW w:w="5560" w:type="dxa"/>
            <w:vAlign w:val="bottom"/>
          </w:tcPr>
          <w:p>
            <w:pPr>
              <w:spacing w:after="0"/>
              <w:rPr>
                <w:sz w:val="24"/>
                <w:szCs w:val="24"/>
                <w:color w:val="auto"/>
              </w:rPr>
            </w:pPr>
          </w:p>
        </w:tc>
        <w:tc>
          <w:tcPr>
            <w:tcW w:w="1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OLD PRISON REALTY</w:t>
            </w:r>
          </w:p>
        </w:tc>
      </w:tr>
      <w:tr>
        <w:trPr>
          <w:trHeight w:val="238"/>
        </w:trPr>
        <w:tc>
          <w:tcPr>
            <w:tcW w:w="5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SALES PRICE</w:t>
            </w:r>
          </w:p>
        </w:tc>
      </w:tr>
      <w:tr>
        <w:trPr>
          <w:trHeight w:val="252"/>
        </w:trPr>
        <w:tc>
          <w:tcPr>
            <w:tcW w:w="556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HIGH</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LOW</w:t>
            </w:r>
          </w:p>
        </w:tc>
      </w:tr>
      <w:tr>
        <w:trPr>
          <w:trHeight w:val="238"/>
        </w:trPr>
        <w:tc>
          <w:tcPr>
            <w:tcW w:w="556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326"/>
        </w:trPr>
        <w:tc>
          <w:tcPr>
            <w:tcW w:w="5560" w:type="dxa"/>
            <w:vAlign w:val="bottom"/>
          </w:tcPr>
          <w:p>
            <w:pPr>
              <w:spacing w:after="0"/>
              <w:rPr>
                <w:sz w:val="20"/>
                <w:szCs w:val="20"/>
                <w:color w:val="auto"/>
              </w:rPr>
            </w:pPr>
            <w:r>
              <w:rPr>
                <w:rFonts w:ascii="Courier New" w:cs="Courier New" w:eastAsia="Courier New" w:hAnsi="Courier New"/>
                <w:sz w:val="14"/>
                <w:szCs w:val="14"/>
                <w:color w:val="auto"/>
              </w:rPr>
              <w:t>FISCAL YEAR 1998</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6"/>
        </w:trPr>
        <w:tc>
          <w:tcPr>
            <w:tcW w:w="556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44.50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38.50</w:t>
            </w:r>
          </w:p>
        </w:tc>
      </w:tr>
      <w:tr>
        <w:trPr>
          <w:trHeight w:val="326"/>
        </w:trPr>
        <w:tc>
          <w:tcPr>
            <w:tcW w:w="556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41.94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26.38</w:t>
            </w:r>
          </w:p>
        </w:tc>
      </w:tr>
      <w:tr>
        <w:trPr>
          <w:trHeight w:val="326"/>
        </w:trPr>
        <w:tc>
          <w:tcPr>
            <w:tcW w:w="556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30.69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17.50</w:t>
            </w:r>
          </w:p>
        </w:tc>
      </w:tr>
      <w:tr>
        <w:trPr>
          <w:trHeight w:val="326"/>
        </w:trPr>
        <w:tc>
          <w:tcPr>
            <w:tcW w:w="5560" w:type="dxa"/>
            <w:vAlign w:val="bottom"/>
          </w:tcPr>
          <w:p>
            <w:pPr>
              <w:spacing w:after="0"/>
              <w:rPr>
                <w:sz w:val="20"/>
                <w:szCs w:val="20"/>
                <w:color w:val="auto"/>
              </w:rPr>
            </w:pPr>
            <w:r>
              <w:rPr>
                <w:rFonts w:ascii="Courier New" w:cs="Courier New" w:eastAsia="Courier New" w:hAnsi="Courier New"/>
                <w:sz w:val="14"/>
                <w:szCs w:val="14"/>
                <w:color w:val="auto"/>
              </w:rPr>
              <w:t>Fourth Quarter .................................................</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26.75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15.50</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OLD CCA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OLD</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CCA</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SALES</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PRICE(1)</w:t>
            </w:r>
          </w:p>
        </w:tc>
        <w:tc>
          <w:tcPr>
            <w:tcW w:w="0" w:type="dxa"/>
            <w:vAlign w:val="bottom"/>
          </w:tcPr>
          <w:p>
            <w:pPr>
              <w:spacing w:after="0"/>
              <w:rPr>
                <w:sz w:val="1"/>
                <w:szCs w:val="1"/>
                <w:color w:val="auto"/>
              </w:rPr>
            </w:pPr>
          </w:p>
        </w:tc>
      </w:tr>
      <w:tr>
        <w:trPr>
          <w:trHeight w:val="252"/>
        </w:trPr>
        <w:tc>
          <w:tcPr>
            <w:tcW w:w="56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HIGH</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LOW</w:t>
            </w:r>
          </w:p>
        </w:tc>
        <w:tc>
          <w:tcPr>
            <w:tcW w:w="0" w:type="dxa"/>
            <w:vAlign w:val="bottom"/>
          </w:tcPr>
          <w:p>
            <w:pPr>
              <w:spacing w:after="0"/>
              <w:rPr>
                <w:sz w:val="1"/>
                <w:szCs w:val="1"/>
                <w:color w:val="auto"/>
              </w:rPr>
            </w:pPr>
          </w:p>
        </w:tc>
      </w:tr>
      <w:tr>
        <w:trPr>
          <w:trHeight w:val="238"/>
        </w:trPr>
        <w:tc>
          <w:tcPr>
            <w:tcW w:w="564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 1998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6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564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41.50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32.00</w:t>
            </w:r>
          </w:p>
        </w:tc>
        <w:tc>
          <w:tcPr>
            <w:tcW w:w="0" w:type="dxa"/>
            <w:vAlign w:val="bottom"/>
          </w:tcPr>
          <w:p>
            <w:pPr>
              <w:spacing w:after="0"/>
              <w:rPr>
                <w:sz w:val="1"/>
                <w:szCs w:val="1"/>
                <w:color w:val="auto"/>
              </w:rPr>
            </w:pPr>
          </w:p>
        </w:tc>
      </w:tr>
      <w:tr>
        <w:trPr>
          <w:trHeight w:val="326"/>
        </w:trPr>
        <w:tc>
          <w:tcPr>
            <w:tcW w:w="564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35.50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20.25</w:t>
            </w:r>
          </w:p>
        </w:tc>
        <w:tc>
          <w:tcPr>
            <w:tcW w:w="0" w:type="dxa"/>
            <w:vAlign w:val="bottom"/>
          </w:tcPr>
          <w:p>
            <w:pPr>
              <w:spacing w:after="0"/>
              <w:rPr>
                <w:sz w:val="1"/>
                <w:szCs w:val="1"/>
                <w:color w:val="auto"/>
              </w:rPr>
            </w:pPr>
          </w:p>
        </w:tc>
      </w:tr>
      <w:tr>
        <w:trPr>
          <w:trHeight w:val="326"/>
        </w:trPr>
        <w:tc>
          <w:tcPr>
            <w:tcW w:w="564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13.13</w:t>
            </w:r>
          </w:p>
        </w:tc>
        <w:tc>
          <w:tcPr>
            <w:tcW w:w="0" w:type="dxa"/>
            <w:vAlign w:val="bottom"/>
          </w:tcPr>
          <w:p>
            <w:pPr>
              <w:spacing w:after="0"/>
              <w:rPr>
                <w:sz w:val="1"/>
                <w:szCs w:val="1"/>
                <w:color w:val="auto"/>
              </w:rPr>
            </w:pPr>
          </w:p>
        </w:tc>
      </w:tr>
      <w:tr>
        <w:trPr>
          <w:trHeight w:val="326"/>
        </w:trPr>
        <w:tc>
          <w:tcPr>
            <w:tcW w:w="5640" w:type="dxa"/>
            <w:vAlign w:val="bottom"/>
          </w:tcPr>
          <w:p>
            <w:pPr>
              <w:spacing w:after="0"/>
              <w:rPr>
                <w:sz w:val="20"/>
                <w:szCs w:val="20"/>
                <w:color w:val="auto"/>
              </w:rPr>
            </w:pPr>
            <w:r>
              <w:rPr>
                <w:rFonts w:ascii="Courier New" w:cs="Courier New" w:eastAsia="Courier New" w:hAnsi="Courier New"/>
                <w:sz w:val="14"/>
                <w:szCs w:val="14"/>
                <w:color w:val="auto"/>
              </w:rPr>
              <w:t>Fourth Quarter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22.38</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10.50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20" w:firstLine="7"/>
        <w:spacing w:after="0" w:line="263" w:lineRule="auto"/>
        <w:tabs>
          <w:tab w:leader="none" w:pos="33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October 1995, CCA authorized a 2-for-1 stock split on its common stock effective October 31, 1995. The stock split was paid in the form of a one share dividend for every share of CCA common stock held by shareholders of record on October 16, 1995. In June 1996, CCA authorized a 2-for-1 stock split on its common stock effective July 2, 1996. The stock split was paid in the form of a one share dividend for every share of CCA common stock held by shareholders of record on June 19, 1996. All references herein are on a post-split basis and are not adjusted to reflect the completion of the 1999 Merger.</w:t>
      </w:r>
    </w:p>
    <w:p>
      <w:pPr>
        <w:spacing w:after="0" w:line="77" w:lineRule="exact"/>
        <w:rPr>
          <w:sz w:val="20"/>
          <w:szCs w:val="20"/>
          <w:color w:val="auto"/>
        </w:rPr>
      </w:pPr>
    </w:p>
    <w:p>
      <w:pPr>
        <w:ind w:right="420" w:firstLine="763"/>
        <w:spacing w:after="0" w:line="256" w:lineRule="auto"/>
        <w:rPr>
          <w:sz w:val="20"/>
          <w:szCs w:val="20"/>
          <w:color w:val="auto"/>
        </w:rPr>
      </w:pPr>
      <w:r>
        <w:rPr>
          <w:rFonts w:ascii="Courier New" w:cs="Courier New" w:eastAsia="Courier New" w:hAnsi="Courier New"/>
          <w:sz w:val="14"/>
          <w:szCs w:val="14"/>
          <w:color w:val="auto"/>
        </w:rPr>
        <w:t>During 1999, the Company made distributions to its shareholders in order to preserve its ability to qualify as a REIT for the 1999 taxable year. Pursuant to the terms of the Securities Purchase Agreement governing the proposed Fortress/Blackstone Equity Investment, the Company has not paid any additional dividends on shares of Common Stock pending completion of the Restructuring, including distributions required to qualify as a REIT subsequent to 1999. While the Company currently intends to elect to be taxed as a REIT with respect to its 1999 taxable year and as a C corporation thereafter, if the Fortress/Blackstone Restructuring is completed under its current terms, the Company will not elect to qualify as a REIT for tax purposes commencing with its 1999 taxable year. As a C corporation, the Company will not be subject to the Code's requirements relating to distributions. Following completion of the Restructuring, the Company</w:t>
      </w:r>
    </w:p>
    <w:p>
      <w:pPr>
        <w:spacing w:after="0" w:line="8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PER SHARE</w:t>
      </w:r>
    </w:p>
    <w:p>
      <w:pPr>
        <w:spacing w:after="0" w:line="3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CASH DISTRIBUTION</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PAID</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0.425</w:t>
      </w:r>
    </w:p>
    <w:p>
      <w:pPr>
        <w:spacing w:after="0" w:line="168"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0.425</w:t>
      </w:r>
    </w:p>
    <w:p>
      <w:pPr>
        <w:spacing w:after="0" w:line="168"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0.480</w:t>
      </w:r>
    </w:p>
    <w:p>
      <w:pPr>
        <w:spacing w:after="0" w:line="168"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0.480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CASH</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0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0</w:t>
      </w:r>
    </w:p>
    <w:p>
      <w:pPr>
        <w:spacing w:after="0" w:line="16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0</w:t>
      </w:r>
    </w:p>
    <w:p>
      <w:pPr>
        <w:spacing w:after="0" w:line="16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0</w:t>
      </w:r>
    </w:p>
    <w:p>
      <w:pPr>
        <w:spacing w:after="0" w:line="16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0</w:t>
      </w:r>
    </w:p>
    <w:p>
      <w:pPr>
        <w:sectPr>
          <w:pgSz w:w="11900" w:h="16838" w:orient="portrait"/>
          <w:cols w:equalWidth="0" w:num="2">
            <w:col w:w="7220" w:space="680"/>
            <w:col w:w="2259"/>
          </w:cols>
          <w:pgMar w:left="300" w:top="25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48</w:t>
      </w:r>
    </w:p>
    <w:p>
      <w:pPr>
        <w:spacing w:after="0" w:line="200" w:lineRule="exact"/>
        <w:rPr>
          <w:sz w:val="20"/>
          <w:szCs w:val="20"/>
          <w:color w:val="auto"/>
        </w:rPr>
      </w:pPr>
    </w:p>
    <w:p>
      <w:pPr>
        <w:spacing w:after="0" w:line="294"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does not anticipate paying cash dividends on shares of its Common Stock. In connection with the foregoing, pending the vote of the Company's shareholders at its special meeting, the Company intends to take such actions as may be necessary to retain its ability to elect to be taxed as a REIT for its 1999 taxable year and beyond. These actions have included, without limitation, obtaining an extension of time to file its 1999 federal income tax return until September 15, 2000, which will enable the Company to declare sufficient dividends with respect to its 1999 tax year and to make an election to be taxed as a REIT for 1999 (and subsequent years) if shareholder approval is not obtained.</w:t>
      </w:r>
    </w:p>
    <w:p>
      <w:pPr>
        <w:spacing w:after="0" w:line="76" w:lineRule="exact"/>
        <w:rPr>
          <w:sz w:val="20"/>
          <w:szCs w:val="20"/>
          <w:color w:val="auto"/>
        </w:rPr>
      </w:pPr>
    </w:p>
    <w:p>
      <w:pPr>
        <w:ind w:right="3799"/>
        <w:spacing w:after="0" w:line="366" w:lineRule="auto"/>
        <w:rPr>
          <w:sz w:val="20"/>
          <w:szCs w:val="20"/>
          <w:color w:val="auto"/>
        </w:rPr>
      </w:pPr>
      <w:r>
        <w:rPr>
          <w:rFonts w:ascii="Courier New" w:cs="Courier New" w:eastAsia="Courier New" w:hAnsi="Courier New"/>
          <w:sz w:val="14"/>
          <w:szCs w:val="14"/>
          <w:color w:val="auto"/>
        </w:rPr>
        <w:t>SALE OF UNREGISTERED SECURITIES AND USE OF PROCEEDS FROM SALE OF REGISTERED SECURITIES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OF UNREGISTERED SECURITIES</w:t>
      </w:r>
    </w:p>
    <w:p>
      <w:pPr>
        <w:spacing w:after="0" w:line="168" w:lineRule="exact"/>
        <w:rPr>
          <w:sz w:val="20"/>
          <w:szCs w:val="20"/>
          <w:color w:val="auto"/>
        </w:rPr>
      </w:pPr>
    </w:p>
    <w:p>
      <w:pPr>
        <w:ind w:right="3359" w:firstLine="763"/>
        <w:spacing w:after="0" w:line="249" w:lineRule="auto"/>
        <w:rPr>
          <w:sz w:val="20"/>
          <w:szCs w:val="20"/>
          <w:color w:val="auto"/>
        </w:rPr>
      </w:pPr>
      <w:r>
        <w:rPr>
          <w:rFonts w:ascii="Courier New" w:cs="Courier New" w:eastAsia="Courier New" w:hAnsi="Courier New"/>
          <w:sz w:val="14"/>
          <w:szCs w:val="14"/>
          <w:color w:val="auto"/>
        </w:rPr>
        <w:t>The following description sets forth sales or other issuances of unregistered securities by each of Old CCA and Old Prison Realty during the two-year period prior to the 1999 Merger, as well as sales of unregistered securities by the Company since its formation in September 1998. Unless indicated otherwise, all securities were issued and sold in private placements pursuant to the exemption from the Securities Act registration requirements contained in Section 4(2) of the Securities Act. No underwriters were engaged in connection with the issuances of securities described below. All references in this description to Old CCA common stock and Old Prison Realty common shares are reflected on a converted basis assuming the completion of the 1999 Merger. In the 1999 Merger, all outstanding shares of CCA common stock, including unregistered shares, were exchanged for shares of Common Stock at an exchange ratio of 0.875 to 1, and all outstanding Old Prison Realty common shares were exchanged for shares of Common Stock at an exchange ratio of 1 to 1, all pursuant to an effective Registration Statement on Form S-4 (Reg. no.</w:t>
      </w:r>
    </w:p>
    <w:p>
      <w:pPr>
        <w:spacing w:after="0" w:line="4" w:lineRule="exact"/>
        <w:rPr>
          <w:sz w:val="20"/>
          <w:szCs w:val="20"/>
          <w:color w:val="auto"/>
        </w:rPr>
      </w:pPr>
    </w:p>
    <w:p>
      <w:pPr>
        <w:ind w:right="3459"/>
        <w:spacing w:after="0" w:line="286" w:lineRule="auto"/>
        <w:rPr>
          <w:sz w:val="20"/>
          <w:szCs w:val="20"/>
          <w:color w:val="auto"/>
        </w:rPr>
      </w:pPr>
      <w:r>
        <w:rPr>
          <w:rFonts w:ascii="Courier New" w:cs="Courier New" w:eastAsia="Courier New" w:hAnsi="Courier New"/>
          <w:sz w:val="14"/>
          <w:szCs w:val="14"/>
          <w:color w:val="auto"/>
        </w:rPr>
        <w:t>333-65017), filed with the Commission on September 30, 1998 and declared effective by the Commission on October 16, 1998 (the "Registration Statement on Form S-4").</w:t>
      </w:r>
    </w:p>
    <w:p>
      <w:pPr>
        <w:spacing w:after="0" w:line="59" w:lineRule="exact"/>
        <w:rPr>
          <w:sz w:val="20"/>
          <w:szCs w:val="20"/>
          <w:color w:val="auto"/>
        </w:rPr>
      </w:pPr>
    </w:p>
    <w:p>
      <w:pPr>
        <w:ind w:right="3359" w:firstLine="848"/>
        <w:spacing w:after="0" w:line="276" w:lineRule="auto"/>
        <w:rPr>
          <w:sz w:val="20"/>
          <w:szCs w:val="20"/>
          <w:color w:val="auto"/>
        </w:rPr>
      </w:pPr>
      <w:r>
        <w:rPr>
          <w:rFonts w:ascii="Courier New" w:cs="Courier New" w:eastAsia="Courier New" w:hAnsi="Courier New"/>
          <w:sz w:val="14"/>
          <w:szCs w:val="14"/>
          <w:color w:val="auto"/>
        </w:rPr>
        <w:t>OLD CCA. In February and August 1997, CCA issued an aggregate of 878,098 shares of CCA common stock to Pacific Mutual Life Insurance Company and PM Group Life Insurance Company pursuant to the conversion of a portion of certain of its 8.5% Convertible Extendable, Subordinated Notes originally issued in 1992.</w:t>
      </w:r>
    </w:p>
    <w:p>
      <w:pPr>
        <w:spacing w:after="0" w:line="67" w:lineRule="exact"/>
        <w:rPr>
          <w:sz w:val="20"/>
          <w:szCs w:val="20"/>
          <w:color w:val="auto"/>
        </w:rPr>
      </w:pPr>
    </w:p>
    <w:p>
      <w:pPr>
        <w:ind w:right="3359" w:firstLine="763"/>
        <w:spacing w:after="0" w:line="253" w:lineRule="auto"/>
        <w:rPr>
          <w:sz w:val="20"/>
          <w:szCs w:val="20"/>
          <w:color w:val="auto"/>
        </w:rPr>
      </w:pPr>
      <w:r>
        <w:rPr>
          <w:rFonts w:ascii="Courier New" w:cs="Courier New" w:eastAsia="Courier New" w:hAnsi="Courier New"/>
          <w:sz w:val="14"/>
          <w:szCs w:val="14"/>
          <w:color w:val="auto"/>
        </w:rPr>
        <w:t>In December 1994, 664,793 shares of Old CCA common stock were acquired by American Corrections Transport, Inc., a Tennessee corporation ("ACT"), pursuant to the Share Exchange Agreement by and among Old CCA, TransCor America, Inc. ("TransCor, Inc."), and the shareholders of TransCor, Inc. in connection with Old CCA's acquisition of TransCor, Inc. ACT was a shareholder of TransCor, Inc. at the time of the 1994 exchange. Subsequently, in October 1997, Old CCA agreed to exchange those shares of CCA common stock held by ACT for 379,882 shares of Old CCA's newly authorized series B convertible preferred stock (the "Old CCA Series B Preferred Stock"). ACT agreed to liquidate and distribute its assets, including the Old CCA Series B Preferred Stock, to its shareholders immediately following the exchange. Accordingly, on October 2, 1997, Old CCA, ACT, the majority shareholders of ACT, and one additional individual entered into an Exchange Agreement to effectuate the foregoing transaction (the "1997 ACT Exchange Agreement"). As a condition to the exchange, ACT agreed to place 189,949 shares of the Old CCA Series B Preferred Stock into escrow, with such shares being held to satisfy any claim, loss, liability, costs and expenses directly or indirectly relating to or resulting from or arising out of the 1997 ACT Exchange Agreement and the consummation of the transactions.</w:t>
      </w:r>
    </w:p>
    <w:p>
      <w:pPr>
        <w:spacing w:after="0" w:line="89" w:lineRule="exact"/>
        <w:rPr>
          <w:sz w:val="20"/>
          <w:szCs w:val="20"/>
          <w:color w:val="auto"/>
        </w:rPr>
      </w:pPr>
    </w:p>
    <w:p>
      <w:pPr>
        <w:ind w:right="3359" w:firstLine="763"/>
        <w:spacing w:after="0" w:line="255" w:lineRule="auto"/>
        <w:rPr>
          <w:sz w:val="20"/>
          <w:szCs w:val="20"/>
          <w:color w:val="auto"/>
        </w:rPr>
      </w:pPr>
      <w:r>
        <w:rPr>
          <w:rFonts w:ascii="Courier New" w:cs="Courier New" w:eastAsia="Courier New" w:hAnsi="Courier New"/>
          <w:sz w:val="14"/>
          <w:szCs w:val="14"/>
          <w:color w:val="auto"/>
        </w:rPr>
        <w:t>The exchange was structured as a tax-free reorganization under the meaning of Section 368(a)(1)(C) of the Code, and ACT and its shareholders obtained certain tax benefits as a result of the 1997 exchange transaction. Old CCA assumed no liabilities of ACT as a result of the exchange. The rights and preferences of the Old CCA Series B Preferred Stock, generally, were as follows: The shares were convertible into shares of Old CCA common stock on a 1.94 to 1 basis, subject to adjustment, and were automatically convertible into shares of Old CCA common stock upon notification of Old CCA. The holders of the Old CCA Series B Preferred Stock could convert the shares into shares of Old CCA's common stock in varying increments through September 1, 2000, at which time up to 75% could be converted. The holders of the Old CCA Series B Preferred Stock could not transfer or assign such shares before September 1, 2000, except upon death. The holders of the Old CCA Series B Preferred Stock were to share in distribution upon an event of</w:t>
      </w:r>
    </w:p>
    <w:p>
      <w:pPr>
        <w:spacing w:after="0" w:line="8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159"/>
          </w:cols>
          <w:pgMar w:left="300" w:top="257"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49</w:t>
      </w:r>
    </w:p>
    <w:p>
      <w:pPr>
        <w:spacing w:after="0" w:line="200" w:lineRule="exact"/>
        <w:rPr>
          <w:sz w:val="20"/>
          <w:szCs w:val="20"/>
          <w:color w:val="auto"/>
        </w:rPr>
      </w:pPr>
    </w:p>
    <w:p>
      <w:pPr>
        <w:spacing w:after="0" w:line="294"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sale or liquidation along with holders of Old CCA common stock based on their respective ownership. The Old CCA Series B Preferred Stock had the same voting rights as Old CCA common stock, and no dividends were to be declared and paid on the Old CCA common stock unless dividends were declared and paid on the Old CCA Series B Preferred Stock at the same time at a rate equal to twice that of the Old CCA common stock.</w:t>
      </w:r>
    </w:p>
    <w:p>
      <w:pPr>
        <w:spacing w:after="0" w:line="71" w:lineRule="exact"/>
        <w:rPr>
          <w:sz w:val="20"/>
          <w:szCs w:val="20"/>
          <w:color w:val="auto"/>
        </w:rPr>
      </w:pPr>
    </w:p>
    <w:p>
      <w:pPr>
        <w:ind w:right="3619" w:firstLine="763"/>
        <w:spacing w:after="0" w:line="276" w:lineRule="auto"/>
        <w:rPr>
          <w:sz w:val="20"/>
          <w:szCs w:val="20"/>
          <w:color w:val="auto"/>
        </w:rPr>
      </w:pPr>
      <w:r>
        <w:rPr>
          <w:rFonts w:ascii="Courier New" w:cs="Courier New" w:eastAsia="Courier New" w:hAnsi="Courier New"/>
          <w:sz w:val="14"/>
          <w:szCs w:val="14"/>
          <w:color w:val="auto"/>
        </w:rPr>
        <w:t>On October 15, 1998, Old CCA issued 43,750 shares of Old CCA common stock to a director, in consideration of a purchase price of $756,250 paid to Old CCA. These shares were purchased pursuant to an agreement between Old CCA and the director, and such sale was approved in advance by the board of directors of Old CCA.</w:t>
      </w:r>
    </w:p>
    <w:p>
      <w:pPr>
        <w:spacing w:after="0" w:line="67" w:lineRule="exact"/>
        <w:rPr>
          <w:sz w:val="20"/>
          <w:szCs w:val="20"/>
          <w:color w:val="auto"/>
        </w:rPr>
      </w:pPr>
    </w:p>
    <w:p>
      <w:pPr>
        <w:ind w:right="3359" w:firstLine="763"/>
        <w:spacing w:after="0" w:line="258" w:lineRule="auto"/>
        <w:rPr>
          <w:sz w:val="20"/>
          <w:szCs w:val="20"/>
          <w:color w:val="auto"/>
        </w:rPr>
      </w:pPr>
      <w:r>
        <w:rPr>
          <w:rFonts w:ascii="Courier New" w:cs="Courier New" w:eastAsia="Courier New" w:hAnsi="Courier New"/>
          <w:sz w:val="14"/>
          <w:szCs w:val="14"/>
          <w:color w:val="auto"/>
        </w:rPr>
        <w:t>On September 18, 1998, pursuant to the 1997 ACT Exchange Agreement, Old CCA exercised its right to convert the Old CCA Series B Preferred Stock into shares of Old CCA common stock by providing notice to each holder of shares of Old CCA Series B Preferred Stock. On October 2, 1998, Old CCA converted each outstanding share of Old CCA Series B Preferred Stock into 1.94 shares of Old CCA common stock. As a result of this conversion, Old CCA issued an aggregate of 639,030 shares of Old CCA common stock, including 322,432 shares of Old CCA common stock to be held in escrow pursuant to the terms of the 1997 ACT Exchange Agreement, without registration under the Securities Act in reliance upon Section 3(a)(9) of the Securities Act. The Company received no cash proceeds from the exchange of the Old CCA Series B Preferred Stock.</w:t>
      </w:r>
    </w:p>
    <w:p>
      <w:pPr>
        <w:spacing w:after="0" w:line="82" w:lineRule="exact"/>
        <w:rPr>
          <w:sz w:val="20"/>
          <w:szCs w:val="20"/>
          <w:color w:val="auto"/>
        </w:rPr>
      </w:pPr>
    </w:p>
    <w:p>
      <w:pPr>
        <w:ind w:right="3539" w:firstLine="763"/>
        <w:spacing w:after="0" w:line="306" w:lineRule="auto"/>
        <w:rPr>
          <w:sz w:val="20"/>
          <w:szCs w:val="20"/>
          <w:color w:val="auto"/>
        </w:rPr>
      </w:pPr>
      <w:r>
        <w:rPr>
          <w:rFonts w:ascii="Courier New" w:cs="Courier New" w:eastAsia="Courier New" w:hAnsi="Courier New"/>
          <w:sz w:val="14"/>
          <w:szCs w:val="14"/>
          <w:color w:val="auto"/>
        </w:rPr>
        <w:t>OLD PRISON REALTY. Old Prison Realty was formed as a Maryland real estate investment trust in April 1997, with one shareholder being issued 1,000 Old Prison Realty common shares in consideration of $1,000.</w:t>
      </w:r>
    </w:p>
    <w:p>
      <w:pPr>
        <w:spacing w:after="0" w:line="46" w:lineRule="exact"/>
        <w:rPr>
          <w:sz w:val="20"/>
          <w:szCs w:val="20"/>
          <w:color w:val="auto"/>
        </w:rPr>
      </w:pPr>
    </w:p>
    <w:p>
      <w:pPr>
        <w:ind w:right="3359" w:firstLine="763"/>
        <w:spacing w:after="0" w:line="260" w:lineRule="auto"/>
        <w:rPr>
          <w:sz w:val="20"/>
          <w:szCs w:val="20"/>
          <w:color w:val="auto"/>
        </w:rPr>
      </w:pPr>
      <w:r>
        <w:rPr>
          <w:rFonts w:ascii="Courier New" w:cs="Courier New" w:eastAsia="Courier New" w:hAnsi="Courier New"/>
          <w:sz w:val="14"/>
          <w:szCs w:val="14"/>
          <w:color w:val="auto"/>
        </w:rPr>
        <w:t>On July 18, 1997, upon completion of Old Prison Realty's initial public offering of 21,275,000 Old Prison Realty common shares, D. Robert Crants, III and Michael W. Devlin each received 150,000 Old Prison Realty common shares as a development fee and for services rendered and as reimbursement of actual costs incurred in connection with the formation of Old Prison Realty, the completion of Old Prison Realty's initial public offering and the closing of Old Prison Realty's purchase of nine facilities from Old CCA. The reimbursed costs include certain costs related to property due diligence, employee compensation, travel and overhead. Old Prison Realty received no cash proceeds from the issuance of these 300,000 common shares.</w:t>
      </w:r>
    </w:p>
    <w:p>
      <w:pPr>
        <w:spacing w:after="0" w:line="76" w:lineRule="exact"/>
        <w:rPr>
          <w:sz w:val="20"/>
          <w:szCs w:val="20"/>
          <w:color w:val="auto"/>
        </w:rPr>
      </w:pPr>
    </w:p>
    <w:p>
      <w:pPr>
        <w:ind w:right="3459" w:firstLine="763"/>
        <w:spacing w:after="0" w:line="286" w:lineRule="auto"/>
        <w:rPr>
          <w:sz w:val="20"/>
          <w:szCs w:val="20"/>
          <w:color w:val="auto"/>
        </w:rPr>
      </w:pPr>
      <w:r>
        <w:rPr>
          <w:rFonts w:ascii="Courier New" w:cs="Courier New" w:eastAsia="Courier New" w:hAnsi="Courier New"/>
          <w:sz w:val="14"/>
          <w:szCs w:val="14"/>
          <w:color w:val="auto"/>
        </w:rPr>
        <w:t>THE COMPANY. The Company was formed as a Maryland corporation in September 1998, with one shareholder being issued 100 shares of common stock in consideration of $1,000. Upon completion of the 1999 Merger, these shares of Company Common Stock were repurchased by the Company.</w:t>
      </w:r>
    </w:p>
    <w:p>
      <w:pPr>
        <w:spacing w:after="0" w:line="59" w:lineRule="exact"/>
        <w:rPr>
          <w:sz w:val="20"/>
          <w:szCs w:val="20"/>
          <w:color w:val="auto"/>
        </w:rPr>
      </w:pPr>
    </w:p>
    <w:p>
      <w:pPr>
        <w:ind w:right="3359" w:firstLine="763"/>
        <w:spacing w:after="0" w:line="258" w:lineRule="auto"/>
        <w:rPr>
          <w:sz w:val="20"/>
          <w:szCs w:val="20"/>
          <w:color w:val="auto"/>
        </w:rPr>
      </w:pPr>
      <w:r>
        <w:rPr>
          <w:rFonts w:ascii="Courier New" w:cs="Courier New" w:eastAsia="Courier New" w:hAnsi="Courier New"/>
          <w:sz w:val="14"/>
          <w:szCs w:val="14"/>
          <w:color w:val="auto"/>
        </w:rPr>
        <w:t>The Company sold $40.0 million aggregate principal amount of the MDP Notes, pursuant to the terms of a Note Purchase Agreement, dated December 31, 1998, by and between the Company and MDP. The first $20.0 million tranche closed on December 31, 1998, and the second $20.0 million tranche closed on January 29, 1999, resulting in aggregate proceeds to the Company of $40.0 million. The notes bear interest at 9.5% per annum and are due December 31, 2008. The notes are convertible into shares of common stock at a conversion price of approximately $23.63 per share, as adjusted under the terms of the Note Purchase Agreement. The Company also entered into a Registration Rights Agreement with MDP regarding the registration of the shares of the Company's Common Stock to be issued to MDP upon the conversion of the notes.</w:t>
      </w:r>
    </w:p>
    <w:p>
      <w:pPr>
        <w:spacing w:after="0" w:line="82" w:lineRule="exact"/>
        <w:rPr>
          <w:sz w:val="20"/>
          <w:szCs w:val="20"/>
          <w:color w:val="auto"/>
        </w:rPr>
      </w:pPr>
    </w:p>
    <w:p>
      <w:pPr>
        <w:ind w:right="3459" w:firstLine="763"/>
        <w:spacing w:after="0" w:line="266" w:lineRule="auto"/>
        <w:rPr>
          <w:sz w:val="20"/>
          <w:szCs w:val="20"/>
          <w:color w:val="auto"/>
        </w:rPr>
      </w:pPr>
      <w:r>
        <w:rPr>
          <w:rFonts w:ascii="Courier New" w:cs="Courier New" w:eastAsia="Courier New" w:hAnsi="Courier New"/>
          <w:sz w:val="14"/>
          <w:szCs w:val="14"/>
          <w:color w:val="auto"/>
        </w:rPr>
        <w:t>In connection with the 1999 Merger, the Company issued $30.0 million aggregate principal amount 7.5% convertible, subordinated notes, due February 28, 2005, to PMI Mezzanine Fund, L.P. The notes, which replace the convertible, subordinated notes previously issued by Old CCA on February 29, 1996, are currently convertible into the Company's Common Stock at a conversion price of $23.63 per share, as adjusted pursuant to the terms of the notes. The Company received no cash proceeds from the issuance of the notes.</w:t>
      </w:r>
    </w:p>
    <w:p>
      <w:pPr>
        <w:spacing w:after="0" w:line="74" w:lineRule="exact"/>
        <w:rPr>
          <w:sz w:val="20"/>
          <w:szCs w:val="20"/>
          <w:color w:val="auto"/>
        </w:rPr>
      </w:pPr>
    </w:p>
    <w:p>
      <w:pPr>
        <w:ind w:right="3539" w:firstLine="763"/>
        <w:spacing w:after="0" w:line="259" w:lineRule="auto"/>
        <w:rPr>
          <w:sz w:val="20"/>
          <w:szCs w:val="20"/>
          <w:color w:val="auto"/>
        </w:rPr>
      </w:pPr>
      <w:r>
        <w:rPr>
          <w:rFonts w:ascii="Courier New" w:cs="Courier New" w:eastAsia="Courier New" w:hAnsi="Courier New"/>
          <w:sz w:val="14"/>
          <w:szCs w:val="14"/>
          <w:color w:val="auto"/>
        </w:rPr>
        <w:t>Also in connection with the 1999 Merger, the Company assumed: (i) the 1996 Sodexho Convertible Notes, which, upon assumption, were convertible into 701,135 shares of Common Stock at a conversion price of $28.53 per share; and</w:t>
      </w:r>
    </w:p>
    <w:p>
      <w:pPr>
        <w:spacing w:after="0" w:line="2" w:lineRule="exact"/>
        <w:rPr>
          <w:sz w:val="20"/>
          <w:szCs w:val="20"/>
          <w:color w:val="auto"/>
        </w:rPr>
      </w:pPr>
    </w:p>
    <w:p>
      <w:pPr>
        <w:ind w:right="3459" w:firstLine="7"/>
        <w:spacing w:after="0" w:line="327" w:lineRule="auto"/>
        <w:tabs>
          <w:tab w:leader="none" w:pos="42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$7.0 million 8.5% Convertible Subordinated Notes due November 7, 1999, originally issued to</w:t>
      </w:r>
    </w:p>
    <w:p>
      <w:pPr>
        <w:spacing w:after="0" w:line="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159"/>
          </w:cols>
          <w:pgMar w:left="300" w:top="25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50</w:t>
      </w:r>
    </w:p>
    <w:p>
      <w:pPr>
        <w:spacing w:after="0" w:line="200" w:lineRule="exact"/>
        <w:rPr>
          <w:sz w:val="20"/>
          <w:szCs w:val="20"/>
          <w:color w:val="auto"/>
        </w:rPr>
      </w:pPr>
    </w:p>
    <w:p>
      <w:pPr>
        <w:spacing w:after="0" w:line="294"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Sodexho by CCA on June 23, 1994 (the "1994 Sodexho Convertible Notes"), which, upon assumption, were convertible into 1,709,699 shares of the Company's Common Stock at a conversion price of $4.09 per share. The Company also assumed Old CCA's obligations under a forward contract between Old CCA and Sodexho (the "Sodexho Forward Contract"), in which Old CCA had agreed to sell to Sodexho up to $20.0 million of convertible, subordinated notes, bearing interest at LIBOR plus 1.35%, at any time prior to December 1999, which, upon assumption, were convertible into 2,564,103 shares of Common Stock at a conversion price of $7.80 per share. The Company received no cash proceeds from the assumption of these notes and the assumption of Old CCA's obligations under the Sodexho Forward Contract.</w:t>
      </w:r>
    </w:p>
    <w:p>
      <w:pPr>
        <w:spacing w:after="0" w:line="82" w:lineRule="exact"/>
        <w:rPr>
          <w:sz w:val="20"/>
          <w:szCs w:val="20"/>
          <w:color w:val="auto"/>
        </w:rPr>
      </w:pPr>
    </w:p>
    <w:p>
      <w:pPr>
        <w:ind w:right="3539" w:firstLine="763"/>
        <w:spacing w:after="0" w:line="257" w:lineRule="auto"/>
        <w:rPr>
          <w:sz w:val="20"/>
          <w:szCs w:val="20"/>
          <w:color w:val="auto"/>
        </w:rPr>
      </w:pPr>
      <w:r>
        <w:rPr>
          <w:rFonts w:ascii="Courier New" w:cs="Courier New" w:eastAsia="Courier New" w:hAnsi="Courier New"/>
          <w:sz w:val="14"/>
          <w:szCs w:val="14"/>
          <w:color w:val="auto"/>
        </w:rPr>
        <w:t>On January 6, 1999, the Company issued a total of 1,410 shares of Common Stock to eight non-employee directors of the Company. These shares were issued to these directors in satisfaction of Old Prison Realty's obligations under the Old Prison Realty Non-Employee Trustees' Compensation Plan, under which these individuals, previously trustees of Old Prison Realty, opted to receive Old Prison Realty common shares in lieu of certain trustees' fees. On January 29, 1999, the Company issued 75,717 shares of Common Stock to a former director of Old CCA in satisfaction of its obligations under the Old CCA Non-Employee Directors' Stock Option Plan, which was assumed by the Company in the Merger. These shares of Common Stock were valued based on market prices of the Common Stock on the NYSE. The Company received no cash proceeds from the issuance of these shares of Common Stock.</w:t>
      </w:r>
    </w:p>
    <w:p>
      <w:pPr>
        <w:spacing w:after="0" w:line="82" w:lineRule="exact"/>
        <w:rPr>
          <w:sz w:val="20"/>
          <w:szCs w:val="20"/>
          <w:color w:val="auto"/>
        </w:rPr>
      </w:pPr>
    </w:p>
    <w:p>
      <w:pPr>
        <w:ind w:right="3359" w:firstLine="763"/>
        <w:spacing w:after="0" w:line="261" w:lineRule="auto"/>
        <w:rPr>
          <w:sz w:val="20"/>
          <w:szCs w:val="20"/>
          <w:color w:val="auto"/>
        </w:rPr>
      </w:pPr>
      <w:r>
        <w:rPr>
          <w:rFonts w:ascii="Courier New" w:cs="Courier New" w:eastAsia="Courier New" w:hAnsi="Courier New"/>
          <w:sz w:val="14"/>
          <w:szCs w:val="14"/>
          <w:color w:val="auto"/>
        </w:rPr>
        <w:t>On March 8, 1999, the Company, in satisfaction of its obligations under the Sodexho Forward Contract, issued the $20.0 million Sodexho Floating Rate Convertible Note, due March 8, 2004, in consideration of cash proceeds of $20.0 million. Immediately after issuance of the Sodexho Floating Rate Convertible Note, the Company, pursuant to Sodexho's exercise of its conversion option, converted the 1996 Sodexho Convertible Notes, the 1994 Sodexho Convertible Notes and the Sodexho Floating Rate Convertible Note into 4,974,937 shares of the Company's Common Stock. The Company received no proceeds from the issuance of these shares of the Company's Common Stock to Sodexho.</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PROCEEDS FROM THE SALE OF REGISTERED SECURITIES</w:t>
      </w:r>
    </w:p>
    <w:p>
      <w:pPr>
        <w:spacing w:after="0" w:line="168" w:lineRule="exact"/>
        <w:rPr>
          <w:sz w:val="20"/>
          <w:szCs w:val="20"/>
          <w:color w:val="auto"/>
        </w:rPr>
      </w:pPr>
    </w:p>
    <w:p>
      <w:pPr>
        <w:ind w:right="3359" w:firstLine="763"/>
        <w:spacing w:after="0" w:line="263" w:lineRule="auto"/>
        <w:rPr>
          <w:sz w:val="20"/>
          <w:szCs w:val="20"/>
          <w:color w:val="auto"/>
        </w:rPr>
      </w:pPr>
      <w:r>
        <w:rPr>
          <w:rFonts w:ascii="Courier New" w:cs="Courier New" w:eastAsia="Courier New" w:hAnsi="Courier New"/>
          <w:sz w:val="14"/>
          <w:szCs w:val="14"/>
          <w:color w:val="auto"/>
        </w:rPr>
        <w:t>The following description sets forth certain sales or other issuances of registered securities by each of Old CCA, Old Prison Realty and the Company, as well as the application of the proceeds from such sales. Unless otherwise indicated, no underwriters were engaged in connection with the issuances of securities described below. In connection with the 1999 Merger, all outstanding shares of Old CCA common stock, all outstanding Old Prison Realty common shares and all outstanding Old Prison Realty preferred shares were exchanged for shares of the Company pursuant to the Registration Statement on Form S-4.</w:t>
      </w:r>
    </w:p>
    <w:p>
      <w:pPr>
        <w:spacing w:after="0" w:line="77" w:lineRule="exact"/>
        <w:rPr>
          <w:sz w:val="20"/>
          <w:szCs w:val="20"/>
          <w:color w:val="auto"/>
        </w:rPr>
      </w:pPr>
    </w:p>
    <w:p>
      <w:pPr>
        <w:ind w:right="3359" w:firstLine="763"/>
        <w:spacing w:after="0" w:line="258" w:lineRule="auto"/>
        <w:rPr>
          <w:sz w:val="20"/>
          <w:szCs w:val="20"/>
          <w:color w:val="auto"/>
        </w:rPr>
      </w:pPr>
      <w:r>
        <w:rPr>
          <w:rFonts w:ascii="Courier New" w:cs="Courier New" w:eastAsia="Courier New" w:hAnsi="Courier New"/>
          <w:sz w:val="14"/>
          <w:szCs w:val="14"/>
          <w:color w:val="auto"/>
        </w:rPr>
        <w:t>OLD CCA OFFERING OF COMMON STOCK ON A CONTINUOUS AND DELAYED BASIS. On November 4, 1998, Old CCA filed a Registration Statement on Form S-3 (Reg. no. 333-66783), to register up to 2,981,978 shares of Old CCA common stock for sale on a continuous and delayed basis using a "shelf" registration process. During December 1998, Old CCA, in a series of private placements, sold 2,882,296 shares of Old CCA common stock to institutional investors pursuant to this registration statement, which was declared effective by the Commission on November 16, 1998. The cash proceeds to Old CCA from these sales were approximately $65.5 million, and these proceeds were utilized by Old CCA for general corporate purposes, including the repayment of indebtedness, financing capital expenditures and working capital.</w:t>
      </w:r>
    </w:p>
    <w:p>
      <w:pPr>
        <w:spacing w:after="0" w:line="82" w:lineRule="exact"/>
        <w:rPr>
          <w:sz w:val="20"/>
          <w:szCs w:val="20"/>
          <w:color w:val="auto"/>
        </w:rPr>
      </w:pPr>
    </w:p>
    <w:p>
      <w:pPr>
        <w:ind w:right="3359" w:firstLine="848"/>
        <w:spacing w:after="0" w:line="258" w:lineRule="auto"/>
        <w:rPr>
          <w:sz w:val="20"/>
          <w:szCs w:val="20"/>
          <w:color w:val="auto"/>
        </w:rPr>
      </w:pPr>
      <w:r>
        <w:rPr>
          <w:rFonts w:ascii="Courier New" w:cs="Courier New" w:eastAsia="Courier New" w:hAnsi="Courier New"/>
          <w:sz w:val="14"/>
          <w:szCs w:val="14"/>
          <w:color w:val="auto"/>
        </w:rPr>
        <w:t>OLD PRISON REALTY OFFERING OF OLD PRISON REALTY 8.0% SERIES A PREFERRED STOCK AND OFFERING OF COMMON SHARES ON A CONTINUOUS AND DELAYED BASIS. On January 30, 1998, pursuant to Old Prison Realty's Registration Statement on Form S-11 (Reg. no. 333-43935), declared effective by the Commission on January 26, 1998, Old Prison Realty completed an offering of 4,300,000 shares Old Prison Realty 8.0% series A preferred stock (including 300,000 Old Prison Realty series A preferred stock issued as a result of the exercise of an over-allotment option by the underwriters), at a price of $25.00 per share. The Old Prison Realty series A preferred stock was redeemable at any time on or after January 30, 2003, at $25.00 per share, plus dividends accrued and unpaid to the redemption date. The Old</w:t>
      </w:r>
    </w:p>
    <w:p>
      <w:pPr>
        <w:spacing w:after="0" w:line="8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159"/>
          </w:cols>
          <w:pgMar w:left="300" w:top="257"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51</w:t>
      </w:r>
    </w:p>
    <w:p>
      <w:pPr>
        <w:spacing w:after="0" w:line="200" w:lineRule="exact"/>
        <w:rPr>
          <w:sz w:val="20"/>
          <w:szCs w:val="20"/>
          <w:color w:val="auto"/>
        </w:rPr>
      </w:pPr>
    </w:p>
    <w:p>
      <w:pPr>
        <w:spacing w:after="0" w:line="29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Prison Realty series A preferred stock had no stated maturity, sinking fund provision or mandatory redemption and was not convertible into any other securities of Old Prison Realty. Dividends on the Old Prison Realty series A preferred stock were cumulative from the date of original issue of such shares and were payable quarterly in arrears on the 15th day of January, April, July and October of each year, to shareholders of record on the last day of March, June, September and December of each year, respectively, at a fixed annual rate of 8.0%. The shares were listed on the Exchange under the symbol "PZN PrA." The offering of the Old Prison Realty series A preferred stock was underwritten by a syndicate of underwriters lead managed by J.C. Bradford &amp; Co., NationsBanc Montgomery Securities LLC, PaineWebber Incorporated, Stephens Inc. and Wheat First Butcher Singer. The gross proceeds from the sale of the Old Prison Realty series A preferred stock were approximately $107.5 million, generating net proceeds to Old Prison Realty of approximately $103.5 million after deduction of the underwriting discount and estimated offering expenses. Old Prison Realty used approximately $72.7 million of the net proceeds to repay outstanding indebtedness under its existing bank credit facility. The balance was used to make future acquisitions of correctional and detention facilities and for general corporate purposes. Pursuant to the requirements of the SEC, Old CCA was required to act as a co-registrant on this registration statement (Reg. no.</w:t>
      </w:r>
    </w:p>
    <w:p>
      <w:pPr>
        <w:spacing w:after="0" w:line="10" w:lineRule="exact"/>
        <w:rPr>
          <w:sz w:val="20"/>
          <w:szCs w:val="20"/>
          <w:color w:val="auto"/>
        </w:rPr>
      </w:pPr>
    </w:p>
    <w:p>
      <w:pPr>
        <w:ind w:right="3879"/>
        <w:spacing w:after="0" w:line="327" w:lineRule="auto"/>
        <w:rPr>
          <w:sz w:val="20"/>
          <w:szCs w:val="20"/>
          <w:color w:val="auto"/>
        </w:rPr>
      </w:pPr>
      <w:r>
        <w:rPr>
          <w:rFonts w:ascii="Courier New" w:cs="Courier New" w:eastAsia="Courier New" w:hAnsi="Courier New"/>
          <w:sz w:val="14"/>
          <w:szCs w:val="14"/>
          <w:color w:val="auto"/>
        </w:rPr>
        <w:t>333-43935-01) with respect to this offering. Old CCA, however, received no proceeds from this offering.</w:t>
      </w:r>
    </w:p>
    <w:p>
      <w:pPr>
        <w:spacing w:after="0" w:line="31" w:lineRule="exact"/>
        <w:rPr>
          <w:sz w:val="20"/>
          <w:szCs w:val="20"/>
          <w:color w:val="auto"/>
        </w:rPr>
      </w:pPr>
    </w:p>
    <w:p>
      <w:pPr>
        <w:ind w:right="3359" w:firstLine="763"/>
        <w:spacing w:after="0" w:line="248" w:lineRule="auto"/>
        <w:rPr>
          <w:sz w:val="20"/>
          <w:szCs w:val="20"/>
          <w:color w:val="auto"/>
        </w:rPr>
      </w:pPr>
      <w:r>
        <w:rPr>
          <w:rFonts w:ascii="Courier New" w:cs="Courier New" w:eastAsia="Courier New" w:hAnsi="Courier New"/>
          <w:sz w:val="14"/>
          <w:szCs w:val="14"/>
          <w:color w:val="auto"/>
        </w:rPr>
        <w:t>On September 16, 1998, Old Prison Realty filed a Registration Statement on Form S-3 (Reg. no. 333-63475) with the Commission to register an aggregate of $500.0 million in value of Old Prison Realty common shares, preferred shares and common share rights or warrants. Pursuant to this registration statement, which became effective as of October 14, 1998, Old Prison Realty issued 324,000 of Old Prison Realty common shares to certain trustees and officers of Old Prison Realty in a series of private placements, resulting in aggregate cash proceeds to Old Prison Realty of approximately $6.9 million. Old Prison Realty used these proceeds to reimburse the cost of a like number of Old Prison Realty common shares purchased by Old Prison Realty on the open market. Prison Realty also issued a total of 3,732,542 Old Prison Realty common shares to institutional investors in a series of private placements pursuant to this registration statement, resulting in aggregate cash proceeds to Old Prison Realty of $85.0 million. These proceeds were used by Old Prison Realty for general corporate purposes, including, among others, repaying its obligations as they became due, redeeming its outstanding indebtedness, capital expenditures and working capital. Pursuant to the requirements of the SEC, Old CCA was required to act as a co-registrant on Old Prison Realty's registration statement (Reg. no.</w:t>
      </w:r>
    </w:p>
    <w:p>
      <w:pPr>
        <w:spacing w:after="0" w:line="11" w:lineRule="exact"/>
        <w:rPr>
          <w:sz w:val="20"/>
          <w:szCs w:val="20"/>
          <w:color w:val="auto"/>
        </w:rPr>
      </w:pPr>
    </w:p>
    <w:p>
      <w:pPr>
        <w:ind w:right="3879"/>
        <w:spacing w:after="0" w:line="327" w:lineRule="auto"/>
        <w:rPr>
          <w:sz w:val="20"/>
          <w:szCs w:val="20"/>
          <w:color w:val="auto"/>
        </w:rPr>
      </w:pPr>
      <w:r>
        <w:rPr>
          <w:rFonts w:ascii="Courier New" w:cs="Courier New" w:eastAsia="Courier New" w:hAnsi="Courier New"/>
          <w:sz w:val="14"/>
          <w:szCs w:val="14"/>
          <w:color w:val="auto"/>
        </w:rPr>
        <w:t>33-63475- 01) with respect to this offering. Old CCA, however, received no proceeds from this offering.</w:t>
      </w:r>
    </w:p>
    <w:p>
      <w:pPr>
        <w:spacing w:after="0" w:line="31" w:lineRule="exact"/>
        <w:rPr>
          <w:sz w:val="20"/>
          <w:szCs w:val="20"/>
          <w:color w:val="auto"/>
        </w:rPr>
      </w:pPr>
    </w:p>
    <w:p>
      <w:pPr>
        <w:ind w:right="3359" w:firstLine="763"/>
        <w:spacing w:after="0" w:line="253" w:lineRule="auto"/>
        <w:rPr>
          <w:sz w:val="20"/>
          <w:szCs w:val="20"/>
          <w:color w:val="auto"/>
        </w:rPr>
      </w:pPr>
      <w:r>
        <w:rPr>
          <w:rFonts w:ascii="Courier New" w:cs="Courier New" w:eastAsia="Courier New" w:hAnsi="Courier New"/>
          <w:sz w:val="14"/>
          <w:szCs w:val="14"/>
          <w:color w:val="auto"/>
        </w:rPr>
        <w:t>THE COMPANY'S ISSUANCE OF CAPITAL STOCK IN 1999. In the 1999 Merger, the Company issued 105,272,183 shares of Common Stock in exchange for all outstanding shares of Old CCA common stock and all outstanding Old Prison Realty common shares pursuant to the Registration Statement on Form S-4. In the 1999 Merger, each outstanding share of Old CCA common stock was converted into the right to receive .875 share of the Company's Common Stock, and each outstanding Prison Realty common share was converted into 1.0 share of the Company's Common Stock. The Company also issued 4,300,00 shares of Series A Preferred Stock in exchange for all outstanding Old Prison Realty Preferred Shares in the 1999 Merger. In the Merger, each outstanding share of Old Prison Realty Series A Preferred Stock was converted into 1.0 share of the Company's Series A Preferred Stock with identical liquidation preferences and dividend and redemption rights. The Company received no proceeds from this exchange. In connection with the 1999 Merger, Stephens Inc. provided an opinion to the board of directors of Old CCA that the 1999 Merger was fair, from a financial point of view, to Old CCA and its shareholders, and J.C. Bradford &amp; Co., LLC, provided an opinion to the board of trustees of Old Prison Realty that the 1999 Merger was fair, from a financial point of view, to Old Prison Realty and its shareholders.</w:t>
      </w:r>
    </w:p>
    <w:p>
      <w:pPr>
        <w:spacing w:after="0" w:line="89" w:lineRule="exact"/>
        <w:rPr>
          <w:sz w:val="20"/>
          <w:szCs w:val="20"/>
          <w:color w:val="auto"/>
        </w:rPr>
      </w:pPr>
    </w:p>
    <w:p>
      <w:pPr>
        <w:ind w:right="3459" w:firstLine="763"/>
        <w:spacing w:after="0" w:line="261" w:lineRule="auto"/>
        <w:rPr>
          <w:sz w:val="20"/>
          <w:szCs w:val="20"/>
          <w:color w:val="auto"/>
        </w:rPr>
      </w:pPr>
      <w:r>
        <w:rPr>
          <w:rFonts w:ascii="Courier New" w:cs="Courier New" w:eastAsia="Courier New" w:hAnsi="Courier New"/>
          <w:sz w:val="14"/>
          <w:szCs w:val="14"/>
          <w:color w:val="auto"/>
        </w:rPr>
        <w:t>On January 11, 1999, the Company filed the Shelf Registration Statement, which became effective on January 19, 1999 with the Commission to register an aggregate of $1.5 billion in value of the Company's Common Stock, preferred stock, Common Stock purchase rights, debt securities and warrants for sale on a continuous or delayed basis. As of March 15, 2000, the Company has sold approximately 6.7 million shares of the Company's Common Stock under the Shelf Registration Statement, resulting in net proceeds of approximately $120.4 million. These net proceeds have been used by the Company for general corporate purposes, including, among others, repaying its obligations as they</w:t>
      </w:r>
    </w:p>
    <w:p>
      <w:pPr>
        <w:spacing w:after="0" w:line="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159"/>
          </w:cols>
          <w:pgMar w:left="300" w:top="257"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52</w:t>
      </w:r>
    </w:p>
    <w:p>
      <w:pPr>
        <w:spacing w:after="0" w:line="200" w:lineRule="exact"/>
        <w:rPr>
          <w:sz w:val="20"/>
          <w:szCs w:val="20"/>
          <w:color w:val="auto"/>
        </w:rPr>
      </w:pPr>
    </w:p>
    <w:p>
      <w:pPr>
        <w:spacing w:after="0" w:line="294" w:lineRule="exact"/>
        <w:rPr>
          <w:sz w:val="20"/>
          <w:szCs w:val="20"/>
          <w:color w:val="auto"/>
        </w:rPr>
      </w:pPr>
    </w:p>
    <w:p>
      <w:pPr>
        <w:jc w:val="both"/>
        <w:ind w:right="3539"/>
        <w:spacing w:after="0" w:line="306" w:lineRule="auto"/>
        <w:rPr>
          <w:sz w:val="20"/>
          <w:szCs w:val="20"/>
          <w:color w:val="auto"/>
        </w:rPr>
      </w:pPr>
      <w:r>
        <w:rPr>
          <w:rFonts w:ascii="Courier New" w:cs="Courier New" w:eastAsia="Courier New" w:hAnsi="Courier New"/>
          <w:sz w:val="14"/>
          <w:szCs w:val="14"/>
          <w:color w:val="auto"/>
        </w:rPr>
        <w:t>become due, redeeming its outstanding indebtedness, financing, all or in part, future purchases of real estate properties meeting its business objectives and strategies, capital expenditures and working capital.</w:t>
      </w:r>
    </w:p>
    <w:p>
      <w:pPr>
        <w:spacing w:after="0" w:line="46" w:lineRule="exact"/>
        <w:rPr>
          <w:sz w:val="20"/>
          <w:szCs w:val="20"/>
          <w:color w:val="auto"/>
        </w:rPr>
      </w:pPr>
    </w:p>
    <w:p>
      <w:pPr>
        <w:ind w:right="3359" w:firstLine="763"/>
        <w:spacing w:after="0" w:line="266" w:lineRule="auto"/>
        <w:rPr>
          <w:sz w:val="20"/>
          <w:szCs w:val="20"/>
          <w:color w:val="auto"/>
        </w:rPr>
      </w:pPr>
      <w:r>
        <w:rPr>
          <w:rFonts w:ascii="Courier New" w:cs="Courier New" w:eastAsia="Courier New" w:hAnsi="Courier New"/>
          <w:sz w:val="14"/>
          <w:szCs w:val="14"/>
          <w:color w:val="auto"/>
        </w:rPr>
        <w:t>On June 11, 1999, the Company completed its offering of $100.0 million aggregate principal amount of the Senior Notes. The offering of the Senior Notes was underwritten by Lehman Brothers, Inc. Net proceeds from the offering were approximately $95.0 million after deducting expenses payable by the Company in connection with the offering. The Company used the net proceeds from the sale of the Senior Notes for general corporate purposes and to repay revolving bank borrowings under its existing bank credit facility.</w:t>
      </w:r>
    </w:p>
    <w:p>
      <w:pPr>
        <w:spacing w:after="0" w:line="74" w:lineRule="exact"/>
        <w:rPr>
          <w:sz w:val="20"/>
          <w:szCs w:val="20"/>
          <w:color w:val="auto"/>
        </w:rPr>
      </w:pPr>
    </w:p>
    <w:p>
      <w:pPr>
        <w:ind w:right="3459" w:firstLine="763"/>
        <w:spacing w:after="0" w:line="270" w:lineRule="auto"/>
        <w:rPr>
          <w:sz w:val="20"/>
          <w:szCs w:val="20"/>
          <w:color w:val="auto"/>
        </w:rPr>
      </w:pPr>
      <w:r>
        <w:rPr>
          <w:rFonts w:ascii="Courier New" w:cs="Courier New" w:eastAsia="Courier New" w:hAnsi="Courier New"/>
          <w:sz w:val="14"/>
          <w:szCs w:val="14"/>
          <w:color w:val="auto"/>
        </w:rPr>
        <w:t>On May 14, 1999, the Company registered 10.0 million shares of the Company's Common Stock for issuance under the Company's DRSPP. As of March 15, 2000, the Company has issued 1,261,432 shares under the DRSPP with 1,252,994 of these shares issued under the DRSPP's optional cash feature resulting in proceeds of approximately $12.3 million. The Company has temporarily suspended the DRSPP pending the completion of the Restructuring and related transactions.</w:t>
      </w:r>
    </w:p>
    <w:p>
      <w:pPr>
        <w:spacing w:after="0" w:line="39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159"/>
          </w:cols>
          <w:pgMar w:left="300" w:top="257"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68" w:lineRule="exact"/>
        <w:rPr>
          <w:sz w:val="20"/>
          <w:szCs w:val="20"/>
          <w:color w:val="auto"/>
        </w:rPr>
      </w:pPr>
    </w:p>
    <w:p>
      <w:pPr>
        <w:ind w:right="3459" w:firstLine="424"/>
        <w:spacing w:after="0" w:line="266" w:lineRule="auto"/>
        <w:rPr>
          <w:sz w:val="20"/>
          <w:szCs w:val="20"/>
          <w:color w:val="auto"/>
        </w:rPr>
      </w:pPr>
      <w:r>
        <w:rPr>
          <w:rFonts w:ascii="Courier New" w:cs="Courier New" w:eastAsia="Courier New" w:hAnsi="Courier New"/>
          <w:sz w:val="14"/>
          <w:szCs w:val="14"/>
          <w:color w:val="auto"/>
        </w:rPr>
        <w:t>The following selected financial data for the year ended December 31, 1999 were derived from the audited consolidated financial statements of the Company and the related notes thereto included elsewhere in this Annual Report. The following selected financial data for the four years ended December 31, 1998, December 31, 1997, December 31, 1996 and December 31, 1995, presents Old CCA's historical selected results of operations prior to and through the date of the 1999 Merger.</w:t>
      </w:r>
    </w:p>
    <w:p>
      <w:pPr>
        <w:spacing w:after="0" w:line="237"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PRISON REALTY TRUST, INC.</w:t>
      </w:r>
    </w:p>
    <w:p>
      <w:pPr>
        <w:spacing w:after="0" w:line="30"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SELECTED HISTORICAL FINANCIAL INFORMATION</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5"/>
          </w:tcPr>
          <w:p>
            <w:pPr>
              <w:jc w:val="right"/>
              <w:ind w:right="429"/>
              <w:spacing w:after="0"/>
              <w:rPr>
                <w:sz w:val="20"/>
                <w:szCs w:val="20"/>
                <w:color w:val="auto"/>
              </w:rPr>
            </w:pPr>
            <w:r>
              <w:rPr>
                <w:rFonts w:ascii="Courier New" w:cs="Courier New" w:eastAsia="Courier New" w:hAnsi="Courier New"/>
                <w:sz w:val="14"/>
                <w:szCs w:val="14"/>
                <w:color w:val="auto"/>
              </w:rPr>
              <w:t>YEAR ENDED DECEMBER 31,</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5"/>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21"/>
                <w:szCs w:val="21"/>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1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21"/>
                <w:szCs w:val="21"/>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1996</w:t>
            </w:r>
          </w:p>
        </w:tc>
        <w:tc>
          <w:tcPr>
            <w:tcW w:w="160" w:type="dxa"/>
            <w:vAlign w:val="bottom"/>
          </w:tcPr>
          <w:p>
            <w:pPr>
              <w:spacing w:after="0"/>
              <w:rPr>
                <w:sz w:val="21"/>
                <w:szCs w:val="21"/>
                <w:color w:val="auto"/>
              </w:rPr>
            </w:pP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p>
        </w:tc>
        <w:tc>
          <w:tcPr>
            <w:tcW w:w="21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489"/>
        </w:trPr>
        <w:tc>
          <w:tcPr>
            <w:tcW w:w="212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1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1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$ 285,718</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$ 662,059</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$ 462,249</w:t>
            </w:r>
          </w:p>
        </w:tc>
        <w:tc>
          <w:tcPr>
            <w:tcW w:w="9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$292,513</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$207,241</w:t>
            </w: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p>
        </w:tc>
        <w:tc>
          <w:tcPr>
            <w:tcW w:w="21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21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280" w:type="dxa"/>
            <w:vAlign w:val="bottom"/>
          </w:tcPr>
          <w:p>
            <w:pPr>
              <w:spacing w:after="0"/>
              <w:rPr>
                <w:sz w:val="21"/>
                <w:szCs w:val="21"/>
                <w:color w:val="auto"/>
              </w:rPr>
            </w:pPr>
          </w:p>
        </w:tc>
        <w:tc>
          <w:tcPr>
            <w:tcW w:w="84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1"/>
                <w:szCs w:val="21"/>
                <w:color w:val="auto"/>
              </w:rPr>
            </w:pPr>
          </w:p>
        </w:tc>
        <w:tc>
          <w:tcPr>
            <w:tcW w:w="7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8"/>
              </w:rPr>
              <w:t>496,522</w:t>
            </w:r>
          </w:p>
        </w:tc>
        <w:tc>
          <w:tcPr>
            <w:tcW w:w="1100" w:type="dxa"/>
            <w:vAlign w:val="bottom"/>
            <w:gridSpan w:val="2"/>
            <w:vMerge w:val="restart"/>
          </w:tcPr>
          <w:p>
            <w:pPr>
              <w:jc w:val="right"/>
              <w:ind w:right="89"/>
              <w:spacing w:after="0"/>
              <w:rPr>
                <w:sz w:val="20"/>
                <w:szCs w:val="20"/>
                <w:color w:val="auto"/>
              </w:rPr>
            </w:pPr>
            <w:r>
              <w:rPr>
                <w:rFonts w:ascii="Courier New" w:cs="Courier New" w:eastAsia="Courier New" w:hAnsi="Courier New"/>
                <w:sz w:val="14"/>
                <w:szCs w:val="14"/>
                <w:color w:val="auto"/>
              </w:rPr>
              <w:t>330,470</w:t>
            </w:r>
          </w:p>
        </w:tc>
        <w:tc>
          <w:tcPr>
            <w:tcW w:w="940" w:type="dxa"/>
            <w:vAlign w:val="bottom"/>
            <w:gridSpan w:val="2"/>
            <w:vMerge w:val="restart"/>
          </w:tcPr>
          <w:p>
            <w:pPr>
              <w:jc w:val="right"/>
              <w:ind w:right="89"/>
              <w:spacing w:after="0"/>
              <w:rPr>
                <w:sz w:val="20"/>
                <w:szCs w:val="20"/>
                <w:color w:val="auto"/>
              </w:rPr>
            </w:pPr>
            <w:r>
              <w:rPr>
                <w:rFonts w:ascii="Courier New" w:cs="Courier New" w:eastAsia="Courier New" w:hAnsi="Courier New"/>
                <w:sz w:val="14"/>
                <w:szCs w:val="14"/>
                <w:color w:val="auto"/>
              </w:rPr>
              <w:t>211,208</w:t>
            </w:r>
          </w:p>
        </w:tc>
        <w:tc>
          <w:tcPr>
            <w:tcW w:w="160" w:type="dxa"/>
            <w:vAlign w:val="bottom"/>
          </w:tcPr>
          <w:p>
            <w:pPr>
              <w:spacing w:after="0"/>
              <w:rPr>
                <w:sz w:val="21"/>
                <w:szCs w:val="21"/>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153,692</w:t>
            </w:r>
          </w:p>
        </w:tc>
        <w:tc>
          <w:tcPr>
            <w:tcW w:w="0" w:type="dxa"/>
            <w:vAlign w:val="bottom"/>
          </w:tcPr>
          <w:p>
            <w:pPr>
              <w:spacing w:after="0"/>
              <w:rPr>
                <w:sz w:val="1"/>
                <w:szCs w:val="1"/>
                <w:color w:val="auto"/>
              </w:rPr>
            </w:pPr>
          </w:p>
        </w:tc>
      </w:tr>
      <w:tr>
        <w:trPr>
          <w:trHeight w:val="163"/>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Operating</w:t>
            </w:r>
          </w:p>
        </w:tc>
        <w:tc>
          <w:tcPr>
            <w:tcW w:w="1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Lease</w:t>
            </w:r>
          </w:p>
        </w:tc>
        <w:tc>
          <w:tcPr>
            <w:tcW w:w="128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58,018</w:t>
            </w:r>
          </w:p>
        </w:tc>
        <w:tc>
          <w:tcPr>
            <w:tcW w:w="4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18,684</w:t>
            </w:r>
          </w:p>
        </w:tc>
        <w:tc>
          <w:tcPr>
            <w:tcW w:w="2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2,786</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5,904</w:t>
            </w:r>
          </w:p>
        </w:tc>
        <w:tc>
          <w:tcPr>
            <w:tcW w:w="0" w:type="dxa"/>
            <w:vAlign w:val="bottom"/>
          </w:tcPr>
          <w:p>
            <w:pPr>
              <w:spacing w:after="0"/>
              <w:rPr>
                <w:sz w:val="1"/>
                <w:szCs w:val="1"/>
                <w:color w:val="auto"/>
              </w:rPr>
            </w:pPr>
          </w:p>
        </w:tc>
      </w:tr>
      <w:tr>
        <w:trPr>
          <w:trHeight w:val="163"/>
        </w:trPr>
        <w:tc>
          <w:tcPr>
            <w:tcW w:w="3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General and administrative</w:t>
            </w: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24,125</w:t>
            </w:r>
          </w:p>
        </w:tc>
        <w:tc>
          <w:tcPr>
            <w:tcW w:w="2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28,628</w:t>
            </w:r>
          </w:p>
        </w:tc>
        <w:tc>
          <w:tcPr>
            <w:tcW w:w="4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16,025</w:t>
            </w:r>
          </w:p>
        </w:tc>
        <w:tc>
          <w:tcPr>
            <w:tcW w:w="2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12,607</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13,506</w:t>
            </w:r>
          </w:p>
        </w:tc>
        <w:tc>
          <w:tcPr>
            <w:tcW w:w="0" w:type="dxa"/>
            <w:vAlign w:val="bottom"/>
          </w:tcPr>
          <w:p>
            <w:pPr>
              <w:spacing w:after="0"/>
              <w:rPr>
                <w:sz w:val="1"/>
                <w:szCs w:val="1"/>
                <w:color w:val="auto"/>
              </w:rPr>
            </w:pPr>
          </w:p>
        </w:tc>
      </w:tr>
      <w:tr>
        <w:trPr>
          <w:trHeight w:val="163"/>
        </w:trPr>
        <w:tc>
          <w:tcPr>
            <w:tcW w:w="3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New CCA compensation charge</w:t>
            </w: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22,850</w:t>
            </w:r>
          </w:p>
        </w:tc>
        <w:tc>
          <w:tcPr>
            <w:tcW w:w="4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Write-off of amounts</w:t>
            </w:r>
          </w:p>
        </w:tc>
        <w:tc>
          <w:tcPr>
            <w:tcW w:w="1280" w:type="dxa"/>
            <w:vAlign w:val="bottom"/>
          </w:tcPr>
          <w:p>
            <w:pPr>
              <w:jc w:val="right"/>
              <w:ind w:right="769"/>
              <w:spacing w:after="0"/>
              <w:rPr>
                <w:sz w:val="20"/>
                <w:szCs w:val="20"/>
                <w:color w:val="auto"/>
              </w:rPr>
            </w:pPr>
            <w:r>
              <w:rPr>
                <w:rFonts w:ascii="Courier New" w:cs="Courier New" w:eastAsia="Courier New" w:hAnsi="Courier New"/>
                <w:sz w:val="14"/>
                <w:szCs w:val="14"/>
                <w:color w:val="auto"/>
                <w:w w:val="99"/>
              </w:rPr>
              <w:t>under</w:t>
            </w:r>
          </w:p>
        </w:tc>
        <w:tc>
          <w:tcPr>
            <w:tcW w:w="84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65,677</w:t>
            </w:r>
          </w:p>
        </w:tc>
        <w:tc>
          <w:tcPr>
            <w:tcW w:w="260" w:type="dxa"/>
            <w:vAlign w:val="bottom"/>
          </w:tcPr>
          <w:p>
            <w:pPr>
              <w:spacing w:after="0"/>
              <w:rPr>
                <w:sz w:val="14"/>
                <w:szCs w:val="14"/>
                <w:color w:val="auto"/>
              </w:rPr>
            </w:pPr>
          </w:p>
        </w:tc>
        <w:tc>
          <w:tcPr>
            <w:tcW w:w="7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Lease arrangements</w:t>
            </w:r>
          </w:p>
        </w:tc>
        <w:tc>
          <w:tcPr>
            <w:tcW w:w="1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Impairment Loss</w:t>
            </w:r>
          </w:p>
        </w:tc>
        <w:tc>
          <w:tcPr>
            <w:tcW w:w="128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76,433</w:t>
            </w:r>
          </w:p>
        </w:tc>
        <w:tc>
          <w:tcPr>
            <w:tcW w:w="2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44,062</w:t>
            </w:r>
          </w:p>
        </w:tc>
        <w:tc>
          <w:tcPr>
            <w:tcW w:w="2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14,363</w:t>
            </w:r>
          </w:p>
        </w:tc>
        <w:tc>
          <w:tcPr>
            <w:tcW w:w="4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13,378</w:t>
            </w:r>
          </w:p>
        </w:tc>
        <w:tc>
          <w:tcPr>
            <w:tcW w:w="2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11,339</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6,524</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21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w w:val="98"/>
              </w:rPr>
              <w:t>210,297</w:t>
            </w:r>
          </w:p>
        </w:tc>
        <w:tc>
          <w:tcPr>
            <w:tcW w:w="2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620,381</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378,557</w:t>
            </w:r>
          </w:p>
        </w:tc>
        <w:tc>
          <w:tcPr>
            <w:tcW w:w="9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237,940</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179,626</w:t>
            </w:r>
          </w:p>
        </w:tc>
        <w:tc>
          <w:tcPr>
            <w:tcW w:w="0" w:type="dxa"/>
            <w:vAlign w:val="bottom"/>
          </w:tcPr>
          <w:p>
            <w:pPr>
              <w:spacing w:after="0"/>
              <w:rPr>
                <w:sz w:val="1"/>
                <w:szCs w:val="1"/>
                <w:color w:val="auto"/>
              </w:rPr>
            </w:pPr>
          </w:p>
        </w:tc>
      </w:tr>
      <w:tr>
        <w:trPr>
          <w:trHeight w:val="163"/>
        </w:trPr>
        <w:tc>
          <w:tcPr>
            <w:tcW w:w="212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income</w:t>
            </w:r>
          </w:p>
        </w:tc>
        <w:tc>
          <w:tcPr>
            <w:tcW w:w="21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75,421</w:t>
            </w:r>
          </w:p>
        </w:tc>
        <w:tc>
          <w:tcPr>
            <w:tcW w:w="2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41,678</w:t>
            </w:r>
          </w:p>
        </w:tc>
        <w:tc>
          <w:tcPr>
            <w:tcW w:w="4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83,692</w:t>
            </w:r>
          </w:p>
        </w:tc>
        <w:tc>
          <w:tcPr>
            <w:tcW w:w="2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54,573</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27,615</w:t>
            </w:r>
          </w:p>
        </w:tc>
        <w:tc>
          <w:tcPr>
            <w:tcW w:w="0" w:type="dxa"/>
            <w:vAlign w:val="bottom"/>
          </w:tcPr>
          <w:p>
            <w:pPr>
              <w:spacing w:after="0"/>
              <w:rPr>
                <w:sz w:val="1"/>
                <w:szCs w:val="1"/>
                <w:color w:val="auto"/>
              </w:rPr>
            </w:pPr>
          </w:p>
        </w:tc>
      </w:tr>
      <w:tr>
        <w:trPr>
          <w:trHeight w:val="163"/>
        </w:trPr>
        <w:tc>
          <w:tcPr>
            <w:tcW w:w="2120" w:type="dxa"/>
            <w:vAlign w:val="bottom"/>
            <w:vMerge w:val="restart"/>
          </w:tcPr>
          <w:p>
            <w:pPr>
              <w:spacing w:after="0"/>
              <w:rPr>
                <w:sz w:val="20"/>
                <w:szCs w:val="20"/>
                <w:color w:val="auto"/>
              </w:rPr>
            </w:pPr>
            <w:r>
              <w:rPr>
                <w:rFonts w:ascii="Courier New" w:cs="Courier New" w:eastAsia="Courier New" w:hAnsi="Courier New"/>
                <w:sz w:val="14"/>
                <w:szCs w:val="14"/>
                <w:color w:val="auto"/>
              </w:rPr>
              <w:t>Loan costs write-off</w:t>
            </w:r>
          </w:p>
        </w:tc>
        <w:tc>
          <w:tcPr>
            <w:tcW w:w="21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14,567</w:t>
            </w:r>
          </w:p>
        </w:tc>
        <w:tc>
          <w:tcPr>
            <w:tcW w:w="2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2,043</w:t>
            </w:r>
          </w:p>
        </w:tc>
        <w:tc>
          <w:tcPr>
            <w:tcW w:w="4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 (income), net</w:t>
            </w: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51,921</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(2,770)</w:t>
            </w:r>
          </w:p>
        </w:tc>
        <w:tc>
          <w:tcPr>
            <w:tcW w:w="42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(3,404)</w:t>
            </w:r>
          </w:p>
        </w:tc>
        <w:tc>
          <w:tcPr>
            <w:tcW w:w="2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4,224</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3,952</w:t>
            </w:r>
          </w:p>
        </w:tc>
        <w:tc>
          <w:tcPr>
            <w:tcW w:w="0" w:type="dxa"/>
            <w:vAlign w:val="bottom"/>
          </w:tcPr>
          <w:p>
            <w:pPr>
              <w:spacing w:after="0"/>
              <w:rPr>
                <w:sz w:val="1"/>
                <w:szCs w:val="1"/>
                <w:color w:val="auto"/>
              </w:rPr>
            </w:pPr>
          </w:p>
        </w:tc>
      </w:tr>
      <w:tr>
        <w:trPr>
          <w:trHeight w:val="163"/>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Equity in earnings of unconsolidated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entities and amortization of</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8"/>
              </w:rPr>
              <w:t>(22,886)</w:t>
            </w:r>
          </w:p>
        </w:tc>
        <w:tc>
          <w:tcPr>
            <w:tcW w:w="260" w:type="dxa"/>
            <w:vAlign w:val="bottom"/>
          </w:tcPr>
          <w:p>
            <w:pPr>
              <w:spacing w:after="0"/>
              <w:rPr>
                <w:sz w:val="14"/>
                <w:szCs w:val="14"/>
                <w:color w:val="auto"/>
              </w:rPr>
            </w:pPr>
          </w:p>
        </w:tc>
        <w:tc>
          <w:tcPr>
            <w:tcW w:w="7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deferred gain</w:t>
            </w:r>
          </w:p>
        </w:tc>
        <w:tc>
          <w:tcPr>
            <w:tcW w:w="1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Loss on deposits of assets</w:t>
            </w: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1,995</w:t>
            </w:r>
          </w:p>
        </w:tc>
        <w:tc>
          <w:tcPr>
            <w:tcW w:w="2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21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29,824</w:t>
            </w:r>
          </w:p>
        </w:tc>
        <w:tc>
          <w:tcPr>
            <w:tcW w:w="2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42,405</w:t>
            </w:r>
          </w:p>
        </w:tc>
        <w:tc>
          <w:tcPr>
            <w:tcW w:w="4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87,096</w:t>
            </w:r>
          </w:p>
        </w:tc>
        <w:tc>
          <w:tcPr>
            <w:tcW w:w="2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50,349</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23,663</w:t>
            </w:r>
          </w:p>
        </w:tc>
        <w:tc>
          <w:tcPr>
            <w:tcW w:w="0" w:type="dxa"/>
            <w:vAlign w:val="bottom"/>
          </w:tcPr>
          <w:p>
            <w:pPr>
              <w:spacing w:after="0"/>
              <w:rPr>
                <w:sz w:val="1"/>
                <w:szCs w:val="1"/>
                <w:color w:val="auto"/>
              </w:rPr>
            </w:pPr>
          </w:p>
        </w:tc>
      </w:tr>
      <w:tr>
        <w:trPr>
          <w:trHeight w:val="163"/>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83,200</w:t>
            </w:r>
          </w:p>
        </w:tc>
        <w:tc>
          <w:tcPr>
            <w:tcW w:w="2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15,424</w:t>
            </w:r>
          </w:p>
        </w:tc>
        <w:tc>
          <w:tcPr>
            <w:tcW w:w="4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33,141</w:t>
            </w:r>
          </w:p>
        </w:tc>
        <w:tc>
          <w:tcPr>
            <w:tcW w:w="2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19,469</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9,330</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21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Income (loss) before cumulative</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8"/>
              </w:rPr>
              <w:t>(53,376)</w:t>
            </w:r>
          </w:p>
        </w:tc>
        <w:tc>
          <w:tcPr>
            <w:tcW w:w="260" w:type="dxa"/>
            <w:vAlign w:val="bottom"/>
          </w:tcPr>
          <w:p>
            <w:pPr>
              <w:spacing w:after="0"/>
              <w:rPr>
                <w:sz w:val="14"/>
                <w:szCs w:val="14"/>
                <w:color w:val="auto"/>
              </w:rPr>
            </w:pPr>
          </w:p>
        </w:tc>
        <w:tc>
          <w:tcPr>
            <w:tcW w:w="7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26,981</w:t>
            </w:r>
          </w:p>
        </w:tc>
        <w:tc>
          <w:tcPr>
            <w:tcW w:w="42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9"/>
              </w:rPr>
              <w:t>53,955</w:t>
            </w:r>
          </w:p>
        </w:tc>
        <w:tc>
          <w:tcPr>
            <w:tcW w:w="26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9"/>
              </w:rPr>
              <w:t>30,880</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14,333</w:t>
            </w:r>
          </w:p>
        </w:tc>
        <w:tc>
          <w:tcPr>
            <w:tcW w:w="0" w:type="dxa"/>
            <w:vAlign w:val="bottom"/>
          </w:tcPr>
          <w:p>
            <w:pPr>
              <w:spacing w:after="0"/>
              <w:rPr>
                <w:sz w:val="1"/>
                <w:szCs w:val="1"/>
                <w:color w:val="auto"/>
              </w:rPr>
            </w:pPr>
          </w:p>
        </w:tc>
      </w:tr>
      <w:tr>
        <w:trPr>
          <w:trHeight w:val="163"/>
        </w:trPr>
        <w:tc>
          <w:tcPr>
            <w:tcW w:w="3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effect of accounting change</w:t>
            </w: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Cumulative effect of accounting</w:t>
            </w:r>
          </w:p>
        </w:tc>
        <w:tc>
          <w:tcPr>
            <w:tcW w:w="84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16,145</w:t>
            </w:r>
          </w:p>
        </w:tc>
        <w:tc>
          <w:tcPr>
            <w:tcW w:w="42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change, net of taxes</w:t>
            </w:r>
          </w:p>
        </w:tc>
        <w:tc>
          <w:tcPr>
            <w:tcW w:w="1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w:t>
            </w:r>
          </w:p>
        </w:tc>
        <w:tc>
          <w:tcPr>
            <w:tcW w:w="21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(53,376)</w:t>
            </w:r>
          </w:p>
        </w:tc>
        <w:tc>
          <w:tcPr>
            <w:tcW w:w="2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10,836</w:t>
            </w:r>
          </w:p>
        </w:tc>
        <w:tc>
          <w:tcPr>
            <w:tcW w:w="4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53,955</w:t>
            </w:r>
          </w:p>
        </w:tc>
        <w:tc>
          <w:tcPr>
            <w:tcW w:w="2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30,880</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14,333</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20"/>
                <w:szCs w:val="20"/>
                <w:color w:val="auto"/>
              </w:rPr>
            </w:pPr>
            <w:r>
              <w:rPr>
                <w:rFonts w:ascii="Courier New" w:cs="Courier New" w:eastAsia="Courier New" w:hAnsi="Courier New"/>
                <w:sz w:val="14"/>
                <w:szCs w:val="14"/>
                <w:color w:val="auto"/>
                <w:w w:val="99"/>
              </w:rPr>
              <w:t>Preferred stock dividends</w:t>
            </w:r>
          </w:p>
        </w:tc>
        <w:tc>
          <w:tcPr>
            <w:tcW w:w="12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(8,600)</w:t>
            </w:r>
          </w:p>
        </w:tc>
        <w:tc>
          <w:tcPr>
            <w:tcW w:w="2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21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 allocable to</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8"/>
              </w:rPr>
              <w:t>(61,976)</w:t>
            </w:r>
          </w:p>
        </w:tc>
        <w:tc>
          <w:tcPr>
            <w:tcW w:w="1020" w:type="dxa"/>
            <w:vAlign w:val="bottom"/>
            <w:gridSpan w:val="2"/>
            <w:vMerge w:val="restart"/>
          </w:tcPr>
          <w:p>
            <w:pPr>
              <w:jc w:val="right"/>
              <w:ind w:right="89"/>
              <w:spacing w:after="0"/>
              <w:rPr>
                <w:sz w:val="20"/>
                <w:szCs w:val="20"/>
                <w:color w:val="auto"/>
              </w:rPr>
            </w:pPr>
            <w:r>
              <w:rPr>
                <w:rFonts w:ascii="Courier New" w:cs="Courier New" w:eastAsia="Courier New" w:hAnsi="Courier New"/>
                <w:sz w:val="14"/>
                <w:szCs w:val="14"/>
                <w:color w:val="auto"/>
              </w:rPr>
              <w:t>$ 10,836</w:t>
            </w:r>
          </w:p>
        </w:tc>
        <w:tc>
          <w:tcPr>
            <w:tcW w:w="4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9"/>
              </w:rPr>
              <w:t>53,955</w:t>
            </w:r>
          </w:p>
        </w:tc>
        <w:tc>
          <w:tcPr>
            <w:tcW w:w="940" w:type="dxa"/>
            <w:vAlign w:val="bottom"/>
            <w:gridSpan w:val="2"/>
            <w:vMerge w:val="restart"/>
          </w:tcPr>
          <w:p>
            <w:pPr>
              <w:jc w:val="right"/>
              <w:ind w:right="89"/>
              <w:spacing w:after="0"/>
              <w:rPr>
                <w:sz w:val="20"/>
                <w:szCs w:val="20"/>
                <w:color w:val="auto"/>
              </w:rPr>
            </w:pPr>
            <w:r>
              <w:rPr>
                <w:rFonts w:ascii="Courier New" w:cs="Courier New" w:eastAsia="Courier New" w:hAnsi="Courier New"/>
                <w:sz w:val="14"/>
                <w:szCs w:val="14"/>
                <w:color w:val="auto"/>
              </w:rPr>
              <w:t>$ 30,880</w:t>
            </w:r>
          </w:p>
        </w:tc>
        <w:tc>
          <w:tcPr>
            <w:tcW w:w="76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$ 14,333</w:t>
            </w:r>
          </w:p>
        </w:tc>
        <w:tc>
          <w:tcPr>
            <w:tcW w:w="0" w:type="dxa"/>
            <w:vAlign w:val="bottom"/>
          </w:tcPr>
          <w:p>
            <w:pPr>
              <w:spacing w:after="0"/>
              <w:rPr>
                <w:sz w:val="1"/>
                <w:szCs w:val="1"/>
                <w:color w:val="auto"/>
              </w:rPr>
            </w:pPr>
          </w:p>
        </w:tc>
      </w:tr>
      <w:tr>
        <w:trPr>
          <w:trHeight w:val="163"/>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common stockholders</w:t>
            </w:r>
          </w:p>
        </w:tc>
        <w:tc>
          <w:tcPr>
            <w:tcW w:w="1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p>
        </w:tc>
        <w:tc>
          <w:tcPr>
            <w:tcW w:w="21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1"/>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Basic net income (loss) allocable</w:t>
            </w: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 common stockholders per</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common share:</w:t>
            </w: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Before cumulative effect of</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(0.54)</w:t>
            </w:r>
          </w:p>
        </w:tc>
        <w:tc>
          <w:tcPr>
            <w:tcW w:w="2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0.38</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0.80</w:t>
            </w:r>
          </w:p>
        </w:tc>
        <w:tc>
          <w:tcPr>
            <w:tcW w:w="2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0.49</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0.26</w:t>
            </w:r>
          </w:p>
        </w:tc>
        <w:tc>
          <w:tcPr>
            <w:tcW w:w="0" w:type="dxa"/>
            <w:vAlign w:val="bottom"/>
          </w:tcPr>
          <w:p>
            <w:pPr>
              <w:spacing w:after="0"/>
              <w:rPr>
                <w:sz w:val="1"/>
                <w:szCs w:val="1"/>
                <w:color w:val="auto"/>
              </w:rPr>
            </w:pPr>
          </w:p>
        </w:tc>
      </w:tr>
      <w:tr>
        <w:trPr>
          <w:trHeight w:val="163"/>
        </w:trPr>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accounting change</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Cumulative effect of accounting</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(.23)</w:t>
            </w:r>
          </w:p>
        </w:tc>
        <w:tc>
          <w:tcPr>
            <w:tcW w:w="42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change</w:t>
            </w:r>
          </w:p>
        </w:tc>
        <w:tc>
          <w:tcPr>
            <w:tcW w:w="1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21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(0.54)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0.15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0.80</w:t>
            </w:r>
          </w:p>
        </w:tc>
        <w:tc>
          <w:tcPr>
            <w:tcW w:w="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0.49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0.26</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21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Diluted net income (loss) allocable</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 common stockholders per</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common share:</w:t>
            </w: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Before cumulative effect of</w:t>
            </w: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(0.54)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0.34</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0.69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0.42</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0.21</w:t>
            </w:r>
          </w:p>
        </w:tc>
        <w:tc>
          <w:tcPr>
            <w:tcW w:w="0" w:type="dxa"/>
            <w:vAlign w:val="bottom"/>
          </w:tcPr>
          <w:p>
            <w:pPr>
              <w:spacing w:after="0"/>
              <w:rPr>
                <w:sz w:val="1"/>
                <w:szCs w:val="1"/>
                <w:color w:val="auto"/>
              </w:rPr>
            </w:pPr>
          </w:p>
        </w:tc>
      </w:tr>
      <w:tr>
        <w:trPr>
          <w:trHeight w:val="163"/>
        </w:trPr>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accounting change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Cumulative effect of accounting</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(.20)</w:t>
            </w:r>
          </w:p>
        </w:tc>
        <w:tc>
          <w:tcPr>
            <w:tcW w:w="42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change</w:t>
            </w:r>
          </w:p>
        </w:tc>
        <w:tc>
          <w:tcPr>
            <w:tcW w:w="1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21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(0.54)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0.69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0.42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0.21</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21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115,097</w:t>
            </w:r>
          </w:p>
        </w:tc>
        <w:tc>
          <w:tcPr>
            <w:tcW w:w="260" w:type="dxa"/>
            <w:vAlign w:val="bottom"/>
          </w:tcPr>
          <w:p>
            <w:pPr>
              <w:spacing w:after="0"/>
              <w:rPr>
                <w:sz w:val="14"/>
                <w:szCs w:val="14"/>
                <w:color w:val="auto"/>
              </w:rPr>
            </w:pPr>
          </w:p>
        </w:tc>
        <w:tc>
          <w:tcPr>
            <w:tcW w:w="7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71,380</w:t>
            </w:r>
          </w:p>
        </w:tc>
        <w:tc>
          <w:tcPr>
            <w:tcW w:w="42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9"/>
              </w:rPr>
              <w:t>67,568</w:t>
            </w:r>
          </w:p>
        </w:tc>
        <w:tc>
          <w:tcPr>
            <w:tcW w:w="260" w:type="dxa"/>
            <w:vAlign w:val="bottom"/>
          </w:tcPr>
          <w:p>
            <w:pPr>
              <w:spacing w:after="0"/>
              <w:rPr>
                <w:sz w:val="14"/>
                <w:szCs w:val="14"/>
                <w:color w:val="auto"/>
              </w:rPr>
            </w:pPr>
          </w:p>
        </w:tc>
        <w:tc>
          <w:tcPr>
            <w:tcW w:w="6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62,793</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54,475</w:t>
            </w:r>
          </w:p>
        </w:tc>
        <w:tc>
          <w:tcPr>
            <w:tcW w:w="0" w:type="dxa"/>
            <w:vAlign w:val="bottom"/>
          </w:tcPr>
          <w:p>
            <w:pPr>
              <w:spacing w:after="0"/>
              <w:rPr>
                <w:sz w:val="1"/>
                <w:szCs w:val="1"/>
                <w:color w:val="auto"/>
              </w:rPr>
            </w:pPr>
          </w:p>
        </w:tc>
      </w:tr>
      <w:tr>
        <w:trPr>
          <w:trHeight w:val="163"/>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280" w:type="dxa"/>
            <w:vAlign w:val="bottom"/>
          </w:tcPr>
          <w:p>
            <w:pPr>
              <w:spacing w:after="0"/>
              <w:rPr>
                <w:sz w:val="20"/>
                <w:szCs w:val="20"/>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115,097</w:t>
            </w:r>
          </w:p>
        </w:tc>
        <w:tc>
          <w:tcPr>
            <w:tcW w:w="260" w:type="dxa"/>
            <w:vAlign w:val="bottom"/>
          </w:tcPr>
          <w:p>
            <w:pPr>
              <w:spacing w:after="0"/>
              <w:rPr>
                <w:sz w:val="20"/>
                <w:szCs w:val="20"/>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78,939</w:t>
            </w:r>
          </w:p>
        </w:tc>
        <w:tc>
          <w:tcPr>
            <w:tcW w:w="420" w:type="dxa"/>
            <w:vAlign w:val="bottom"/>
          </w:tcPr>
          <w:p>
            <w:pPr>
              <w:spacing w:after="0"/>
              <w:rPr>
                <w:sz w:val="20"/>
                <w:szCs w:val="20"/>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78,939</w:t>
            </w:r>
          </w:p>
        </w:tc>
        <w:tc>
          <w:tcPr>
            <w:tcW w:w="260" w:type="dxa"/>
            <w:vAlign w:val="bottom"/>
          </w:tcPr>
          <w:p>
            <w:pPr>
              <w:spacing w:after="0"/>
              <w:rPr>
                <w:sz w:val="20"/>
                <w:szCs w:val="20"/>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76,160</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71,396</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w:t>
      </w:r>
    </w:p>
    <w:p>
      <w:pPr>
        <w:sectPr>
          <w:pgSz w:w="11900" w:h="16838" w:orient="portrait"/>
          <w:cols w:equalWidth="0" w:num="1">
            <w:col w:w="10159"/>
          </w:cols>
          <w:pgMar w:left="300" w:top="257" w:right="1440" w:bottom="0" w:gutter="0" w:footer="0" w:header="0"/>
        </w:sectPr>
      </w:pP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159"/>
          </w:cols>
          <w:pgMar w:left="300" w:top="257" w:right="1440" w:bottom="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54</w:t>
            </w:r>
          </w:p>
        </w:tc>
        <w:tc>
          <w:tcPr>
            <w:tcW w:w="27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1"/>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$2,735,922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$1,090,437</w:t>
            </w:r>
          </w:p>
        </w:tc>
        <w:tc>
          <w:tcPr>
            <w:tcW w:w="0" w:type="dxa"/>
            <w:vAlign w:val="bottom"/>
          </w:tcPr>
          <w:p>
            <w:pPr>
              <w:spacing w:after="0"/>
              <w:rPr>
                <w:sz w:val="1"/>
                <w:szCs w:val="1"/>
                <w:color w:val="auto"/>
              </w:rPr>
            </w:pPr>
          </w:p>
        </w:tc>
      </w:tr>
      <w:tr>
        <w:trPr>
          <w:trHeight w:val="163"/>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 less current</w:t>
            </w:r>
          </w:p>
        </w:tc>
        <w:tc>
          <w:tcPr>
            <w:tcW w:w="20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1,092,907</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290,257</w:t>
            </w:r>
          </w:p>
        </w:tc>
        <w:tc>
          <w:tcPr>
            <w:tcW w:w="0" w:type="dxa"/>
            <w:vAlign w:val="bottom"/>
          </w:tcPr>
          <w:p>
            <w:pPr>
              <w:spacing w:after="0"/>
              <w:rPr>
                <w:sz w:val="1"/>
                <w:szCs w:val="1"/>
                <w:color w:val="auto"/>
              </w:rPr>
            </w:pPr>
          </w:p>
        </w:tc>
      </w:tr>
      <w:tr>
        <w:trPr>
          <w:trHeight w:val="163"/>
        </w:trPr>
        <w:tc>
          <w:tcPr>
            <w:tcW w:w="3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portion</w:t>
            </w:r>
          </w:p>
        </w:tc>
        <w:tc>
          <w:tcPr>
            <w:tcW w:w="20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liabilities excluding</w:t>
            </w:r>
          </w:p>
        </w:tc>
        <w:tc>
          <w:tcPr>
            <w:tcW w:w="20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1,209,528</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395,999</w:t>
            </w:r>
          </w:p>
        </w:tc>
        <w:tc>
          <w:tcPr>
            <w:tcW w:w="0" w:type="dxa"/>
            <w:vAlign w:val="bottom"/>
          </w:tcPr>
          <w:p>
            <w:pPr>
              <w:spacing w:after="0"/>
              <w:rPr>
                <w:sz w:val="1"/>
                <w:szCs w:val="1"/>
                <w:color w:val="auto"/>
              </w:rPr>
            </w:pPr>
          </w:p>
        </w:tc>
      </w:tr>
      <w:tr>
        <w:trPr>
          <w:trHeight w:val="163"/>
        </w:trPr>
        <w:tc>
          <w:tcPr>
            <w:tcW w:w="32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deferred gains</w:t>
            </w:r>
          </w:p>
        </w:tc>
        <w:tc>
          <w:tcPr>
            <w:tcW w:w="20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1,420,349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451,986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1440" w:right="200" w:hanging="1441"/>
        <w:spacing w:after="0" w:line="366" w:lineRule="auto"/>
        <w:tabs>
          <w:tab w:leader="none" w:pos="142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6" w:lineRule="exact"/>
        <w:rPr>
          <w:sz w:val="20"/>
          <w:szCs w:val="20"/>
          <w:color w:val="auto"/>
        </w:rPr>
      </w:pPr>
    </w:p>
    <w:p>
      <w:pPr>
        <w:ind w:right="720" w:firstLine="763"/>
        <w:spacing w:after="0" w:line="366" w:lineRule="auto"/>
        <w:rPr>
          <w:sz w:val="20"/>
          <w:szCs w:val="20"/>
          <w:color w:val="auto"/>
        </w:rPr>
      </w:pPr>
      <w:r>
        <w:rPr>
          <w:rFonts w:ascii="Courier New" w:cs="Courier New" w:eastAsia="Courier New" w:hAnsi="Courier New"/>
          <w:sz w:val="14"/>
          <w:szCs w:val="14"/>
          <w:color w:val="auto"/>
        </w:rPr>
        <w:t>The following discussion should be read in conjunction with the financial statements and notes thereto appearing elsewhere in this report.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180" w:val="left"/>
          <w:tab w:leader="none" w:pos="2360" w:val="left"/>
        </w:tabs>
        <w:rPr>
          <w:sz w:val="20"/>
          <w:szCs w:val="20"/>
          <w:color w:val="auto"/>
        </w:rPr>
      </w:pPr>
      <w:r>
        <w:rPr>
          <w:rFonts w:ascii="Courier New" w:cs="Courier New" w:eastAsia="Courier New" w:hAnsi="Courier New"/>
          <w:sz w:val="14"/>
          <w:szCs w:val="14"/>
          <w:color w:val="auto"/>
        </w:rPr>
        <w:t>$697,940</w:t>
      </w:r>
      <w:r>
        <w:rPr>
          <w:sz w:val="20"/>
          <w:szCs w:val="20"/>
          <w:color w:val="auto"/>
        </w:rPr>
        <w:tab/>
      </w:r>
      <w:r>
        <w:rPr>
          <w:rFonts w:ascii="Courier New" w:cs="Courier New" w:eastAsia="Courier New" w:hAnsi="Courier New"/>
          <w:sz w:val="14"/>
          <w:szCs w:val="14"/>
          <w:color w:val="auto"/>
        </w:rPr>
        <w:t>$ 468,888</w:t>
      </w:r>
      <w:r>
        <w:rPr>
          <w:sz w:val="20"/>
          <w:szCs w:val="20"/>
          <w:color w:val="auto"/>
        </w:rPr>
        <w:tab/>
      </w:r>
      <w:r>
        <w:rPr>
          <w:rFonts w:ascii="Courier New" w:cs="Courier New" w:eastAsia="Courier New" w:hAnsi="Courier New"/>
          <w:sz w:val="14"/>
          <w:szCs w:val="14"/>
          <w:color w:val="auto"/>
        </w:rPr>
        <w:t>$ 213,478</w:t>
      </w:r>
    </w:p>
    <w:p>
      <w:pPr>
        <w:spacing w:after="0" w:line="168" w:lineRule="exact"/>
        <w:rPr>
          <w:sz w:val="20"/>
          <w:szCs w:val="20"/>
          <w:color w:val="auto"/>
        </w:rPr>
      </w:pPr>
    </w:p>
    <w:p>
      <w:pPr>
        <w:ind w:left="80"/>
        <w:spacing w:after="0"/>
        <w:tabs>
          <w:tab w:leader="none" w:pos="1340" w:val="left"/>
          <w:tab w:leader="none" w:pos="2620" w:val="left"/>
        </w:tabs>
        <w:rPr>
          <w:sz w:val="20"/>
          <w:szCs w:val="20"/>
          <w:color w:val="auto"/>
        </w:rPr>
      </w:pPr>
      <w:r>
        <w:rPr>
          <w:rFonts w:ascii="Courier New" w:cs="Courier New" w:eastAsia="Courier New" w:hAnsi="Courier New"/>
          <w:sz w:val="14"/>
          <w:szCs w:val="14"/>
          <w:color w:val="auto"/>
        </w:rPr>
        <w:t>127,075</w:t>
      </w:r>
      <w:r>
        <w:rPr>
          <w:sz w:val="20"/>
          <w:szCs w:val="20"/>
          <w:color w:val="auto"/>
        </w:rPr>
        <w:tab/>
      </w:r>
      <w:r>
        <w:rPr>
          <w:rFonts w:ascii="Courier New" w:cs="Courier New" w:eastAsia="Courier New" w:hAnsi="Courier New"/>
          <w:sz w:val="14"/>
          <w:szCs w:val="14"/>
          <w:color w:val="auto"/>
        </w:rPr>
        <w:t>117,535</w:t>
      </w:r>
      <w:r>
        <w:rPr>
          <w:sz w:val="20"/>
          <w:szCs w:val="20"/>
          <w:color w:val="auto"/>
        </w:rPr>
        <w:tab/>
      </w:r>
      <w:r>
        <w:rPr>
          <w:rFonts w:ascii="Courier New" w:cs="Courier New" w:eastAsia="Courier New" w:hAnsi="Courier New"/>
          <w:sz w:val="13"/>
          <w:szCs w:val="13"/>
          <w:color w:val="auto"/>
        </w:rPr>
        <w:t>74,865</w:t>
      </w:r>
    </w:p>
    <w:p>
      <w:pPr>
        <w:spacing w:after="0" w:line="168" w:lineRule="exact"/>
        <w:rPr>
          <w:sz w:val="20"/>
          <w:szCs w:val="20"/>
          <w:color w:val="auto"/>
        </w:rPr>
      </w:pPr>
    </w:p>
    <w:p>
      <w:pPr>
        <w:ind w:left="80"/>
        <w:spacing w:after="0"/>
        <w:tabs>
          <w:tab w:leader="none" w:pos="1340" w:val="left"/>
          <w:tab w:leader="none" w:pos="2520" w:val="left"/>
        </w:tabs>
        <w:rPr>
          <w:sz w:val="20"/>
          <w:szCs w:val="20"/>
          <w:color w:val="auto"/>
        </w:rPr>
      </w:pPr>
      <w:r>
        <w:rPr>
          <w:rFonts w:ascii="Courier New" w:cs="Courier New" w:eastAsia="Courier New" w:hAnsi="Courier New"/>
          <w:sz w:val="14"/>
          <w:szCs w:val="14"/>
          <w:color w:val="auto"/>
        </w:rPr>
        <w:t>214,112</w:t>
      </w:r>
      <w:r>
        <w:rPr>
          <w:sz w:val="20"/>
          <w:szCs w:val="20"/>
          <w:color w:val="auto"/>
        </w:rPr>
        <w:tab/>
      </w:r>
      <w:r>
        <w:rPr>
          <w:rFonts w:ascii="Courier New" w:cs="Courier New" w:eastAsia="Courier New" w:hAnsi="Courier New"/>
          <w:sz w:val="14"/>
          <w:szCs w:val="14"/>
          <w:color w:val="auto"/>
        </w:rPr>
        <w:t>187,136</w:t>
      </w:r>
      <w:r>
        <w:rPr>
          <w:sz w:val="20"/>
          <w:szCs w:val="20"/>
          <w:color w:val="auto"/>
        </w:rPr>
        <w:tab/>
      </w:r>
      <w:r>
        <w:rPr>
          <w:rFonts w:ascii="Courier New" w:cs="Courier New" w:eastAsia="Courier New" w:hAnsi="Courier New"/>
          <w:sz w:val="14"/>
          <w:szCs w:val="14"/>
          <w:color w:val="auto"/>
        </w:rPr>
        <w:t>116,774</w:t>
      </w:r>
    </w:p>
    <w:p>
      <w:pPr>
        <w:spacing w:after="0" w:line="30" w:lineRule="exact"/>
        <w:rPr>
          <w:sz w:val="20"/>
          <w:szCs w:val="20"/>
          <w:color w:val="auto"/>
        </w:rPr>
      </w:pPr>
    </w:p>
    <w:p>
      <w:pPr>
        <w:ind w:left="80"/>
        <w:spacing w:after="0"/>
        <w:tabs>
          <w:tab w:leader="none" w:pos="1340" w:val="left"/>
          <w:tab w:leader="none" w:pos="2620" w:val="left"/>
        </w:tabs>
        <w:rPr>
          <w:sz w:val="20"/>
          <w:szCs w:val="20"/>
          <w:color w:val="auto"/>
        </w:rPr>
      </w:pPr>
      <w:r>
        <w:rPr>
          <w:rFonts w:ascii="Courier New" w:cs="Courier New" w:eastAsia="Courier New" w:hAnsi="Courier New"/>
          <w:sz w:val="14"/>
          <w:szCs w:val="14"/>
          <w:color w:val="auto"/>
        </w:rPr>
        <w:t>348,076</w:t>
      </w:r>
      <w:r>
        <w:rPr>
          <w:sz w:val="20"/>
          <w:szCs w:val="20"/>
          <w:color w:val="auto"/>
        </w:rPr>
        <w:tab/>
      </w:r>
      <w:r>
        <w:rPr>
          <w:rFonts w:ascii="Courier New" w:cs="Courier New" w:eastAsia="Courier New" w:hAnsi="Courier New"/>
          <w:sz w:val="14"/>
          <w:szCs w:val="14"/>
          <w:color w:val="auto"/>
        </w:rPr>
        <w:t>281,752</w:t>
      </w:r>
      <w:r>
        <w:rPr>
          <w:sz w:val="20"/>
          <w:szCs w:val="20"/>
          <w:color w:val="auto"/>
        </w:rPr>
        <w:tab/>
      </w:r>
      <w:r>
        <w:rPr>
          <w:rFonts w:ascii="Courier New" w:cs="Courier New" w:eastAsia="Courier New" w:hAnsi="Courier New"/>
          <w:sz w:val="13"/>
          <w:szCs w:val="13"/>
          <w:color w:val="auto"/>
        </w:rPr>
        <w:t>96,704</w:t>
      </w:r>
    </w:p>
    <w:p>
      <w:pPr>
        <w:sectPr>
          <w:pgSz w:w="11900" w:h="16838" w:orient="portrait"/>
          <w:cols w:equalWidth="0" w:num="2">
            <w:col w:w="7000" w:space="720"/>
            <w:col w:w="3140"/>
          </w:cols>
          <w:pgMar w:left="300" w:top="257" w:right="739" w:bottom="1440" w:gutter="0" w:footer="0" w:header="0"/>
        </w:sectPr>
      </w:pPr>
    </w:p>
    <w:bookmarkStart w:id="54" w:name="page55"/>
    <w:bookmarkEnd w:id="54"/>
    <w:p>
      <w:pPr>
        <w:jc w:val="center"/>
        <w:ind w:right="9479"/>
        <w:spacing w:after="0"/>
        <w:rPr>
          <w:sz w:val="20"/>
          <w:szCs w:val="20"/>
          <w:color w:val="auto"/>
        </w:rPr>
      </w:pPr>
      <w:r>
        <w:rPr>
          <w:rFonts w:ascii="Courier New" w:cs="Courier New" w:eastAsia="Courier New" w:hAnsi="Courier New"/>
          <w:sz w:val="14"/>
          <w:szCs w:val="14"/>
          <w:color w:val="auto"/>
        </w:rPr>
        <w:t>55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68" w:lineRule="exact"/>
        <w:rPr>
          <w:sz w:val="20"/>
          <w:szCs w:val="20"/>
          <w:color w:val="auto"/>
        </w:rPr>
      </w:pPr>
    </w:p>
    <w:p>
      <w:pPr>
        <w:jc w:val="both"/>
        <w:ind w:right="3699"/>
        <w:spacing w:after="0" w:line="306" w:lineRule="auto"/>
        <w:rPr>
          <w:sz w:val="20"/>
          <w:szCs w:val="20"/>
          <w:color w:val="auto"/>
        </w:rPr>
      </w:pPr>
      <w:r>
        <w:rPr>
          <w:rFonts w:ascii="Courier New" w:cs="Courier New" w:eastAsia="Courier New" w:hAnsi="Courier New"/>
          <w:sz w:val="14"/>
          <w:szCs w:val="14"/>
          <w:color w:val="auto"/>
        </w:rPr>
        <w:t>The Company, a Maryland corporation, commenced operations on January 1, 1999 following the 1999 Merger of Old CCA and Old Prison Realty with and into the Company.</w:t>
      </w:r>
    </w:p>
    <w:p>
      <w:pPr>
        <w:spacing w:after="0" w:line="46"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The 1999 Merger has been accounted for as a reverse acquisition of the Company by Old CCA and as an acquisition of Old Prison Realty by the Company. As such, Old CCA's assets and liabilities have been carried forward at historical cost, and the provisions of reverse acquisition accounting prescribe that Old CCA's historical financial statements be presented as the Company's historical financial statements prior to January 1, 1999. The historical equity section of the financial statements and earnings per share have been retroactively restated to reflect the Company's equity structure, including the exchange ratio and the effects of the differences in par values of the respective companies' common stock. Old Prison Realty's assets and liabilities have been recorded at fair market value, as required by Accounting Principles Board Opinion No. 16, "Business Combinations" ("APB 16").</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w:t>
      </w:r>
    </w:p>
    <w:p>
      <w:pPr>
        <w:spacing w:after="0" w:line="168"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Prior to the 1999 Merger, Old CCA operated and managed prisons and other correctional and detention facilities and provided prisoner transportation services for governmental agencies. Old CCA also provided a full range of related services to governmental agencies, including managing, financing, developing, designing and constructing new correctional and detention facilities and redesigning and renovating older facilities. Since the 1999 Merger, the Company has specialized in acquiring, developing and owning correctional and detention facilities as a lessor. The Company has operated so as to preserve its ability to qualify as a real estate investment trust ("REIT") for federal income tax purposes for its taxable year ending December 31, 1999. See "Business -- Recent Developments -- Restructuring and Related Transactions."</w:t>
      </w:r>
    </w:p>
    <w:p>
      <w:pPr>
        <w:spacing w:after="0" w:line="82" w:lineRule="exact"/>
        <w:rPr>
          <w:sz w:val="20"/>
          <w:szCs w:val="20"/>
          <w:color w:val="auto"/>
        </w:rPr>
      </w:pPr>
    </w:p>
    <w:p>
      <w:pPr>
        <w:ind w:right="3459"/>
        <w:spacing w:after="0" w:line="270" w:lineRule="auto"/>
        <w:rPr>
          <w:sz w:val="20"/>
          <w:szCs w:val="20"/>
          <w:color w:val="auto"/>
        </w:rPr>
      </w:pPr>
      <w:r>
        <w:rPr>
          <w:rFonts w:ascii="Courier New" w:cs="Courier New" w:eastAsia="Courier New" w:hAnsi="Courier New"/>
          <w:sz w:val="14"/>
          <w:szCs w:val="14"/>
          <w:color w:val="auto"/>
        </w:rPr>
        <w:t>The Company's results of operations for all periods prior to January 1, 1999 reflect the operating results of Old CCA, and the results of operations subsequent to January 1, 1999 reflect the operating results of the Company as a REIT. Management believes the comparison between 1999 and prior years is not meaningful because the prior years' financial condition, results of operations, and cash flows reflect the operations of Old CCA and the 1999</w:t>
      </w:r>
    </w:p>
    <w:p>
      <w:pPr>
        <w:spacing w:after="0" w:line="200" w:lineRule="exact"/>
        <w:rPr>
          <w:sz w:val="20"/>
          <w:szCs w:val="20"/>
          <w:color w:val="auto"/>
        </w:rPr>
      </w:pPr>
    </w:p>
    <w:p>
      <w:pPr>
        <w:spacing w:after="0" w:line="3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159"/>
          </w:cols>
          <w:pgMar w:left="300" w:top="257"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56</w:t>
      </w:r>
    </w:p>
    <w:p>
      <w:pPr>
        <w:spacing w:after="0" w:line="30" w:lineRule="exact"/>
        <w:rPr>
          <w:sz w:val="20"/>
          <w:szCs w:val="20"/>
          <w:color w:val="auto"/>
        </w:rPr>
      </w:pPr>
    </w:p>
    <w:p>
      <w:pPr>
        <w:ind w:right="3359"/>
        <w:spacing w:after="0" w:line="327" w:lineRule="auto"/>
        <w:rPr>
          <w:sz w:val="20"/>
          <w:szCs w:val="20"/>
          <w:color w:val="auto"/>
        </w:rPr>
      </w:pPr>
      <w:r>
        <w:rPr>
          <w:rFonts w:ascii="Courier New" w:cs="Courier New" w:eastAsia="Courier New" w:hAnsi="Courier New"/>
          <w:sz w:val="14"/>
          <w:szCs w:val="14"/>
          <w:color w:val="auto"/>
        </w:rPr>
        <w:t>financial condition, results of operations and cash flows reflect the operations of the Company as a REIT.</w:t>
      </w:r>
    </w:p>
    <w:p>
      <w:pPr>
        <w:spacing w:after="0" w:line="31"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As required by the Company's governing instruments, the Company currently intends to elect to be taxed as a REIT for the year ended December 31, 1999. In the event the Company completes the Fortress/Blackstone Restructuring under its existing terms following required shareholder approval in 2000, the Company will be required to be taxed as a C corporation commencing with the taxable year ended December 31, 1999. In either event, the Company expects that it will be taxed as a C corporation in the taxable year ending December 31, 2000 and thereafter. There can be no assurance that the Company will be required not to elect REIT status with respect to its 1999 taxable year under the terms of the Fortress/Blackstone Restructuring or any other Restructuring proposal accepted by the Company. Moreover, there can be no assurance that the Company will qualify as a REIT for its 1999 taxable year in the event it elects such.</w:t>
      </w:r>
    </w:p>
    <w:p>
      <w:pPr>
        <w:spacing w:after="0" w:line="82"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The following unaudited pro forma operating information presents a summary of comparable consolidated results of combined operations as a REIT of Old CCA and Old Prison Realty for the year ended December 31, 1998 (excluding (i) Old CCA's historical operations, (ii) the CCA compensation charge, (iii) the cumulative effect of accounting change, (iv) any write off of loan costs, (v) any non-recurring expenses related to the 1999 Merger, (vi) any write-offs of amounts due under lease arrangements, (vii) any impairment loss, (viii) any loss or disposals of assets, and (ix) any provision for income taxes or charge in tax status), as if the 1999 Merger had occurred as of January 1, 1998. The unaudited pro forma operating information is presented for comparison purposes only and does not purport to represent what the Company's results of operations actually would have been had the 1999 Merger, in fact, occurred on January 1, 1998.</w:t>
      </w:r>
    </w:p>
    <w:p>
      <w:pPr>
        <w:spacing w:after="0" w:line="200" w:lineRule="exact"/>
        <w:rPr>
          <w:sz w:val="20"/>
          <w:szCs w:val="20"/>
          <w:color w:val="auto"/>
        </w:rPr>
      </w:pP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63"/>
        </w:trPr>
        <w:tc>
          <w:tcPr>
            <w:tcW w:w="4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jc w:val="center"/>
              <w:ind w:right="369"/>
              <w:spacing w:after="0"/>
              <w:rPr>
                <w:sz w:val="20"/>
                <w:szCs w:val="20"/>
                <w:color w:val="auto"/>
              </w:rPr>
            </w:pPr>
            <w:r>
              <w:rPr>
                <w:rFonts w:ascii="Courier New" w:cs="Courier New" w:eastAsia="Courier New" w:hAnsi="Courier New"/>
                <w:sz w:val="14"/>
                <w:szCs w:val="14"/>
                <w:color w:val="auto"/>
              </w:rPr>
              <w:t>PRO FORMA</w:t>
            </w:r>
          </w:p>
        </w:tc>
        <w:tc>
          <w:tcPr>
            <w:tcW w:w="0" w:type="dxa"/>
            <w:vAlign w:val="bottom"/>
          </w:tcPr>
          <w:p>
            <w:pPr>
              <w:spacing w:after="0"/>
              <w:rPr>
                <w:sz w:val="1"/>
                <w:szCs w:val="1"/>
                <w:color w:val="auto"/>
              </w:rPr>
            </w:pPr>
          </w:p>
        </w:tc>
      </w:tr>
      <w:tr>
        <w:trPr>
          <w:trHeight w:val="163"/>
        </w:trPr>
        <w:tc>
          <w:tcPr>
            <w:tcW w:w="4100" w:type="dxa"/>
            <w:vAlign w:val="bottom"/>
          </w:tcPr>
          <w:p>
            <w:pPr>
              <w:spacing w:after="0"/>
              <w:rPr>
                <w:sz w:val="14"/>
                <w:szCs w:val="14"/>
                <w:color w:val="auto"/>
              </w:rPr>
            </w:pPr>
          </w:p>
        </w:tc>
        <w:tc>
          <w:tcPr>
            <w:tcW w:w="2260" w:type="dxa"/>
            <w:vAlign w:val="bottom"/>
            <w:gridSpan w:val="2"/>
          </w:tcPr>
          <w:p>
            <w:pPr>
              <w:jc w:val="center"/>
              <w:ind w:left="409"/>
              <w:spacing w:after="0"/>
              <w:rPr>
                <w:sz w:val="20"/>
                <w:szCs w:val="20"/>
                <w:color w:val="auto"/>
              </w:rPr>
            </w:pPr>
            <w:r>
              <w:rPr>
                <w:rFonts w:ascii="Courier New" w:cs="Courier New" w:eastAsia="Courier New" w:hAnsi="Courier New"/>
                <w:sz w:val="14"/>
                <w:szCs w:val="14"/>
                <w:color w:val="auto"/>
              </w:rPr>
              <w:t>TWELVE MONTHS ENDED</w:t>
            </w:r>
          </w:p>
        </w:tc>
        <w:tc>
          <w:tcPr>
            <w:tcW w:w="0" w:type="dxa"/>
            <w:vAlign w:val="bottom"/>
          </w:tcPr>
          <w:p>
            <w:pPr>
              <w:spacing w:after="0"/>
              <w:rPr>
                <w:sz w:val="1"/>
                <w:szCs w:val="1"/>
                <w:color w:val="auto"/>
              </w:rPr>
            </w:pPr>
          </w:p>
        </w:tc>
      </w:tr>
      <w:tr>
        <w:trPr>
          <w:trHeight w:val="163"/>
        </w:trPr>
        <w:tc>
          <w:tcPr>
            <w:tcW w:w="4100" w:type="dxa"/>
            <w:vAlign w:val="bottom"/>
          </w:tcPr>
          <w:p>
            <w:pPr>
              <w:spacing w:after="0"/>
              <w:rPr>
                <w:sz w:val="14"/>
                <w:szCs w:val="14"/>
                <w:color w:val="auto"/>
              </w:rPr>
            </w:pPr>
          </w:p>
        </w:tc>
        <w:tc>
          <w:tcPr>
            <w:tcW w:w="2260" w:type="dxa"/>
            <w:vAlign w:val="bottom"/>
            <w:gridSpan w:val="2"/>
          </w:tcPr>
          <w:p>
            <w:pPr>
              <w:jc w:val="center"/>
              <w:ind w:left="389"/>
              <w:spacing w:after="0"/>
              <w:rPr>
                <w:sz w:val="20"/>
                <w:szCs w:val="20"/>
                <w:color w:val="auto"/>
              </w:rPr>
            </w:pPr>
            <w:r>
              <w:rPr>
                <w:rFonts w:ascii="Courier New" w:cs="Courier New" w:eastAsia="Courier New" w:hAnsi="Courier New"/>
                <w:sz w:val="14"/>
                <w:szCs w:val="14"/>
                <w:color w:val="auto"/>
              </w:rPr>
              <w:t>DECEMBER 31, 1998</w:t>
            </w:r>
          </w:p>
        </w:tc>
        <w:tc>
          <w:tcPr>
            <w:tcW w:w="0" w:type="dxa"/>
            <w:vAlign w:val="bottom"/>
          </w:tcPr>
          <w:p>
            <w:pPr>
              <w:spacing w:after="0"/>
              <w:rPr>
                <w:sz w:val="1"/>
                <w:szCs w:val="1"/>
                <w:color w:val="auto"/>
              </w:rPr>
            </w:pPr>
          </w:p>
        </w:tc>
      </w:tr>
      <w:tr>
        <w:trPr>
          <w:trHeight w:val="163"/>
        </w:trPr>
        <w:tc>
          <w:tcPr>
            <w:tcW w:w="4100" w:type="dxa"/>
            <w:vAlign w:val="bottom"/>
          </w:tcPr>
          <w:p>
            <w:pPr>
              <w:spacing w:after="0"/>
              <w:rPr>
                <w:sz w:val="14"/>
                <w:szCs w:val="14"/>
                <w:color w:val="auto"/>
              </w:rPr>
            </w:pPr>
          </w:p>
        </w:tc>
        <w:tc>
          <w:tcPr>
            <w:tcW w:w="2260" w:type="dxa"/>
            <w:vAlign w:val="bottom"/>
            <w:gridSpan w:val="2"/>
          </w:tcPr>
          <w:p>
            <w:pPr>
              <w:jc w:val="center"/>
              <w:ind w:left="40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jc w:val="center"/>
              <w:ind w:right="349"/>
              <w:spacing w:after="0"/>
              <w:rPr>
                <w:sz w:val="20"/>
                <w:szCs w:val="20"/>
                <w:color w:val="auto"/>
              </w:rPr>
            </w:pPr>
            <w:r>
              <w:rPr>
                <w:rFonts w:ascii="Courier New" w:cs="Courier New" w:eastAsia="Courier New" w:hAnsi="Courier New"/>
                <w:sz w:val="14"/>
                <w:szCs w:val="14"/>
                <w:color w:val="auto"/>
              </w:rPr>
              <w:t>(UNAUDITED)</w:t>
            </w:r>
          </w:p>
        </w:tc>
        <w:tc>
          <w:tcPr>
            <w:tcW w:w="0" w:type="dxa"/>
            <w:vAlign w:val="bottom"/>
          </w:tcPr>
          <w:p>
            <w:pPr>
              <w:spacing w:after="0"/>
              <w:rPr>
                <w:sz w:val="1"/>
                <w:szCs w:val="1"/>
                <w:color w:val="auto"/>
              </w:rPr>
            </w:pPr>
          </w:p>
        </w:tc>
      </w:tr>
      <w:tr>
        <w:trPr>
          <w:trHeight w:val="163"/>
        </w:trPr>
        <w:tc>
          <w:tcPr>
            <w:tcW w:w="4100" w:type="dxa"/>
            <w:vAlign w:val="bottom"/>
          </w:tcPr>
          <w:p>
            <w:pPr>
              <w:spacing w:after="0"/>
              <w:rPr>
                <w:sz w:val="14"/>
                <w:szCs w:val="14"/>
                <w:color w:val="auto"/>
              </w:rPr>
            </w:pPr>
          </w:p>
        </w:tc>
        <w:tc>
          <w:tcPr>
            <w:tcW w:w="2260" w:type="dxa"/>
            <w:vAlign w:val="bottom"/>
            <w:gridSpan w:val="2"/>
          </w:tcPr>
          <w:p>
            <w:pPr>
              <w:jc w:val="center"/>
              <w:ind w:left="409"/>
              <w:spacing w:after="0"/>
              <w:rPr>
                <w:sz w:val="20"/>
                <w:szCs w:val="20"/>
                <w:color w:val="auto"/>
              </w:rPr>
            </w:pPr>
            <w:r>
              <w:rPr>
                <w:rFonts w:ascii="Courier New" w:cs="Courier New" w:eastAsia="Courier New" w:hAnsi="Courier New"/>
                <w:sz w:val="14"/>
                <w:szCs w:val="14"/>
                <w:color w:val="auto"/>
              </w:rPr>
              <w:t>(IN THOUSANDS, EXCEPT</w:t>
            </w: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2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PER SHARE AMOUNTS)</w:t>
            </w: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218,587</w:t>
            </w:r>
          </w:p>
        </w:tc>
        <w:tc>
          <w:tcPr>
            <w:tcW w:w="0" w:type="dxa"/>
            <w:vAlign w:val="bottom"/>
          </w:tcPr>
          <w:p>
            <w:pPr>
              <w:spacing w:after="0"/>
              <w:rPr>
                <w:sz w:val="1"/>
                <w:szCs w:val="1"/>
                <w:color w:val="auto"/>
              </w:rPr>
            </w:pPr>
          </w:p>
        </w:tc>
      </w:tr>
      <w:tr>
        <w:trPr>
          <w:trHeight w:val="163"/>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900" w:type="dxa"/>
            <w:vAlign w:val="bottom"/>
          </w:tcPr>
          <w:p>
            <w:pPr>
              <w:spacing w:after="0"/>
              <w:rPr>
                <w:sz w:val="14"/>
                <w:szCs w:val="14"/>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181,238</w:t>
            </w:r>
          </w:p>
        </w:tc>
        <w:tc>
          <w:tcPr>
            <w:tcW w:w="0" w:type="dxa"/>
            <w:vAlign w:val="bottom"/>
          </w:tcPr>
          <w:p>
            <w:pPr>
              <w:spacing w:after="0"/>
              <w:rPr>
                <w:sz w:val="1"/>
                <w:szCs w:val="1"/>
                <w:color w:val="auto"/>
              </w:rPr>
            </w:pPr>
          </w:p>
        </w:tc>
      </w:tr>
      <w:tr>
        <w:trPr>
          <w:trHeight w:val="163"/>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income available to common shareholders</w:t>
            </w:r>
          </w:p>
        </w:tc>
        <w:tc>
          <w:tcPr>
            <w:tcW w:w="900" w:type="dxa"/>
            <w:vAlign w:val="bottom"/>
          </w:tcPr>
          <w:p>
            <w:pPr>
              <w:spacing w:after="0"/>
              <w:rPr>
                <w:sz w:val="14"/>
                <w:szCs w:val="14"/>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174,888</w:t>
            </w:r>
          </w:p>
        </w:tc>
        <w:tc>
          <w:tcPr>
            <w:tcW w:w="0" w:type="dxa"/>
            <w:vAlign w:val="bottom"/>
          </w:tcPr>
          <w:p>
            <w:pPr>
              <w:spacing w:after="0"/>
              <w:rPr>
                <w:sz w:val="1"/>
                <w:szCs w:val="1"/>
                <w:color w:val="auto"/>
              </w:rPr>
            </w:pPr>
          </w:p>
        </w:tc>
      </w:tr>
      <w:tr>
        <w:trPr>
          <w:trHeight w:val="163"/>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900" w:type="dxa"/>
            <w:vAlign w:val="bottom"/>
          </w:tcPr>
          <w:p>
            <w:pPr>
              <w:spacing w:after="0"/>
              <w:rPr>
                <w:sz w:val="14"/>
                <w:szCs w:val="14"/>
                <w:color w:val="auto"/>
              </w:rPr>
            </w:pPr>
          </w:p>
        </w:tc>
        <w:tc>
          <w:tcPr>
            <w:tcW w:w="13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1.88</w:t>
            </w:r>
          </w:p>
        </w:tc>
        <w:tc>
          <w:tcPr>
            <w:tcW w:w="0" w:type="dxa"/>
            <w:vAlign w:val="bottom"/>
          </w:tcPr>
          <w:p>
            <w:pPr>
              <w:spacing w:after="0"/>
              <w:rPr>
                <w:sz w:val="1"/>
                <w:szCs w:val="1"/>
                <w:color w:val="auto"/>
              </w:rPr>
            </w:pPr>
          </w:p>
        </w:tc>
      </w:tr>
      <w:tr>
        <w:trPr>
          <w:trHeight w:val="163"/>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9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900" w:type="dxa"/>
            <w:vAlign w:val="bottom"/>
          </w:tcPr>
          <w:p>
            <w:pPr>
              <w:spacing w:after="0"/>
              <w:rPr>
                <w:sz w:val="20"/>
                <w:szCs w:val="20"/>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1.73</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3459"/>
        <w:spacing w:after="0" w:line="286" w:lineRule="auto"/>
        <w:rPr>
          <w:sz w:val="20"/>
          <w:szCs w:val="20"/>
          <w:color w:val="auto"/>
        </w:rPr>
      </w:pPr>
      <w:r>
        <w:rPr>
          <w:rFonts w:ascii="Courier New" w:cs="Courier New" w:eastAsia="Courier New" w:hAnsi="Courier New"/>
          <w:sz w:val="14"/>
          <w:szCs w:val="14"/>
          <w:color w:val="auto"/>
        </w:rPr>
        <w:t>On December 31, 1998, immediately prior to the 1999 Merger, Old CCA sold to CCA all of the issued and outstanding capital stock of certain wholly-owned corporate subsidiaries of Old CCA, certain management contracts and certain other assets and liabilities, and entered into a trade name use agreement as</w:t>
      </w:r>
    </w:p>
    <w:p>
      <w:pPr>
        <w:spacing w:after="0" w:line="200" w:lineRule="exact"/>
        <w:rPr>
          <w:sz w:val="20"/>
          <w:szCs w:val="20"/>
          <w:color w:val="auto"/>
        </w:rPr>
      </w:pPr>
    </w:p>
    <w:p>
      <w:pPr>
        <w:spacing w:after="0" w:line="34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159"/>
          </w:cols>
          <w:pgMar w:left="300" w:top="257"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57</w:t>
      </w:r>
    </w:p>
    <w:p>
      <w:pPr>
        <w:spacing w:after="0" w:line="30"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described previously. In exchange, Old CCA received the CCA Note and 100% of the non-voting common stock of CCA. The non-voting common stock represents a 9.5% economic interest in CCA and was valued at the implied fair market value of $4.8 million. The Company succeeded to these interests as a result of the 1999 Merger. The sale to CCA generated a deferred gain of $63.3 million.</w:t>
      </w:r>
    </w:p>
    <w:p>
      <w:pPr>
        <w:spacing w:after="0" w:line="74"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On December 31, 1998, immediately prior to the 1999 Merger, Old CCA sold to PMS, LLC, certain management contracts and certain other assets and liabilities relating to government-owned adult prison facilities. On January 1, 1999, PMS, LLC merged with PMSI. In exchange, Old CCA received 100% of the non-voting membership interest in PMSI valued at the implied fair market value of $67.1 million. The Company succeeded to this interest as a result of the 1999 Merger. The sale to PMSI generated a deferred gain of $35.4 million.</w:t>
      </w:r>
    </w:p>
    <w:p>
      <w:pPr>
        <w:spacing w:after="0" w:line="74"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On December 31, 1998, immediately prior to the 1999 Merger, Old CCA sold to JJFMS, LLC, certain management contracts and certain other assets and liabilities relating to government-owned jails and juvenile facilities. On January 1, 1999, JJFMS, LLC merged with JJFMSI. In exchange, Old CCA received 100% of the non-voting membership interest in JJFMSI valued at the implied fair market value of $55.9 million. The Company succeeded to this interest as a result of the 1999 Merger. The sale to JJFMSI generated a deferred gain of $18.0 million.</w:t>
      </w:r>
    </w:p>
    <w:p>
      <w:pPr>
        <w:spacing w:after="0" w:line="77"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4"/>
          <w:szCs w:val="14"/>
          <w:color w:val="auto"/>
        </w:rPr>
        <w:t>On January 1, 1999, Old Prison Realty merged with and into the Company (the "Prison Realty Merger"). In the Prison Realty Merger, Old Prison Realty shareholders received 1.0 share of common stock or 8.0% Series A Cumulative Preferred Stock of the Company in exchange for each Old Prison Realty common share or Series A Cumulative Preferred Share. The Prison Realty Merger was accounted for as a purchase acquisition of Old Prison Realty. Subsequent to the Prison Realty Merger, the Company believes it has operated so as to qualify as a REIT and acquires, develops and leases properties rather than operating and managing prison facilities.</w:t>
      </w:r>
    </w:p>
    <w:p>
      <w:pPr>
        <w:spacing w:after="0" w:line="78"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CCA is a private prison management company that operates and manages the substantial majority of facilities owned by the Company. As a result of the 1999 Merger and certain contractual relationships existing between the Company and CCA, the Company is dependent on its significant sources of income from CCA. In addition, the Company pays CCA for services rendered to the Company in development of its correctional and detention facilities. As of December 31, 1999, CCA leased 34 of the 43 operating facilities owned by the Company. For a complete description of the contractual arrangements between the Company and CCA, see "Business -- General Development of Business -- and Recent Developments."</w:t>
      </w:r>
    </w:p>
    <w:p>
      <w:pPr>
        <w:spacing w:after="0" w:line="76" w:lineRule="exact"/>
        <w:rPr>
          <w:sz w:val="20"/>
          <w:szCs w:val="20"/>
          <w:color w:val="auto"/>
        </w:rPr>
      </w:pPr>
    </w:p>
    <w:p>
      <w:pPr>
        <w:ind w:right="3359"/>
        <w:spacing w:after="0" w:line="276" w:lineRule="auto"/>
        <w:rPr>
          <w:sz w:val="20"/>
          <w:szCs w:val="20"/>
          <w:color w:val="auto"/>
        </w:rPr>
      </w:pPr>
      <w:r>
        <w:rPr>
          <w:rFonts w:ascii="Courier New" w:cs="Courier New" w:eastAsia="Courier New" w:hAnsi="Courier New"/>
          <w:sz w:val="14"/>
          <w:szCs w:val="14"/>
          <w:color w:val="auto"/>
        </w:rPr>
        <w:t>As the lessor of correctional and detention facilities, the Company is currently dependent upon the ability of its tenants to make lease payments to the Company. CCA is currently the lessee of a substantial majority of the Company's facilities. Therefore, the Company is currently dependent for a substantial portion of its revenues on CCA's ability to make the lease payments</w:t>
      </w:r>
    </w:p>
    <w:p>
      <w:pPr>
        <w:spacing w:after="0" w:line="200" w:lineRule="exact"/>
        <w:rPr>
          <w:sz w:val="20"/>
          <w:szCs w:val="20"/>
          <w:color w:val="auto"/>
        </w:rPr>
      </w:pPr>
    </w:p>
    <w:p>
      <w:pPr>
        <w:spacing w:after="0" w:line="35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159"/>
          </w:cols>
          <w:pgMar w:left="300" w:top="257"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58</w:t>
      </w:r>
    </w:p>
    <w:p>
      <w:pPr>
        <w:spacing w:after="0" w:line="30"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required under the CCA Leases for such facilities. As previously discussed herein, CCA has incurred substantial losses from operations through the fourth quarter of 1999. In an effort to address CCA's liquidity, the Company and CCA intend to amend the terms of the CCA Leases as described herein under the heading "-- Recent Developments -- Transactions Between the Company and CCA" to restructure the payments due the Company under the CCA Leases. CCA's obligation to make payments under the CCA Leases is not secured by any of the assets of CCA, although the obligations under the CCA Leases are cross-defaulted so that the Company could terminate all of the leases if CCA fails to make required lease payments. Under such circumstances, the Company would be required to find a suitable lessee for the Company's facilities in order to generate revenue and to maintain its ability to qualify as a REIT. Due to the unique nature of correctional and detention facilities, the Company may be unable to locate suitable lessees or to attract such lessees.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68" w:lineRule="exact"/>
        <w:rPr>
          <w:sz w:val="20"/>
          <w:szCs w:val="20"/>
          <w:color w:val="auto"/>
        </w:rPr>
      </w:pPr>
    </w:p>
    <w:p>
      <w:pPr>
        <w:ind w:right="3359"/>
        <w:spacing w:after="0" w:line="251" w:lineRule="auto"/>
        <w:rPr>
          <w:sz w:val="20"/>
          <w:szCs w:val="20"/>
          <w:color w:val="auto"/>
        </w:rPr>
      </w:pPr>
      <w:r>
        <w:rPr>
          <w:rFonts w:ascii="Courier New" w:cs="Courier New" w:eastAsia="Courier New" w:hAnsi="Courier New"/>
          <w:sz w:val="14"/>
          <w:szCs w:val="14"/>
          <w:color w:val="auto"/>
        </w:rPr>
        <w:t>The Company incurred a net loss for the year ended December 31, 1999 of $53.4 million and has been in default under its bank credit facility (outstanding balance of $928.2 million at December 31, 1999) and is in default the MDP Notes (outstanding balance of $40.0 million at December 31, 1999). In addition, the Company expects to be in default under the bank credit facility, the MDP Notes and its $30.0 million 7.5% convertible, subordinated notes during 2000. The defaults relate to failure to comply with certain financial covenants and a "change in control" provision, as defined in the agreements. The noncompliance with the requirements under these outstanding obligations could result in the creditors demanding immediate repayment of these obligations. The events of default have not been formally declared and no acceleration actions have been taken by the creditors. However, the Company has acknowledged to the senior lenders under its bank credit facility that an event of default exists under the bank credit facility and, as such, the Company has been paying interest at the default rate thereunder since January 14, 2000. The Company has not obtained waivers of all noncompliance issues. In addition, as discussed herein under "Liquidity and Capital Resources" and in "Business -- Recent Developments -- Shareholder Litigation," the Company has significant outstanding shareholder and other litigation matters. For a fuller description of the Company's non-compliance with the terms and covenants of its indebtedness and events of default thereunder, as well as the Company's actions with respect to obtaining waivers of these matters, see "Business -- Recent Developments -- Solicitation of Consents for Waivers of, and Amendments to, Provisions of the Company's and CCA's Outstanding Indebtedness."</w:t>
      </w:r>
    </w:p>
    <w:p>
      <w:pPr>
        <w:spacing w:after="0" w:line="96" w:lineRule="exact"/>
        <w:rPr>
          <w:sz w:val="20"/>
          <w:szCs w:val="20"/>
          <w:color w:val="auto"/>
        </w:rPr>
      </w:pPr>
    </w:p>
    <w:p>
      <w:pPr>
        <w:ind w:right="3459"/>
        <w:spacing w:after="0" w:line="261" w:lineRule="auto"/>
        <w:rPr>
          <w:sz w:val="20"/>
          <w:szCs w:val="20"/>
          <w:color w:val="auto"/>
        </w:rPr>
      </w:pPr>
      <w:r>
        <w:rPr>
          <w:rFonts w:ascii="Courier New" w:cs="Courier New" w:eastAsia="Courier New" w:hAnsi="Courier New"/>
          <w:sz w:val="14"/>
          <w:szCs w:val="14"/>
          <w:color w:val="auto"/>
        </w:rPr>
        <w:t>Further, CCA, the Company's primary lessee, which the Company is dependent on for its major sources of income, incurred a net loss of $202.9 million for the year ended December 31, 1999, has a net working capital deficiency and a net capital deficiency at December 31, 1999, and is in default under its revolving credit facility. CCA's default under its revolving credit facility relates to failure to comply with certain financial covenants. In addition, CCA is in default under the CCA Note and has not made certain scheduled lease payments to the Company pursuant to the terms of the CCA Leases. The Company has not provided CCA with a notice of nonpayment of lease payments due under the</w:t>
      </w:r>
    </w:p>
    <w:p>
      <w:pPr>
        <w:spacing w:after="0" w:line="200" w:lineRule="exact"/>
        <w:rPr>
          <w:sz w:val="20"/>
          <w:szCs w:val="20"/>
          <w:color w:val="auto"/>
        </w:rPr>
      </w:pPr>
    </w:p>
    <w:p>
      <w:pPr>
        <w:spacing w:after="0" w:line="3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159"/>
          </w:cols>
          <w:pgMar w:left="300" w:top="257"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59</w:t>
      </w:r>
    </w:p>
    <w:p>
      <w:pPr>
        <w:spacing w:after="0" w:line="30" w:lineRule="exact"/>
        <w:rPr>
          <w:sz w:val="20"/>
          <w:szCs w:val="20"/>
          <w:color w:val="auto"/>
        </w:rPr>
      </w:pPr>
    </w:p>
    <w:p>
      <w:pPr>
        <w:ind w:right="3539"/>
        <w:spacing w:after="0" w:line="327" w:lineRule="auto"/>
        <w:rPr>
          <w:sz w:val="20"/>
          <w:szCs w:val="20"/>
          <w:color w:val="auto"/>
        </w:rPr>
      </w:pPr>
      <w:r>
        <w:rPr>
          <w:rFonts w:ascii="Courier New" w:cs="Courier New" w:eastAsia="Courier New" w:hAnsi="Courier New"/>
          <w:sz w:val="14"/>
          <w:szCs w:val="14"/>
          <w:color w:val="auto"/>
        </w:rPr>
        <w:t>CCA Leases and thus CCA is not currently in default under the terms of the CCA Leases.</w:t>
      </w:r>
    </w:p>
    <w:p>
      <w:pPr>
        <w:spacing w:after="0" w:line="31"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4"/>
          <w:szCs w:val="14"/>
          <w:color w:val="auto"/>
        </w:rPr>
        <w:t>As of December 31, 1999, the first scheduled payment of interest, totaling approximately $16.4 million, on the CCA Note was unpaid. Pursuant to the terms of the CCA Note, CCA was required to make the payment on December 31, 1999; however, pursuant to the terms of a subordination agreement, dated as of March 1, 1999, by and between the Company and the agent of CCA's revolving credit facility, CCA is prohibited from making the scheduled interest payments on the CCA Note when CCA is not in compliance with certain financial covenants. CCA is not in compliance with these financial covenants and, consequently, is prohibited from making the scheduled interest payments to the Company. Pursuant to the terms of the subordination agreement between the Company and the agent of CCA's revolving credit facility, the Company is prohibited from accelerating payment of the principal amount of the CCA Note or taking any other action to enforce its rights under the provisions of the CCA Note for so long as CCA's revolving credit facility remains outstanding. As of December 31, 1999, approximately $24.9 million of rents due from CCA to the Company were unpaid. The terms of the CCA Leases provide that rental payments were due and payable on December 25, 1999. During 2000, CCA has paid $12.9 million of lease payments related to 1999 and no lease payments relating to 2000. Also, the independent public accountants of CCA have indicated in their opinion on the respective 1999 consolidated financial statements that there is substantial doubt about CCA's ability to continue as a going concern.</w:t>
      </w:r>
    </w:p>
    <w:p>
      <w:pPr>
        <w:spacing w:after="0" w:line="91"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Continued operating losses by CCA, declarations of events of default and acceleration actions by the Company's and CCA's creditors, the continued inability of CCA to make contractual payments to the Company, and the Company's limited resources currently available to meet its operating, capital expenditure and debt service requirements will have a material adverse impact on the Company's consolidated financial position, results of operations and cash flows. In addition, these matters concerning the Company and CCA raise substantial doubt about the Company's ability to continue as a going concern. The consolidated financial statements do not include any adjustments relating to the recoverability of asset carrying amounts or the amounts of liabilities that might result should the Company be unable to continue as a going concern.</w:t>
      </w:r>
    </w:p>
    <w:p>
      <w:pPr>
        <w:spacing w:after="0" w:line="82"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4"/>
          <w:szCs w:val="14"/>
          <w:color w:val="auto"/>
        </w:rPr>
        <w:t>The Company has limited resources currently available to meet its operating, capital and debt service requirements. As a result, the Company currently is, and will continue to be, dependent on its ability to borrow funds under the terms of its credit facility to meet these requirements. Due to the Company's financial condition and non-compliance with certain covenants under the terms of its credit facility, the availability of borrowings under its credit facility is uncertain. Accordingly, there can be no assurance that the Company will be able to meet its operating, capital expenditure and debt service requirements in the future.</w:t>
      </w:r>
    </w:p>
    <w:p>
      <w:pPr>
        <w:spacing w:after="0" w:line="200" w:lineRule="exact"/>
        <w:rPr>
          <w:sz w:val="20"/>
          <w:szCs w:val="20"/>
          <w:color w:val="auto"/>
        </w:rPr>
      </w:pPr>
    </w:p>
    <w:p>
      <w:pPr>
        <w:spacing w:after="0" w:line="3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159"/>
          </w:cols>
          <w:pgMar w:left="300" w:top="257"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60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PROSPECTIVE RESTRUCTURING AND RELATED EQUITY INVESTMENT</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AND RELATED TRANSACTIONS</w:t>
      </w:r>
    </w:p>
    <w:p>
      <w:pPr>
        <w:spacing w:after="0" w:line="168" w:lineRule="exact"/>
        <w:rPr>
          <w:sz w:val="20"/>
          <w:szCs w:val="20"/>
          <w:color w:val="auto"/>
        </w:rPr>
      </w:pPr>
    </w:p>
    <w:p>
      <w:pPr>
        <w:ind w:right="3539" w:firstLine="763"/>
        <w:spacing w:after="0" w:line="266" w:lineRule="auto"/>
        <w:rPr>
          <w:sz w:val="20"/>
          <w:szCs w:val="20"/>
          <w:color w:val="auto"/>
        </w:rPr>
      </w:pPr>
      <w:r>
        <w:rPr>
          <w:rFonts w:ascii="Courier New" w:cs="Courier New" w:eastAsia="Courier New" w:hAnsi="Courier New"/>
          <w:sz w:val="14"/>
          <w:szCs w:val="14"/>
          <w:color w:val="auto"/>
        </w:rPr>
        <w:t>In order to address the capital and liquidity constraints facing the Company and CCA, as well as concerns regarding the corporate structure and management of the Company, the Company intends to complete a comprehensive restructuring (the "Restructuring"). For a description of the terms of the Restructuring, including the terms of the two proposals currently being considered by the Company with respect to such Restructuring, see "Business -- Recent Developments -- Restructuring and Related Transactions."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AMENDMENTS TO CCA LEASES AND OTHER AGREEMENTS</w:t>
      </w:r>
    </w:p>
    <w:p>
      <w:pPr>
        <w:spacing w:after="0" w:line="168" w:lineRule="exact"/>
        <w:rPr>
          <w:sz w:val="20"/>
          <w:szCs w:val="20"/>
          <w:color w:val="auto"/>
        </w:rPr>
      </w:pPr>
    </w:p>
    <w:p>
      <w:pPr>
        <w:ind w:right="3359"/>
        <w:spacing w:after="0" w:line="254" w:lineRule="auto"/>
        <w:rPr>
          <w:sz w:val="20"/>
          <w:szCs w:val="20"/>
          <w:color w:val="auto"/>
        </w:rPr>
      </w:pPr>
      <w:r>
        <w:rPr>
          <w:rFonts w:ascii="Courier New" w:cs="Courier New" w:eastAsia="Courier New" w:hAnsi="Courier New"/>
          <w:sz w:val="14"/>
          <w:szCs w:val="14"/>
          <w:color w:val="auto"/>
        </w:rPr>
        <w:t>As of December 31, 1999, approximately $24.9 million of December 1999 rents due from CCA to the Company were unpaid. In an effort to address the liquidity needs of the Company and CCA prior to the completion of the Restructuring, the Company and CCA intend to amend the terms of the CCA Leases. Pursuant to this proposed amendment, rent will be payable on each June 30 and December 31, instead of monthly. In addition, the proposed amendment provides that CCA is required to make certain scheduled monthly installment payments to the Company from January 1, 2000 through June 30, 2000. Approximately $12.9 million of the balance outstanding at December 31, 1999 was paid February 14, 2000, and the Company expects that the remaining $12.0 million of 1999 rents will be received during the second quarter of 2000. In regard to rent accruing from January 1, 2000 through June 30, 2000, the Company and CCA are currently negotiating the scheduled monthly installment payments of 2000 rent that are to occur during the second quarter of 2000. At the time these installment payments are made, CCA will also be required to pay interest to the Company upon such payments at a rate equal to the then current interest rate under the bank credit facility.</w:t>
      </w:r>
    </w:p>
    <w:p>
      <w:pPr>
        <w:spacing w:after="0" w:line="87" w:lineRule="exact"/>
        <w:rPr>
          <w:sz w:val="20"/>
          <w:szCs w:val="20"/>
          <w:color w:val="auto"/>
        </w:rPr>
      </w:pPr>
    </w:p>
    <w:p>
      <w:pPr>
        <w:ind w:right="3459"/>
        <w:spacing w:after="0" w:line="263" w:lineRule="auto"/>
        <w:rPr>
          <w:sz w:val="20"/>
          <w:szCs w:val="20"/>
          <w:color w:val="auto"/>
        </w:rPr>
      </w:pPr>
      <w:r>
        <w:rPr>
          <w:rFonts w:ascii="Courier New" w:cs="Courier New" w:eastAsia="Courier New" w:hAnsi="Courier New"/>
          <w:sz w:val="14"/>
          <w:szCs w:val="14"/>
          <w:color w:val="auto"/>
        </w:rPr>
        <w:t>The Company and CCA also intend to amend the terms of the Business Development Agreement, the Amended and Restated Services Agreement, and the Amended and Restated Tenant Incentive Agreement to provide for the deferral of the payment of all fees under these agreements by the Company to CCA until September 30, 2000. For a description of the proposed amendments to the CCA Leases and to the Business Development Agreement, the Amended and Restated Services Agreement and the Amended and Restated Tenant Incentive Agreement, see "Business -- Recent Developments -- Transactions Between the Company and CCA."</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CONSENTS</w:t>
      </w:r>
    </w:p>
    <w:p>
      <w:pPr>
        <w:spacing w:after="0" w:line="168"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The proposed amendments to the contractual agreements between the Company and CCA as previously described are subject to the consent of the Company's lenders. The consummation of the Restructuring, absent a refinancing of the Company's debt, also is subject to the consent of the Company's lenders. The actions of the Company with respect to the solicitation of the consent of the Company's lenders with respect to these matters is</w:t>
      </w:r>
    </w:p>
    <w:p>
      <w:pPr>
        <w:spacing w:after="0" w:line="200" w:lineRule="exact"/>
        <w:rPr>
          <w:sz w:val="20"/>
          <w:szCs w:val="20"/>
          <w:color w:val="auto"/>
        </w:rPr>
      </w:pPr>
    </w:p>
    <w:p>
      <w:pPr>
        <w:spacing w:after="0" w:line="3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159"/>
          </w:cols>
          <w:pgMar w:left="300" w:top="257"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61</w:t>
      </w:r>
    </w:p>
    <w:p>
      <w:pPr>
        <w:spacing w:after="0" w:line="30" w:lineRule="exact"/>
        <w:rPr>
          <w:sz w:val="20"/>
          <w:szCs w:val="20"/>
          <w:color w:val="auto"/>
        </w:rPr>
      </w:pPr>
    </w:p>
    <w:p>
      <w:pPr>
        <w:ind w:right="3699"/>
        <w:spacing w:after="0" w:line="327" w:lineRule="auto"/>
        <w:rPr>
          <w:sz w:val="20"/>
          <w:szCs w:val="20"/>
          <w:color w:val="auto"/>
        </w:rPr>
      </w:pPr>
      <w:r>
        <w:rPr>
          <w:rFonts w:ascii="Courier New" w:cs="Courier New" w:eastAsia="Courier New" w:hAnsi="Courier New"/>
          <w:sz w:val="14"/>
          <w:szCs w:val="14"/>
          <w:color w:val="auto"/>
        </w:rPr>
        <w:t>described under the heading "Business -- Recent Developments -- Transactions Between the Company and CCA."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1999</w:t>
      </w:r>
    </w:p>
    <w:p>
      <w:pPr>
        <w:spacing w:after="0" w:line="16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Company commenced operations on January 1, 1999 as a result of the 1999 Merger. The 1999 Merger was accounted for as a reverse acquisition of the Company by Old CCA and the purchase of Old Prison Realty by the Company. As such, Old CCA was treated as the acquiring company, and Old Prison Realty was treated as the acquired company, for financial reporting purposes. The provisions of the purchase method of accounting prescribe that Old CCA's historical financial statements be presented as the Company's historical financial statements. Management believes that comparison of financial results between 1999 and 1998 is not meaningful because the 1998 results reflect the operations of Old CCA, and the 1999 results of operations reflect the operating results of the Company as a REIT.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RENTAL REVENUES</w:t>
      </w:r>
    </w:p>
    <w:p>
      <w:pPr>
        <w:spacing w:after="0" w:line="168"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For the year ended December 31, 1999, rental revenues were $270.1 million and were generated from the leasing of correctional and detention facilities. During the year, the Company began leasing five new facilities, one in February 1999, one in April 1999, one in September 1999 and two in December 1999 respectively, in addition to the 37 facilities which were previously leased as of the beginning of the year.</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INCOME</w:t>
      </w:r>
    </w:p>
    <w:p>
      <w:pPr>
        <w:spacing w:after="0" w:line="168" w:lineRule="exact"/>
        <w:rPr>
          <w:sz w:val="20"/>
          <w:szCs w:val="20"/>
          <w:color w:val="auto"/>
        </w:rPr>
      </w:pPr>
    </w:p>
    <w:p>
      <w:pPr>
        <w:ind w:right="3459"/>
        <w:spacing w:after="0" w:line="286" w:lineRule="auto"/>
        <w:rPr>
          <w:sz w:val="20"/>
          <w:szCs w:val="20"/>
          <w:color w:val="auto"/>
        </w:rPr>
      </w:pPr>
      <w:r>
        <w:rPr>
          <w:rFonts w:ascii="Courier New" w:cs="Courier New" w:eastAsia="Courier New" w:hAnsi="Courier New"/>
          <w:sz w:val="14"/>
          <w:szCs w:val="14"/>
          <w:color w:val="auto"/>
        </w:rPr>
        <w:t>For the year ended December 31, 1999, interest income was $6.9 million. This amount was a result of interest earned on cash used to collateralize letters of credit for certain construction projects, direct financing leases and investments of cash prior to the funding of construction projects.</w:t>
      </w:r>
    </w:p>
    <w:p>
      <w:pPr>
        <w:spacing w:after="0" w:line="59" w:lineRule="exact"/>
        <w:rPr>
          <w:sz w:val="20"/>
          <w:szCs w:val="20"/>
          <w:color w:val="auto"/>
        </w:rPr>
      </w:pPr>
    </w:p>
    <w:p>
      <w:pPr>
        <w:ind w:right="3459"/>
        <w:spacing w:after="0" w:line="263" w:lineRule="auto"/>
        <w:rPr>
          <w:sz w:val="20"/>
          <w:szCs w:val="20"/>
          <w:color w:val="auto"/>
        </w:rPr>
      </w:pPr>
      <w:r>
        <w:rPr>
          <w:rFonts w:ascii="Courier New" w:cs="Courier New" w:eastAsia="Courier New" w:hAnsi="Courier New"/>
          <w:sz w:val="14"/>
          <w:szCs w:val="14"/>
          <w:color w:val="auto"/>
        </w:rPr>
        <w:t>In connection with the 1999 Merger, Old CCA received the $137.0 million CCA Note. The Company succeeded to the CCA Note as a result of the 1999 Merger. Interest on the CCA Note is payable annually at the rate of 12%. Principal is due in six equal annual installments beginning December 31, 2003. As previously described, as of December 31, 1999, the first scheduled payment of interest, totaling approximately $16.4 million, on the CCA Note was unpaid. The Company has fully reserved the $16.4 million of interest accrued under the terms of the CCA Note during 1999.</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LICENSING FEES</w:t>
      </w:r>
    </w:p>
    <w:p>
      <w:pPr>
        <w:spacing w:after="0" w:line="168" w:lineRule="exact"/>
        <w:rPr>
          <w:sz w:val="20"/>
          <w:szCs w:val="20"/>
          <w:color w:val="auto"/>
        </w:rPr>
      </w:pPr>
    </w:p>
    <w:p>
      <w:pPr>
        <w:ind w:right="3539"/>
        <w:spacing w:after="0" w:line="270" w:lineRule="auto"/>
        <w:rPr>
          <w:sz w:val="20"/>
          <w:szCs w:val="20"/>
          <w:color w:val="auto"/>
        </w:rPr>
      </w:pPr>
      <w:r>
        <w:rPr>
          <w:rFonts w:ascii="Courier New" w:cs="Courier New" w:eastAsia="Courier New" w:hAnsi="Courier New"/>
          <w:sz w:val="14"/>
          <w:szCs w:val="14"/>
          <w:color w:val="auto"/>
        </w:rPr>
        <w:t>For the year ended December 31, 1999, licensing fees were $8.7 million. The licensing fees were earned as a result of the Trade Name Use Agreement which granted CCA the right to use the name "Corrections Corporation of America" and derivatives thereof subject to specified terms and conditions therein. The fee is based upon gross revenues of CCA, subject to a limitation of 2.75% of the gross revenues of the Company.</w:t>
      </w:r>
    </w:p>
    <w:p>
      <w:pPr>
        <w:spacing w:after="0" w:line="200" w:lineRule="exact"/>
        <w:rPr>
          <w:sz w:val="20"/>
          <w:szCs w:val="20"/>
          <w:color w:val="auto"/>
        </w:rPr>
      </w:pPr>
    </w:p>
    <w:p>
      <w:pPr>
        <w:spacing w:after="0" w:line="36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159"/>
          </w:cols>
          <w:pgMar w:left="300" w:top="257"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62</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142" w:lineRule="exact"/>
        <w:rPr>
          <w:sz w:val="20"/>
          <w:szCs w:val="20"/>
          <w:color w:val="auto"/>
        </w:rPr>
      </w:pPr>
    </w:p>
    <w:p>
      <w:pPr>
        <w:jc w:val="both"/>
        <w:ind w:right="3459"/>
        <w:spacing w:after="0" w:line="286" w:lineRule="auto"/>
        <w:rPr>
          <w:sz w:val="20"/>
          <w:szCs w:val="20"/>
          <w:color w:val="auto"/>
        </w:rPr>
      </w:pPr>
      <w:r>
        <w:rPr>
          <w:rFonts w:ascii="Courier New" w:cs="Courier New" w:eastAsia="Courier New" w:hAnsi="Courier New"/>
          <w:sz w:val="14"/>
          <w:szCs w:val="14"/>
          <w:color w:val="auto"/>
        </w:rPr>
        <w:t>For the year ended December 31, 1999, depreciation expense was $ 44.1 million. Depreciation expense as a percentage of rental revenues for 1999 was 16.3%. The Company uses the straight-line depreciation method over 50 and five year lives of buildings and machinery and equipment, respectively.</w:t>
      </w: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AND ADMINISTRATIVE EXPENSE</w:t>
      </w:r>
    </w:p>
    <w:p>
      <w:pPr>
        <w:spacing w:after="0" w:line="168" w:lineRule="exact"/>
        <w:rPr>
          <w:sz w:val="20"/>
          <w:szCs w:val="20"/>
          <w:color w:val="auto"/>
        </w:rPr>
      </w:pPr>
    </w:p>
    <w:p>
      <w:pPr>
        <w:ind w:right="3459"/>
        <w:spacing w:after="0" w:line="276" w:lineRule="auto"/>
        <w:rPr>
          <w:sz w:val="20"/>
          <w:szCs w:val="20"/>
          <w:color w:val="auto"/>
        </w:rPr>
      </w:pPr>
      <w:r>
        <w:rPr>
          <w:rFonts w:ascii="Courier New" w:cs="Courier New" w:eastAsia="Courier New" w:hAnsi="Courier New"/>
          <w:sz w:val="14"/>
          <w:szCs w:val="14"/>
          <w:color w:val="auto"/>
        </w:rPr>
        <w:t>For the year ended December 31, 1999, general and administrative expenses were $24.1 million or 8.9% of 1999 rental revenues. General and administrative expenses consist primarily of management salaries and benefits, legal and other administrative costs. Salaries and related benefits represented 12% of general and administrative expenses for the year ended December 31, 1999.</w:t>
      </w:r>
    </w:p>
    <w:p>
      <w:pPr>
        <w:spacing w:after="0" w:line="67" w:lineRule="exact"/>
        <w:rPr>
          <w:sz w:val="20"/>
          <w:szCs w:val="20"/>
          <w:color w:val="auto"/>
        </w:rPr>
      </w:pPr>
    </w:p>
    <w:p>
      <w:pPr>
        <w:ind w:right="3459"/>
        <w:spacing w:after="0" w:line="263" w:lineRule="auto"/>
        <w:rPr>
          <w:sz w:val="20"/>
          <w:szCs w:val="20"/>
          <w:color w:val="auto"/>
        </w:rPr>
      </w:pPr>
      <w:r>
        <w:rPr>
          <w:rFonts w:ascii="Courier New" w:cs="Courier New" w:eastAsia="Courier New" w:hAnsi="Courier New"/>
          <w:sz w:val="14"/>
          <w:szCs w:val="14"/>
          <w:color w:val="auto"/>
        </w:rPr>
        <w:t>During 1999, the Company was involved in various litigation including shareholder litigation and other legal matters which are being defended and handled in the ordinary course of business. While the ultimate results of these individual matters cannot be exactly determined, the Company incurred legal expenses of $6.3 million during 1999. See "Liquidity and Capital Resources" herein for further discussion of litigation issues as well as the information contained under the headings "Business -- Recent Developments -- Shareholder Litigation" and "Legal Proceedings."</w:t>
      </w:r>
    </w:p>
    <w:p>
      <w:pPr>
        <w:spacing w:after="0" w:line="77" w:lineRule="exact"/>
        <w:rPr>
          <w:sz w:val="20"/>
          <w:szCs w:val="20"/>
          <w:color w:val="auto"/>
        </w:rPr>
      </w:pPr>
    </w:p>
    <w:p>
      <w:pPr>
        <w:ind w:right="3359"/>
        <w:spacing w:after="0" w:line="306" w:lineRule="auto"/>
        <w:rPr>
          <w:sz w:val="20"/>
          <w:szCs w:val="20"/>
          <w:color w:val="auto"/>
        </w:rPr>
      </w:pPr>
      <w:r>
        <w:rPr>
          <w:rFonts w:ascii="Courier New" w:cs="Courier New" w:eastAsia="Courier New" w:hAnsi="Courier New"/>
          <w:sz w:val="14"/>
          <w:szCs w:val="14"/>
          <w:color w:val="auto"/>
        </w:rPr>
        <w:t>In connection with the proposed Restructuring and related equity investment, the Company has incurred $3.9 million of costs representing consulting and legal advisory services prior to the consummation of the proposed transaction.</w:t>
      </w:r>
    </w:p>
    <w:p>
      <w:pPr>
        <w:spacing w:after="0" w:line="46"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As a result of the Company's failure to declare the dividends discussed herein under "Distributions to Shareholders" prior to December 31, 1999, and failure to distribute, prior to January 31, 2000, dividends sufficient to distribute 95% of its taxable income for 1999, the Company is subject to excise taxes, which are currently estimated to be $7.1 million and which have been accrued as of December 31, 1999.</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IN EARNINGS OF UNCONSOLIDATED ENTITIES AND AMORTIZATION OF DEFERRED GAINS</w:t>
      </w:r>
    </w:p>
    <w:p>
      <w:pPr>
        <w:spacing w:after="0" w:line="168"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For 1999, equity in earnings of unconsolidated entities and amortization of deferred gains were $22.9 million. For the year ended December 31, 1999, the Company recognized equity in earnings of PMSI and JJFMSI of $4.7 million and $7.5 million, respectively, and received distributions from PMSI and JJFMSI of $11.0 million and $10.6 million, respectively. For 1999, the amortization of the deferred gain on the sales of contracts to the PMSI and JJFMSI was $7.1 million and $3.6 million, respectively.</w:t>
      </w:r>
    </w:p>
    <w:p>
      <w:pPr>
        <w:spacing w:after="0" w:line="200" w:lineRule="exact"/>
        <w:rPr>
          <w:sz w:val="20"/>
          <w:szCs w:val="20"/>
          <w:color w:val="auto"/>
        </w:rPr>
      </w:pPr>
    </w:p>
    <w:p>
      <w:pPr>
        <w:spacing w:after="0" w:line="3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159"/>
          </w:cols>
          <w:pgMar w:left="300" w:top="257"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63</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42"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For the year ended December 31, 1999, interest expense was $51.9 million, respectively. Interest expense is based on outstanding convertible notes payable balances and borrowings under the Company's bank credit facility and the Company's Senior Notes, including amortization of loan costs and unused fees. Interest expense is reported net of capitalized interest on construction in progress of $37.7 million for 1999.</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WRITE OFF OF LOAN COSTS</w:t>
      </w:r>
    </w:p>
    <w:p>
      <w:pPr>
        <w:spacing w:after="0" w:line="168" w:lineRule="exact"/>
        <w:rPr>
          <w:sz w:val="20"/>
          <w:szCs w:val="20"/>
          <w:color w:val="auto"/>
        </w:rPr>
      </w:pPr>
    </w:p>
    <w:p>
      <w:pPr>
        <w:jc w:val="both"/>
        <w:ind w:right="3459"/>
        <w:spacing w:after="0" w:line="306" w:lineRule="auto"/>
        <w:rPr>
          <w:sz w:val="20"/>
          <w:szCs w:val="20"/>
          <w:color w:val="auto"/>
        </w:rPr>
      </w:pPr>
      <w:r>
        <w:rPr>
          <w:rFonts w:ascii="Courier New" w:cs="Courier New" w:eastAsia="Courier New" w:hAnsi="Courier New"/>
          <w:sz w:val="14"/>
          <w:szCs w:val="14"/>
          <w:color w:val="auto"/>
        </w:rPr>
        <w:t>As a result of the amendment to the original bank credit facility, the Company incurred a write off of loan costs of $9.0 million for 1999. See "Liquidity and Capital Resources" for a discussion of this write-off.</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ON DISPOSAL OF ASSETS</w:t>
      </w:r>
    </w:p>
    <w:p>
      <w:pPr>
        <w:spacing w:after="0" w:line="168"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In June 1999, the Company incurred a loss of $1.6 million as a result of a settlement with the State of South Carolina for property previously owned by Old CCA. Under the settlement, the Company, as the successor to Old CCA, will receive $6.5 million in three installments by June 30, 2001 for the transferred assets. The net proceeds were approximately $1.6 million less than the surrendered assets' depreciated book value. The Company received $3.5 million of the proceeds during 1999. As of December 31, 1999, the Company has a receivable of $3.0 million related to this settlement.</w:t>
      </w:r>
    </w:p>
    <w:p>
      <w:pPr>
        <w:spacing w:after="0" w:line="77"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In December 1999, the Company incurred a loss of $0.4 million resulting from a sale of a new facility in Florida. Construction on the facility was completed by the Company in May 1999. In accordance with the terms of the management contract between Old CCA and Polk County, Florida, Polk County exercised an option to purchase the facility. Net proceeds of $40.5 million were received by the Company.</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WRITE OFF OF AMOUNTS UNDER LEASE ARRANGEMENTS</w:t>
      </w:r>
    </w:p>
    <w:p>
      <w:pPr>
        <w:spacing w:after="0" w:line="168"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For the year ended December 1999, the Company had paid tenant incentive fees of $68.6 million, with $2.9 million of those fees amortized against rental revenues. During the fourth quarter of 1999, the Company undertook a plan that contemplates merging with CCA and thereby eliminating the CCA Leases or amending the CCA Leases to significantly reduce the lease payments to be paid by CCA to the Company. Consequently, the Company determined that the remaining deferred tenant incentive fees at December 31, 1999 were not realizable and wrote off fees totaling $65.7 million.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LOSS</w:t>
      </w:r>
    </w:p>
    <w:p>
      <w:pPr>
        <w:spacing w:after="0" w:line="168" w:lineRule="exact"/>
        <w:rPr>
          <w:sz w:val="20"/>
          <w:szCs w:val="20"/>
          <w:color w:val="auto"/>
        </w:rPr>
      </w:pPr>
    </w:p>
    <w:p>
      <w:pPr>
        <w:ind w:right="3459"/>
        <w:spacing w:after="0" w:line="276" w:lineRule="auto"/>
        <w:rPr>
          <w:sz w:val="20"/>
          <w:szCs w:val="20"/>
          <w:color w:val="auto"/>
        </w:rPr>
      </w:pPr>
      <w:r>
        <w:rPr>
          <w:rFonts w:ascii="Courier New" w:cs="Courier New" w:eastAsia="Courier New" w:hAnsi="Courier New"/>
          <w:sz w:val="14"/>
          <w:szCs w:val="14"/>
          <w:color w:val="auto"/>
        </w:rPr>
        <w:t>SFAS 121, "Accounting for the Impairment of Long-Lived Assets and Long-Lived Assets to be Disposed Of," requires impairment losses to be recognized for long-lived assets used in operations when indications of impairment are present and the estimate of undiscounted future cash flows is not sufficient to recover asset</w:t>
      </w:r>
    </w:p>
    <w:p>
      <w:pPr>
        <w:spacing w:after="0" w:line="200" w:lineRule="exact"/>
        <w:rPr>
          <w:sz w:val="20"/>
          <w:szCs w:val="20"/>
          <w:color w:val="auto"/>
        </w:rPr>
      </w:pPr>
    </w:p>
    <w:p>
      <w:pPr>
        <w:spacing w:after="0" w:line="35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159"/>
          </w:cols>
          <w:pgMar w:left="300" w:top="257"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64</w:t>
      </w:r>
    </w:p>
    <w:p>
      <w:pPr>
        <w:spacing w:after="0" w:line="30" w:lineRule="exact"/>
        <w:rPr>
          <w:sz w:val="20"/>
          <w:szCs w:val="20"/>
          <w:color w:val="auto"/>
        </w:rPr>
      </w:pPr>
    </w:p>
    <w:p>
      <w:pPr>
        <w:ind w:right="3359"/>
        <w:spacing w:after="0" w:line="254" w:lineRule="auto"/>
        <w:rPr>
          <w:sz w:val="20"/>
          <w:szCs w:val="20"/>
          <w:color w:val="auto"/>
        </w:rPr>
      </w:pPr>
      <w:r>
        <w:rPr>
          <w:rFonts w:ascii="Courier New" w:cs="Courier New" w:eastAsia="Courier New" w:hAnsi="Courier New"/>
          <w:sz w:val="14"/>
          <w:szCs w:val="14"/>
          <w:color w:val="auto"/>
        </w:rPr>
        <w:t>carrying amounts. In December 1999, the poor financial position, results of operations and cash flows of CCA indicated to management that certain of its correctional and detention facilities might be impaired. In accordance with SFAS 121, the Company estimated the undiscounted net cash flows for each of its properties and compared the sum of those undiscounted net cash flows to the Company's investment in that property. Through its analysis, the Company determined that three of its correctional and detention facilities in the state of Kentucky had been impaired. For these three properties, the Company reduced the carrying values of the underlying assets to their estimated fair values, as determined based on anticipated future cash flows discounted at rates commensurate with the risks involved. The resulting impairment loss totaled $76.4 million.</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CHANGE IN TAX STATUS</w:t>
      </w:r>
    </w:p>
    <w:p>
      <w:pPr>
        <w:spacing w:after="0" w:line="168"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The Company, formerly a taxable corporation, intends to elect to change its tax status from a taxable corporation to a REIT effective with the filing of its 1999 federal income tax return. As of December 31, 1998, the Company's balance sheet reflected $83.2 million in gross deferred tax assets. In accordance with the provisions of Statement of Financial Accounting Standards No. 109, "Accounting for Income Taxes" ("SFAS 109"), the Company provided a provision for these deferred tax assets, excluding any estimated tax liabilities required for prior tax periods, upon completion of the 1999 Merger and the election to be taxed as a REIT. As such, the Company's results of operations reflect a provision for change in tax status of $83.2 million for the year ended December 31, 1999.</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1998 COMPARED WITH YEAR ENDED DECEMBER 31, 1997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AND OTHER REVENUES</w:t>
      </w:r>
    </w:p>
    <w:p>
      <w:pPr>
        <w:spacing w:after="0" w:line="168"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Total revenues increased 43.2% in 1998 as compared to 1997, with increases in both management and transportation services. Management revenues increased 44% in 1998, or $197.9 million. This increase was primarily due to the opening of new facilities and the expansion of existing facilities by Old CCA in 1997 and 1998. In 1998, Old CCA opened 10 new facilities with an aggregate design capacity of 9,256 beds, assumed management of eight facilities with an aggregate design capacity of 3,757 beds and expanded seven existing facilities to increase their design capacity by an aggregate of 2,473 beds. Due to the growth in beds, compensated mandays increased 44% in 1998 from 10,524,537 to 15,107,533. Average occupancy improved to 94.4% in 1998 as compared to 93.2% in 1997.</w:t>
      </w:r>
    </w:p>
    <w:p>
      <w:pPr>
        <w:spacing w:after="0" w:line="76" w:lineRule="exact"/>
        <w:rPr>
          <w:sz w:val="20"/>
          <w:szCs w:val="20"/>
          <w:color w:val="auto"/>
        </w:rPr>
      </w:pPr>
    </w:p>
    <w:p>
      <w:pPr>
        <w:ind w:right="3539"/>
        <w:spacing w:after="0" w:line="276" w:lineRule="auto"/>
        <w:rPr>
          <w:sz w:val="20"/>
          <w:szCs w:val="20"/>
          <w:color w:val="auto"/>
        </w:rPr>
      </w:pPr>
      <w:r>
        <w:rPr>
          <w:rFonts w:ascii="Courier New" w:cs="Courier New" w:eastAsia="Courier New" w:hAnsi="Courier New"/>
          <w:sz w:val="14"/>
          <w:szCs w:val="14"/>
          <w:color w:val="auto"/>
        </w:rPr>
        <w:t>Transportation revenues increased $1.9 million or 15% in 1998 as compared to 1997. This growth was primarily the result of an expanded customer base and increased compensated mileage realized through the increased utilization of three transportation hubs opened in 1997 and more "mass transports," which are generally moves of 40 or more inmates per trip.</w:t>
      </w:r>
    </w:p>
    <w:p>
      <w:pPr>
        <w:spacing w:after="0" w:line="200" w:lineRule="exact"/>
        <w:rPr>
          <w:sz w:val="20"/>
          <w:szCs w:val="20"/>
          <w:color w:val="auto"/>
        </w:rPr>
      </w:pPr>
    </w:p>
    <w:p>
      <w:pPr>
        <w:spacing w:after="0" w:line="35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159"/>
          </w:cols>
          <w:pgMar w:left="300" w:top="257"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65</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142"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Facility operating expenses increased 50.2% to $496.5 million in 1998. There were significant increases in operating expenses realized due to the increased compensated mandays and compensated mileage that Old CCA realized in 1998 as previously mentioned. Also Old CCA adopted the provisions of the AICPA's Statement of Position ("SOP") 98-5, "Reporting on the Costs of Start-up Activities". The effect of this accounting change for 1998 was a $14.9 million charge to operating expenses. Prior to the adoption of SOP 98-5, project development and facility start-up costs were deferred and amortized on a straight-line basis over the lesser of the initial term of the contract plus renewals or five years. In conjunction with Old CCA terminating five contractual relationships, Old CCA realized approximately $2.0 million of operating expenses related to transition costs and deferred contract costs. Old CCA also incurred $1.0 million of non-recurring operating expenses related to the 1999 Merger.</w:t>
      </w:r>
    </w:p>
    <w:p>
      <w:pPr>
        <w:spacing w:after="0" w:line="84"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In 1998, Old CCA was subject to a class action lawsuit at one of its facilities regarding the alleged violation of inmate rights which was settled subsequent to the end of the year. Old CCA was also subject to two wrongful death lawsuits at one of its facilities. These lawsuits were assumed by the Company in the 1999 Merger. CCA recognized $2.1 million of expenses in 1998 related to these lawsuits. See "Legal Proceedings."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EXPENSE</w:t>
      </w:r>
    </w:p>
    <w:p>
      <w:pPr>
        <w:spacing w:after="0" w:line="168"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Lease expense increased 210.5% in 1998 compared to 1997. Old CCA had entered into leases with Old Prison Realty in July 1997 for the initial nine facilities that Old CCA had sold to Old Prison Realty. Throughout 1997 and 1998, Old CCA sold an additional four facilities and one expansion to Old Prison Realty and immediately after these sales, leased the facilities back pursuant to long-term, triple net leases. As a result of the U.S. Corrections Corporation acquisition, Old CCA entered into long-term leases for four additional facilities with Old Prison Realty.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AND ADMINISTRATIVE</w:t>
      </w:r>
    </w:p>
    <w:p>
      <w:pPr>
        <w:spacing w:after="0" w:line="168"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General and administrative expenses increased 78.6% in 1998 over 1997. Included in general and administrative expenses was $1.3 million incurred in the fourth quarter of 1998 for an advertising and employee relations initiative aimed at raising the public awareness of Old CCA and the industry. Also, in connection with the 1999 Merger, CCA became subject to a purported class action lawsuit attempting to enjoin the 1999 Merger and seeking unspecified monetary damages. The lawsuit was settled in principle in November 1998 with the formal settlement being completed in March 1999. Accordingly, Old CCA recognized $3.2 million of expense in 1998 to cover legal fees and the settlement obligation. See "Liquidity and Capital Resources" for further discussion.</w:t>
      </w:r>
    </w:p>
    <w:p>
      <w:pPr>
        <w:spacing w:after="0" w:line="200" w:lineRule="exact"/>
        <w:rPr>
          <w:sz w:val="20"/>
          <w:szCs w:val="20"/>
          <w:color w:val="auto"/>
        </w:rPr>
      </w:pPr>
    </w:p>
    <w:p>
      <w:pPr>
        <w:spacing w:after="0" w:line="36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159"/>
          </w:cols>
          <w:pgMar w:left="300" w:top="257"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66</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CCA COMPENSATION CHARGE</w:t>
      </w:r>
    </w:p>
    <w:p>
      <w:pPr>
        <w:spacing w:after="0" w:line="142"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4"/>
          <w:szCs w:val="14"/>
          <w:color w:val="auto"/>
        </w:rPr>
        <w:t>Old CCA recorded a $22.9 million charge to expense in 1998 for the implied fair value of 5,000 shares of CCA voting common stock issued by CCA to certain employees of Old CCA and Old Prison Realty. The shares were granted to certain founding shareholders of CCA in September 1998. Neither Old CCA nor CCA received any proceeds from the issuance of these shares. The fair value of these common shares was determined at the date of the 1999 Merger based upon the implied value of CCA, derived from $16.0 million in cash investments made by outside investors as of December 31, 1998, as consideration for a 32% ownership interest in CCA.</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168" w:lineRule="exact"/>
        <w:rPr>
          <w:sz w:val="20"/>
          <w:szCs w:val="20"/>
          <w:color w:val="auto"/>
        </w:rPr>
      </w:pPr>
    </w:p>
    <w:p>
      <w:pPr>
        <w:ind w:right="3459"/>
        <w:spacing w:after="0" w:line="286" w:lineRule="auto"/>
        <w:rPr>
          <w:sz w:val="20"/>
          <w:szCs w:val="20"/>
          <w:color w:val="auto"/>
        </w:rPr>
      </w:pPr>
      <w:r>
        <w:rPr>
          <w:rFonts w:ascii="Courier New" w:cs="Courier New" w:eastAsia="Courier New" w:hAnsi="Courier New"/>
          <w:sz w:val="14"/>
          <w:szCs w:val="14"/>
          <w:color w:val="auto"/>
        </w:rPr>
        <w:t>Depreciation and amortization expenses increased 7.4% in 1998 over 1997. The increase was due to the increase in the number of owned facilities operated by Old CCA in 1998 as compared to 1997. Of the 10 new facilities opened by Old CCA in 1998, Old CCA owned six.</w:t>
      </w: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 for 1998 was $8.6 million as compared to $7.4 million in 1997.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INCOME</w:t>
      </w:r>
    </w:p>
    <w:p>
      <w:pPr>
        <w:spacing w:after="0" w:line="168" w:lineRule="exact"/>
        <w:rPr>
          <w:sz w:val="20"/>
          <w:szCs w:val="20"/>
          <w:color w:val="auto"/>
        </w:rPr>
      </w:pPr>
    </w:p>
    <w:p>
      <w:pPr>
        <w:ind w:right="3359"/>
        <w:spacing w:after="0" w:line="286" w:lineRule="auto"/>
        <w:rPr>
          <w:sz w:val="20"/>
          <w:szCs w:val="20"/>
          <w:color w:val="auto"/>
        </w:rPr>
      </w:pPr>
      <w:r>
        <w:rPr>
          <w:rFonts w:ascii="Courier New" w:cs="Courier New" w:eastAsia="Courier New" w:hAnsi="Courier New"/>
          <w:sz w:val="14"/>
          <w:szCs w:val="14"/>
          <w:color w:val="auto"/>
        </w:rPr>
        <w:t>Interest income for 1998 was actually $11.4 million as compared to $10.8 million of interest income in 1997. In 1998, Old CCA was still benefiting from interest earnings on the cash proceeds that Old CCA realized in 1997 when it sold 12 facilities to Old Prison Realty.</w:t>
      </w: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WRITE OFF OF LOAN COSTS</w:t>
      </w:r>
    </w:p>
    <w:p>
      <w:pPr>
        <w:spacing w:after="0" w:line="168"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In June 1998, Old CCA expanded its credit facility from $170.0 million to $350.0 million and incurred debt issuance costs that were being amortized over the life of the loan. The credit facility matured at the earlier of the date of the completion of the 1999 Merger or September 1999. Accordingly, upon consummation of the 1999 Merger the credit facility was terminated and the related unamortized issuance costs were expensed. See "Liquidity and Capital Resources" for more detail.</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ACCOUNTING CHANGE, NET OF TAXES</w:t>
      </w:r>
    </w:p>
    <w:p>
      <w:pPr>
        <w:spacing w:after="0" w:line="168" w:lineRule="exact"/>
        <w:rPr>
          <w:sz w:val="20"/>
          <w:szCs w:val="20"/>
          <w:color w:val="auto"/>
        </w:rPr>
      </w:pPr>
    </w:p>
    <w:p>
      <w:pPr>
        <w:ind w:right="3459"/>
        <w:spacing w:after="0" w:line="286" w:lineRule="auto"/>
        <w:rPr>
          <w:sz w:val="20"/>
          <w:szCs w:val="20"/>
          <w:color w:val="auto"/>
        </w:rPr>
      </w:pPr>
      <w:r>
        <w:rPr>
          <w:rFonts w:ascii="Courier New" w:cs="Courier New" w:eastAsia="Courier New" w:hAnsi="Courier New"/>
          <w:sz w:val="14"/>
          <w:szCs w:val="14"/>
          <w:color w:val="auto"/>
        </w:rPr>
        <w:t>As previously discussed, Old CCA adopted the provisions of SOP 98-5 in 1998. As a result, Old CCA recorded a $16.1 million charge as a cumulative effect of accounting change, net of taxes of $10.3 million, on periods through December 31, 1997.</w:t>
      </w:r>
    </w:p>
    <w:p>
      <w:pPr>
        <w:spacing w:after="0" w:line="200" w:lineRule="exact"/>
        <w:rPr>
          <w:sz w:val="20"/>
          <w:szCs w:val="20"/>
          <w:color w:val="auto"/>
        </w:rPr>
      </w:pPr>
    </w:p>
    <w:p>
      <w:pPr>
        <w:spacing w:after="0" w:line="34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159"/>
          </w:cols>
          <w:pgMar w:left="300" w:top="257"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67</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 FOR THE YEAR ENDED DECEMBER 31, 1999</w:t>
      </w:r>
    </w:p>
    <w:p>
      <w:pPr>
        <w:spacing w:after="0" w:line="142" w:lineRule="exact"/>
        <w:rPr>
          <w:sz w:val="20"/>
          <w:szCs w:val="20"/>
          <w:color w:val="auto"/>
        </w:rPr>
      </w:pPr>
    </w:p>
    <w:p>
      <w:pPr>
        <w:ind w:right="3359"/>
        <w:spacing w:after="0" w:line="255" w:lineRule="auto"/>
        <w:rPr>
          <w:sz w:val="20"/>
          <w:szCs w:val="20"/>
          <w:color w:val="auto"/>
        </w:rPr>
      </w:pPr>
      <w:r>
        <w:rPr>
          <w:rFonts w:ascii="Courier New" w:cs="Courier New" w:eastAsia="Courier New" w:hAnsi="Courier New"/>
          <w:sz w:val="14"/>
          <w:szCs w:val="14"/>
          <w:color w:val="auto"/>
        </w:rPr>
        <w:t>Substantially all of the Company's revenues are derived from: (i) rents received under triple net leases of correctional and detention facilities, including the CCA Leases; (ii) dividends from investments in the non-voting stock of certain subsidiaries; (iii) interest income on the CCA Note; and (iv) license fees earned under the Trade Name Use Agreement. CCA currently leases 34 of the Company's 43 operating facilities pursuant to the CCA Leases. The Company, therefore, is dependent for its rental revenues upon CCA's ability to make the lease payments required under the CCA Leases for such facilities. CCA's obligation to make payments under the CCA Leases is not secured by any of the assets of CCA, although the obligations under the CCA Leases are cross-defaulted so that the Company could terminate all the leases if CCA fails to make required lease payments. If this were to happen, however, the Company would be required to renegotiate existing leases or incentive fee arrangements, to find other suitable lessees or to risk losing its ability to elect or maintain REIT status, as applicable.</w:t>
      </w:r>
    </w:p>
    <w:p>
      <w:pPr>
        <w:spacing w:after="0" w:line="82"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CCA incurred a net loss of $202.9 million for the year ended December 31, 1999, has a net working capital deficiency and a net capital deficiency at December 31, 1999, and is in default under its revolving credit facility. CCA's default under its revolving credit facility relates to failure to comply with certain financial covenants. In addition, CCA is in default under the CCA Note as a result of CCA's failure to pay the first scheduled interest payment under the terms of the CCA Note. See "Results of Operations" herein. CCA has also not made certain scheduled lease payments to the Company pursuant to the terms of the CCA Leases. The Company has not provided CCA with a notice of nonpayment of lease payments due under the CCA Leases, and thus CCA is not currently in default under the terms of the CCA Leases.</w:t>
      </w:r>
    </w:p>
    <w:p>
      <w:pPr>
        <w:spacing w:after="0" w:line="82"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In response to the significant losses experienced by the Company and by CCA during 1999 and in response to the defaults under the Company's debt agreements, the Company's board of directors is considering various capital infusion proposals by one or more strategic investors, as well as various restructurings. For a complete description of the Restructuring proposals currently being considered by the Company, see "Business -- Recent Developments -- Restructuring and Related Transactions."</w:t>
      </w:r>
    </w:p>
    <w:p>
      <w:pPr>
        <w:spacing w:after="0" w:line="74" w:lineRule="exact"/>
        <w:rPr>
          <w:sz w:val="20"/>
          <w:szCs w:val="20"/>
          <w:color w:val="auto"/>
        </w:rPr>
      </w:pPr>
    </w:p>
    <w:p>
      <w:pPr>
        <w:ind w:right="3459"/>
        <w:spacing w:after="0" w:line="266" w:lineRule="auto"/>
        <w:rPr>
          <w:sz w:val="20"/>
          <w:szCs w:val="20"/>
          <w:color w:val="auto"/>
        </w:rPr>
      </w:pPr>
      <w:r>
        <w:rPr>
          <w:rFonts w:ascii="Courier New" w:cs="Courier New" w:eastAsia="Courier New" w:hAnsi="Courier New"/>
          <w:sz w:val="14"/>
          <w:szCs w:val="14"/>
          <w:color w:val="auto"/>
        </w:rPr>
        <w:t>In 1999, the Company's growth strategy included acquiring, developing and expanding correctional and detention facilities as well as other properties. Because the Company was required to distribute to its stockholders at least 95% of its taxable income to qualify as a REIT for 1999, the Company relied primarily upon the availability of debt or equity capital to fund the construction and acquisitions of and improvements to correctional and detention facilities.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FROM OPERATING, INVESTING AND FINANCING ACTIVITIES</w:t>
      </w:r>
    </w:p>
    <w:p>
      <w:pPr>
        <w:spacing w:after="0" w:line="168" w:lineRule="exact"/>
        <w:rPr>
          <w:sz w:val="20"/>
          <w:szCs w:val="20"/>
          <w:color w:val="auto"/>
        </w:rPr>
      </w:pPr>
    </w:p>
    <w:p>
      <w:pPr>
        <w:ind w:right="3539"/>
        <w:spacing w:after="0" w:line="366" w:lineRule="auto"/>
        <w:rPr>
          <w:sz w:val="20"/>
          <w:szCs w:val="20"/>
          <w:color w:val="auto"/>
        </w:rPr>
      </w:pPr>
      <w:r>
        <w:rPr>
          <w:rFonts w:ascii="Courier New" w:cs="Courier New" w:eastAsia="Courier New" w:hAnsi="Courier New"/>
          <w:sz w:val="14"/>
          <w:szCs w:val="14"/>
          <w:color w:val="auto"/>
        </w:rPr>
        <w:t>The Company's cash flow provided by operating activities was $79.5 million for 1999 and represents net income plus depreciation and amortization and</w:t>
      </w:r>
    </w:p>
    <w:p>
      <w:pPr>
        <w:spacing w:after="0" w:line="200" w:lineRule="exact"/>
        <w:rPr>
          <w:sz w:val="20"/>
          <w:szCs w:val="20"/>
          <w:color w:val="auto"/>
        </w:rPr>
      </w:pPr>
    </w:p>
    <w:p>
      <w:pPr>
        <w:spacing w:after="0" w:line="29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159"/>
          </w:cols>
          <w:pgMar w:left="300" w:top="257"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68</w:t>
      </w:r>
    </w:p>
    <w:p>
      <w:pPr>
        <w:spacing w:after="0" w:line="30"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changes in the various components of working capital. The Company's cash flow used in investing activities was $447.6 million for 1999 and represents acquisitions of real estate properties and payments made under lease arrangements. The Company's cash flow provided by financing activities was $421.4 million for 1999 and represents proceeds from the issuance of common stock, issuance of long-term debt, borrowings under the bank credit facility and the Senior Notes, payments of debt issuance costs and payments of dividends on shares of the Company's preferred and common stock.</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STRUCTURE</w:t>
      </w:r>
    </w:p>
    <w:p>
      <w:pPr>
        <w:spacing w:after="0" w:line="168"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On January 1, 1999, in connection with the completion of the 1999 Merger, the Company obtained a $650.0 million secured bank credit facility from NationsBank, N.A., as Administrative Agent, and several U.S. and non-U.S. banks. The original bank credit facility included up to a maximum of $250.0 million in tranche B term loans and $400.0 million in revolving loans, including a $150.0 million subfacility for letters of credit. The tranche B term loans require quarterly principal payments of $625,000 throughout the term of the loans, with the remaining balance maturing on December 31, 2002. The revolving loans mature on January 1, 2002. Interest rates, unused commitment fees and letter of credit fees on the original bank credit facility were subject to change based on the Company's senior debt rating. The original bank credit facility was secured by mortgages on the Company's real property.</w:t>
      </w:r>
    </w:p>
    <w:p>
      <w:pPr>
        <w:spacing w:after="0" w:line="82"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On August 4, 1999, the Company completed an amendment and restatement of the original bank credit facility increasing amounts available to the Company under the original bank credit facility to an aggregate of $1.0 billion through the addition of a $350.0 million tranche C term loan. The tranche C term loan is payable in equal quarterly installments in the amount of $875,000 through the calendar quarter ending September 30, 2002, with the balance to be paid in full on December 31, 2002. Under the bank credit facility, LPCI replaced NationsBank, N.A. as Administrative Agent.</w:t>
      </w:r>
    </w:p>
    <w:p>
      <w:pPr>
        <w:spacing w:after="0" w:line="77" w:lineRule="exact"/>
        <w:rPr>
          <w:sz w:val="20"/>
          <w:szCs w:val="20"/>
          <w:color w:val="auto"/>
        </w:rPr>
      </w:pPr>
    </w:p>
    <w:p>
      <w:pPr>
        <w:ind w:right="3359"/>
        <w:spacing w:after="0" w:line="255" w:lineRule="auto"/>
        <w:rPr>
          <w:sz w:val="20"/>
          <w:szCs w:val="20"/>
          <w:color w:val="auto"/>
        </w:rPr>
      </w:pPr>
      <w:r>
        <w:rPr>
          <w:rFonts w:ascii="Courier New" w:cs="Courier New" w:eastAsia="Courier New" w:hAnsi="Courier New"/>
          <w:sz w:val="14"/>
          <w:szCs w:val="14"/>
          <w:color w:val="auto"/>
        </w:rPr>
        <w:t>The bank credit facility as amended, similar to the original bank credit facility, provides for interest rates, unused commitment fees and letter of credit fees which vary based on the Company's senior debt rating. Similar to the original bank credit facility, the bank credit facility bears interest at variable rates of interest based on a spread over the base rate or LIBOR (as elected by the Company), which spread is determined by reference to the Company's credit rating. The spread ranges from 0.50% to 2.25% for base rate loans and from 2.00% to 3.75% for LIBOR rate loans. These ranges replaced the original spread ranges of 0.25% to 1.25% for base rate loans and 1.375% to 2.75% for LIBOR rate loans. The term loan portions of the bank credit facility bear interest at a variable rate equal to 3.75% to 4.00% in excess of LIBOR or 2.25% to 2.50% in excess of a base rate. This rate replaced the variable rate equal to 3.25% in excess of LIBOR or 1.75% in excess of a base rate in the bank credit facility.</w:t>
      </w:r>
    </w:p>
    <w:p>
      <w:pPr>
        <w:spacing w:after="0" w:line="87" w:lineRule="exact"/>
        <w:rPr>
          <w:sz w:val="20"/>
          <w:szCs w:val="20"/>
          <w:color w:val="auto"/>
        </w:rPr>
      </w:pPr>
    </w:p>
    <w:p>
      <w:pPr>
        <w:ind w:right="3539"/>
        <w:spacing w:after="0" w:line="366" w:lineRule="auto"/>
        <w:rPr>
          <w:sz w:val="20"/>
          <w:szCs w:val="20"/>
          <w:color w:val="auto"/>
        </w:rPr>
      </w:pPr>
      <w:r>
        <w:rPr>
          <w:rFonts w:ascii="Courier New" w:cs="Courier New" w:eastAsia="Courier New" w:hAnsi="Courier New"/>
          <w:sz w:val="14"/>
          <w:szCs w:val="14"/>
          <w:color w:val="auto"/>
        </w:rPr>
        <w:t>Upon the lenders' determination that the Company is in default under the terms of the bank credit facility, the Company is required to pay a default rate</w:t>
      </w:r>
    </w:p>
    <w:p>
      <w:pPr>
        <w:spacing w:after="0" w:line="200" w:lineRule="exact"/>
        <w:rPr>
          <w:sz w:val="20"/>
          <w:szCs w:val="20"/>
          <w:color w:val="auto"/>
        </w:rPr>
      </w:pPr>
    </w:p>
    <w:p>
      <w:pPr>
        <w:spacing w:after="0" w:line="29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159"/>
          </w:cols>
          <w:pgMar w:left="300" w:top="257"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69</w:t>
      </w:r>
    </w:p>
    <w:p>
      <w:pPr>
        <w:spacing w:after="0" w:line="30" w:lineRule="exact"/>
        <w:rPr>
          <w:sz w:val="20"/>
          <w:szCs w:val="20"/>
          <w:color w:val="auto"/>
        </w:rPr>
      </w:pPr>
    </w:p>
    <w:p>
      <w:pPr>
        <w:ind w:right="3459"/>
        <w:spacing w:after="0" w:line="273" w:lineRule="auto"/>
        <w:rPr>
          <w:sz w:val="20"/>
          <w:szCs w:val="20"/>
          <w:color w:val="auto"/>
        </w:rPr>
      </w:pPr>
      <w:r>
        <w:rPr>
          <w:rFonts w:ascii="Courier New" w:cs="Courier New" w:eastAsia="Courier New" w:hAnsi="Courier New"/>
          <w:sz w:val="14"/>
          <w:szCs w:val="14"/>
          <w:color w:val="auto"/>
        </w:rPr>
        <w:t>of interest equal to the rate of interest as determined based on the terms described above, plus 2.00%. As discussed below, the Company is currently in default under the bank credit facility and, consequently, has become subject to the default rate of interest on January 25, 2000.</w:t>
      </w:r>
    </w:p>
    <w:p>
      <w:pPr>
        <w:spacing w:after="0" w:line="68" w:lineRule="exact"/>
        <w:rPr>
          <w:sz w:val="20"/>
          <w:szCs w:val="20"/>
          <w:color w:val="auto"/>
        </w:rPr>
      </w:pPr>
    </w:p>
    <w:p>
      <w:pPr>
        <w:ind w:right="3539"/>
        <w:spacing w:after="0" w:line="276" w:lineRule="auto"/>
        <w:rPr>
          <w:sz w:val="20"/>
          <w:szCs w:val="20"/>
          <w:color w:val="auto"/>
        </w:rPr>
      </w:pPr>
      <w:r>
        <w:rPr>
          <w:rFonts w:ascii="Courier New" w:cs="Courier New" w:eastAsia="Courier New" w:hAnsi="Courier New"/>
          <w:sz w:val="14"/>
          <w:szCs w:val="14"/>
          <w:color w:val="auto"/>
        </w:rPr>
        <w:t>The Company incurred costs of $59.2 million in consummating the original bank credit facility and the bank credit facility transactions, including $41.2 million related to the amendment and restatement. The Company wrote off $9.0 million of expenses related to the bank credit facility upon completion of the amendment and restatement.</w:t>
      </w:r>
    </w:p>
    <w:p>
      <w:pPr>
        <w:spacing w:after="0" w:line="67" w:lineRule="exact"/>
        <w:rPr>
          <w:sz w:val="20"/>
          <w:szCs w:val="20"/>
          <w:color w:val="auto"/>
        </w:rPr>
      </w:pPr>
    </w:p>
    <w:p>
      <w:pPr>
        <w:ind w:right="3459"/>
        <w:spacing w:after="0" w:line="276" w:lineRule="auto"/>
        <w:rPr>
          <w:sz w:val="20"/>
          <w:szCs w:val="20"/>
          <w:color w:val="auto"/>
        </w:rPr>
      </w:pPr>
      <w:r>
        <w:rPr>
          <w:rFonts w:ascii="Courier New" w:cs="Courier New" w:eastAsia="Courier New" w:hAnsi="Courier New"/>
          <w:sz w:val="14"/>
          <w:szCs w:val="14"/>
          <w:color w:val="auto"/>
        </w:rPr>
        <w:t>In accordance with the terms of the bank credit facility, the Company entered into certain swap arrangements guaranteeing that it will not pay an index rate greater than 6.51% on outstanding balances of at least (a) $325.0 million through December 31, 2001 and (b) $200.0 million through December 31, 2002. The effect of these arrangements is recognized in interest expense.</w:t>
      </w:r>
    </w:p>
    <w:p>
      <w:pPr>
        <w:spacing w:after="0" w:line="67"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The bank credit facility, similar to the original bank credit facility, is secured by mortgages on the Company's real property. Borrowings are limited based on a borrowing base formula that considers, among other things, eligible real estate. The bank credit facility contains certain financial covenants, primarily: (a) maintenance of leverage, interest coverage, debt service coverage and total indebtedness ratios and (b) restrictions on the incurrence of additional indebtedness.</w:t>
      </w:r>
    </w:p>
    <w:p>
      <w:pPr>
        <w:spacing w:after="0" w:line="74" w:lineRule="exact"/>
        <w:rPr>
          <w:sz w:val="20"/>
          <w:szCs w:val="20"/>
          <w:color w:val="auto"/>
        </w:rPr>
      </w:pPr>
    </w:p>
    <w:p>
      <w:pPr>
        <w:ind w:right="3359"/>
        <w:spacing w:after="0" w:line="253" w:lineRule="auto"/>
        <w:rPr>
          <w:sz w:val="20"/>
          <w:szCs w:val="20"/>
          <w:color w:val="auto"/>
        </w:rPr>
      </w:pPr>
      <w:r>
        <w:rPr>
          <w:rFonts w:ascii="Courier New" w:cs="Courier New" w:eastAsia="Courier New" w:hAnsi="Courier New"/>
          <w:sz w:val="14"/>
          <w:szCs w:val="14"/>
          <w:color w:val="auto"/>
        </w:rPr>
        <w:t>The bank credit facility also restricted the Company's ability to make the 1999 cash payment of a special dividend unless (a) the Company had liquidity of at least $75.0 million at the dividend declaration date after giving effect to the payment of the special dividend, (b) the Company received at least $100.0 million in cash proceeds for the issuance of equity or similar securities from a new investor receiving representation on the Company's Board of Directors and</w:t>
      </w:r>
    </w:p>
    <w:p>
      <w:pPr>
        <w:spacing w:after="0" w:line="1" w:lineRule="exact"/>
        <w:rPr>
          <w:sz w:val="20"/>
          <w:szCs w:val="20"/>
          <w:color w:val="auto"/>
        </w:rPr>
      </w:pPr>
    </w:p>
    <w:p>
      <w:pPr>
        <w:ind w:right="3619" w:firstLine="7"/>
        <w:spacing w:after="0" w:line="286" w:lineRule="auto"/>
        <w:tabs>
          <w:tab w:leader="none" w:pos="33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received at least $25.0 million in cash proceeds from the issuance of any combination of equity securities and subordinated debt. The bank credit facility also restricts the cash payment of a special dividend in 2000.</w:t>
      </w:r>
    </w:p>
    <w:p>
      <w:pPr>
        <w:spacing w:after="0" w:line="5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The current financial condition of the Company, the inability of CCA to make certain of its payment obligations to the Company, the ongoing process surrounding the prospective equity investment and related restructuring, and the actions taken by the Company and CCA in attempts to resolve current liquidity issues of the Company and CCA have resulted in a series of default or potential default issues under the bank credit facility. These defaults and potential defaults consist of the following:</w:t>
      </w:r>
    </w:p>
    <w:p>
      <w:pPr>
        <w:spacing w:after="0" w:line="74" w:lineRule="exact"/>
        <w:rPr>
          <w:sz w:val="20"/>
          <w:szCs w:val="20"/>
          <w:color w:val="auto"/>
        </w:rPr>
      </w:pPr>
    </w:p>
    <w:p>
      <w:pPr>
        <w:ind w:left="440" w:right="3459" w:hanging="433"/>
        <w:spacing w:after="0" w:line="276" w:lineRule="auto"/>
        <w:tabs>
          <w:tab w:leader="none" w:pos="186"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upon the ability of the Company to amend the terms of its agreements with CCA without the consent of its senior lenders create a potential default due to the Company's anticipation of required amendments to alter the timing and amount of payments under the terms of the CCA Leases, as well as interest payments on the CCA Note.</w:t>
      </w:r>
    </w:p>
    <w:p>
      <w:pPr>
        <w:spacing w:after="0" w:line="200" w:lineRule="exact"/>
        <w:rPr>
          <w:sz w:val="20"/>
          <w:szCs w:val="20"/>
          <w:color w:val="auto"/>
        </w:rPr>
      </w:pPr>
    </w:p>
    <w:p>
      <w:pPr>
        <w:spacing w:after="0" w:line="35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159"/>
          </w:cols>
          <w:pgMar w:left="300" w:top="257"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70</w:t>
      </w:r>
    </w:p>
    <w:p>
      <w:pPr>
        <w:spacing w:after="0" w:line="30" w:lineRule="exact"/>
        <w:rPr>
          <w:sz w:val="20"/>
          <w:szCs w:val="20"/>
          <w:color w:val="auto"/>
        </w:rPr>
      </w:pPr>
    </w:p>
    <w:p>
      <w:pPr>
        <w:ind w:left="440" w:right="3359" w:hanging="433"/>
        <w:spacing w:after="0" w:line="262" w:lineRule="auto"/>
        <w:tabs>
          <w:tab w:leader="none" w:pos="18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upon the ability of the Company to enter into any agreement constituting a "change of control" provision, as defined in the bank credit facility, create the need for a consent based upon the execution of a securities purchase agreement with a prospective equity investor and the appointment of a new Chairman of the Board of Directors of the Company and a new President of the Company.</w:t>
      </w:r>
    </w:p>
    <w:p>
      <w:pPr>
        <w:spacing w:after="0" w:line="76" w:lineRule="exact"/>
        <w:rPr>
          <w:rFonts w:ascii="Courier New" w:cs="Courier New" w:eastAsia="Courier New" w:hAnsi="Courier New"/>
          <w:sz w:val="14"/>
          <w:szCs w:val="14"/>
          <w:color w:val="auto"/>
        </w:rPr>
      </w:pPr>
    </w:p>
    <w:p>
      <w:pPr>
        <w:ind w:left="440" w:right="3539" w:hanging="433"/>
        <w:spacing w:after="0" w:line="286" w:lineRule="auto"/>
        <w:tabs>
          <w:tab w:leader="none" w:pos="18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quarter ending December 31, 1999, the Company was not in compliance with the following financial covenants, as defined in the bank credit facility: (i) the Company's interest coverage ratio and (ii) the Company's leverage ratio.</w:t>
      </w:r>
    </w:p>
    <w:p>
      <w:pPr>
        <w:spacing w:after="0" w:line="59" w:lineRule="exact"/>
        <w:rPr>
          <w:rFonts w:ascii="Courier New" w:cs="Courier New" w:eastAsia="Courier New" w:hAnsi="Courier New"/>
          <w:sz w:val="14"/>
          <w:szCs w:val="14"/>
          <w:color w:val="auto"/>
        </w:rPr>
      </w:pPr>
    </w:p>
    <w:p>
      <w:pPr>
        <w:ind w:left="440" w:right="3539" w:hanging="433"/>
        <w:spacing w:after="0" w:line="270" w:lineRule="auto"/>
        <w:tabs>
          <w:tab w:leader="none" w:pos="18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explanatory paragraphs in the reports of each of the Company's and CCA's reports of independent public accountants relating to the Company's and CCA's financial statements as to the ability of each of the Company and CCA to continue as a going concern render the Company in violation of the provisions of the bank credit facility requiring unqualified opinions for the Company and CCA.</w:t>
      </w:r>
    </w:p>
    <w:p>
      <w:pPr>
        <w:spacing w:after="0" w:line="71" w:lineRule="exact"/>
        <w:rPr>
          <w:rFonts w:ascii="Courier New" w:cs="Courier New" w:eastAsia="Courier New" w:hAnsi="Courier New"/>
          <w:sz w:val="14"/>
          <w:szCs w:val="14"/>
          <w:color w:val="auto"/>
        </w:rPr>
      </w:pPr>
    </w:p>
    <w:p>
      <w:pPr>
        <w:ind w:left="440" w:right="3359" w:hanging="433"/>
        <w:spacing w:after="0" w:line="286" w:lineRule="auto"/>
        <w:tabs>
          <w:tab w:leader="none" w:pos="18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of the quarterly dividend on the 8.0% Series A Cumulative Preferred Stock for the quarter ended March 31, 2000, payable April 17, 2000, constituted an event of default, based on the Company's unwaived defaults at the time the dividend was declared.</w:t>
      </w:r>
    </w:p>
    <w:p>
      <w:pPr>
        <w:spacing w:after="0" w:line="59" w:lineRule="exact"/>
        <w:rPr>
          <w:rFonts w:ascii="Courier New" w:cs="Courier New" w:eastAsia="Courier New" w:hAnsi="Courier New"/>
          <w:sz w:val="14"/>
          <w:szCs w:val="14"/>
          <w:color w:val="auto"/>
        </w:rPr>
      </w:pPr>
    </w:p>
    <w:p>
      <w:pPr>
        <w:ind w:left="440" w:right="3359" w:hanging="433"/>
        <w:spacing w:after="0" w:line="286" w:lineRule="auto"/>
        <w:tabs>
          <w:tab w:leader="none" w:pos="18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-CCA's revolving credit facility requires that CCA have a net worth in excess of certain specified amounts. On December 31, 1999, CCA was not, and it currently is not, in compliance with this financial covenant, which is an event of default under the Company's bank credit facility.</w:t>
      </w:r>
    </w:p>
    <w:p>
      <w:pPr>
        <w:spacing w:after="0" w:line="59" w:lineRule="exact"/>
        <w:rPr>
          <w:rFonts w:ascii="Courier New" w:cs="Courier New" w:eastAsia="Courier New" w:hAnsi="Courier New"/>
          <w:sz w:val="14"/>
          <w:szCs w:val="14"/>
          <w:color w:val="auto"/>
        </w:rPr>
      </w:pPr>
    </w:p>
    <w:p>
      <w:pPr>
        <w:ind w:left="440" w:right="3459" w:hanging="433"/>
        <w:spacing w:after="0" w:line="256" w:lineRule="auto"/>
        <w:tabs>
          <w:tab w:leader="none" w:pos="18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March 31, 2000, the Company projects that it will not be in compliance with the following financial covenants, as defined in the bank credit facility: (i) the Company's debt service coverage ratio; (ii) the Company's interest coverage ratio; (iii) the Company's leverage ratio; and</w:t>
      </w:r>
    </w:p>
    <w:p>
      <w:pPr>
        <w:spacing w:after="0" w:line="1" w:lineRule="exact"/>
        <w:rPr>
          <w:rFonts w:ascii="Courier New" w:cs="Courier New" w:eastAsia="Courier New" w:hAnsi="Courier New"/>
          <w:sz w:val="14"/>
          <w:szCs w:val="14"/>
          <w:color w:val="auto"/>
        </w:rPr>
      </w:pPr>
    </w:p>
    <w:p>
      <w:pPr>
        <w:ind w:left="860" w:hanging="429"/>
        <w:spacing w:after="0"/>
        <w:tabs>
          <w:tab w:leader="none" w:pos="86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ratio of total indebtedness to total capitalization.</w:t>
      </w:r>
    </w:p>
    <w:p>
      <w:pPr>
        <w:spacing w:after="0" w:line="141" w:lineRule="exact"/>
        <w:rPr>
          <w:rFonts w:ascii="Courier New" w:cs="Courier New" w:eastAsia="Courier New" w:hAnsi="Courier New"/>
          <w:sz w:val="14"/>
          <w:szCs w:val="14"/>
          <w:color w:val="auto"/>
        </w:rPr>
      </w:pPr>
    </w:p>
    <w:p>
      <w:pPr>
        <w:ind w:left="440" w:right="3539" w:hanging="433"/>
        <w:spacing w:after="0" w:line="276" w:lineRule="auto"/>
        <w:tabs>
          <w:tab w:leader="none" w:pos="18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as described below, the Company is in default under the provisions of the MDP Notes. Due to cross-default provisions existing between the bank credit facility and the MDP Notes, the Company has been considered in default of this provision of the bank credit facility since January 25, 2000.</w:t>
      </w:r>
    </w:p>
    <w:p>
      <w:pPr>
        <w:spacing w:after="0" w:line="67"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The Company anticipates that LCPI will solicit the consent to the Company's lenders under the bank credit facility for a waiver of the events of default described above. For a complete discussion of the terms and timing of the waiver, see "Business -- Recent Developments -- Solicitation of Consents for Waivers of, and Amendments to, Provisions of the Company's and CCA's Outstanding Indebtedness."</w:t>
      </w:r>
    </w:p>
    <w:p>
      <w:pPr>
        <w:spacing w:after="0" w:line="200" w:lineRule="exact"/>
        <w:rPr>
          <w:sz w:val="20"/>
          <w:szCs w:val="20"/>
          <w:color w:val="auto"/>
        </w:rPr>
      </w:pPr>
    </w:p>
    <w:p>
      <w:pPr>
        <w:spacing w:after="0" w:line="36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159"/>
          </w:cols>
          <w:pgMar w:left="300" w:top="257"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71</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NOTES</w:t>
      </w:r>
    </w:p>
    <w:p>
      <w:pPr>
        <w:spacing w:after="0" w:line="142"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On June 11, 1999, the Company completed its offering of $100.0 million aggregate principal amount of its Senior Notes. Interest on the Senior Notes is paid semi-annually in arrears at a rate of 12% per annum, and the Senior Notes have a seven year term due June 1, 2006. Net proceeds from the offering were approximately $95.0 million after deducting expenses payable by the Company in connection with the offering. The Company used the net proceeds from the sale of the Senior Notes for general corporate purposes and to repay revolving bank borrowings under its original bank credit facility.</w:t>
      </w:r>
    </w:p>
    <w:p>
      <w:pPr>
        <w:spacing w:after="0" w:line="77"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As of December 31, 1999, the Company is not in default under the terms of the Senior Notes; however, amendment of the Company's agreements with CCA without prior delivery of fairness opinions, as described above, to the trustee of the Senior Notes would constitute an event of default. In addition, the indenture governing the Senior Notes contains a provision which allows the holders thereof to accelerate the Senior Notes and seek remedies if the Company has a payment default under its bank credit facility or if the obligations under the Company's bank credit facility have been accelerated.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9.5% CONVERTIBLE, SUBORDINATED NOTES</w:t>
      </w:r>
    </w:p>
    <w:p>
      <w:pPr>
        <w:spacing w:after="0" w:line="168" w:lineRule="exact"/>
        <w:rPr>
          <w:sz w:val="20"/>
          <w:szCs w:val="20"/>
          <w:color w:val="auto"/>
        </w:rPr>
      </w:pPr>
    </w:p>
    <w:p>
      <w:pPr>
        <w:ind w:right="3359"/>
        <w:spacing w:after="0" w:line="254" w:lineRule="auto"/>
        <w:rPr>
          <w:sz w:val="20"/>
          <w:szCs w:val="20"/>
          <w:color w:val="auto"/>
        </w:rPr>
      </w:pPr>
      <w:r>
        <w:rPr>
          <w:rFonts w:ascii="Courier New" w:cs="Courier New" w:eastAsia="Courier New" w:hAnsi="Courier New"/>
          <w:sz w:val="14"/>
          <w:szCs w:val="14"/>
          <w:color w:val="auto"/>
        </w:rPr>
        <w:t>On January 29, 1999, the Company issued $20.0 million of the MDP Notes due in December 2008, with interest payable semi-annually at 9.5%. This issuance constituted the second tranche of a commitment by the Company to issue an aggregate of $40.0 million of the MDP Notes, with the first $20.0 million tranche issued in December 1998 under substantially similar terms. The MDP Notes require that the Company revise the conversion price as a result of the payment of a dividend or the issuance of stock or convertible securities below market price. As of December 31, 1999, the conversion price for the MDP Notes was $23.63 per share as compared to $28.00 per share at issuance. This change in conversion price resulted from dividends paid by the Company in 1999 and from the March 8, 1999 conversion of a $7.0 million convertible subordinated note issued to Sodexho into 1.7 million shares of common stock at a conversion price of $4.09 per share and the conversion of a $20.0 million convertible subordinated note issued to Sodexho into 2.6 million shares of common stock at a conversion price of $7.80 per share, as provided in the original terms of the MDP Notes.</w:t>
      </w:r>
    </w:p>
    <w:p>
      <w:pPr>
        <w:spacing w:after="0" w:line="87"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The provisions of the MDP Notes provide that the execution of the Securities Purchase Agreement as discussed previously by the Company constitutes a "change of control" of the Company. This "change of control" gave rise to a right of the holders of the MDP Notes to require the Company to repurchase the MDP Notes at a price of 105% of the aggregate principal amount of such notes. To date, the holders of the MDP Notes have not provided notice to the Company that the Company will be required to repurchase all or a portion of the MDP Notes. In addition, as of February 5, 2000, the Company was no longer in compliance with a financial covenant contained in the note agreement relating to the ratio of the Company's total indebtedness to total capitalization. As a result of the violation of these covenants, the Company is in default under the</w:t>
      </w:r>
    </w:p>
    <w:p>
      <w:pPr>
        <w:spacing w:after="0" w:line="200" w:lineRule="exact"/>
        <w:rPr>
          <w:sz w:val="20"/>
          <w:szCs w:val="20"/>
          <w:color w:val="auto"/>
        </w:rPr>
      </w:pPr>
    </w:p>
    <w:p>
      <w:pPr>
        <w:spacing w:after="0" w:line="3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159"/>
          </w:cols>
          <w:pgMar w:left="300" w:top="257"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72</w:t>
      </w:r>
    </w:p>
    <w:p>
      <w:pPr>
        <w:spacing w:after="0" w:line="30"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provisions of the note agreement, and the holders of such notes may, at their option, accelerate all or a portion of the outstanding principal amount of this indebtedness. Moreover, during any period in which the Company is in default under the provisions of the note agreement, the holders of the notes may require the Company to pay an applicable default rate of interest of 20%.</w:t>
      </w:r>
    </w:p>
    <w:p>
      <w:pPr>
        <w:spacing w:after="0" w:line="74"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In addition to the default rate of interest, as a result of the default, the Company is obligated, under the terms of the MDP Notes, to pay the holders of the notes contingent interest sufficient to permit those note holders to receive a 15% rate of return on the $40.0 million principal amount, unless the holders of the notes elect to convert the notes into the Company's common stock under the terms of the note agreement. Such contingent interest is retroactive to the date of issuance of the MDP Notes. Because the conversion into common stock is at the election of the note holders, the Company has accrued the contingent interest from the date of issuance through December 31, 1999 of approximately $2.1 million.</w:t>
      </w:r>
    </w:p>
    <w:p>
      <w:pPr>
        <w:spacing w:after="0" w:line="76"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The Company has initiated discussions with the holders of the MDP Notes to waive the occurrence of a "change of control" arising from the Company's execution of the Securities Purchase Agreement, thereby extinguishing the Company's obligation to repurchase the notes at a premium. In addition, the Company has requested that the provisions of the note purchase agreement be amended to: (i) remove the financial covenant relating to the Company's total indebtedness to total capitalization; (ii) remove a covenant requiring the Company to use its best efforts to qualify as a REIT for federal income tax purposes; and (iii) remove a covenant restricting the Company's ability to conduct business other than the financing, ownership and development of prisons and other correctional facilities.</w:t>
      </w:r>
    </w:p>
    <w:p>
      <w:pPr>
        <w:spacing w:after="0" w:line="82"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There can be no assurance that the holders of the MDP Notes will consent to the proposed waiver of, and amendments to, the note purchase agreement, or will not seek to declare an event of default prior to the execution of any proposed waiver and amendments. If the holders of the MDP Notes do not consent to the proposed waiver of, and amendments to the note purchase agreement, the Company will be required to repurchase or redeem the outstanding principal amount of the MDP Notes.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 CONVERTIBLE SUBORDINATED NOTES</w:t>
      </w:r>
    </w:p>
    <w:p>
      <w:pPr>
        <w:spacing w:after="0" w:line="168"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The $30.0 million 7.5% convertible, subordinate notes require that the Company revise the conversion price as a result of the payment of a dividend or the issuance of stock or convertible securities below market price. As of December 31, 1999, the conversion price for the note was $23.63 per share as compared to $27.42 per share at issuance. This change in conversion price resulted from dividends paid by the Company in 1999 and from the March 8, 1999 conversion of a $7.0 million convertible subordinated note issued to Sodexho into 1.7 million shares of common stock at a conversion price of $4.09</w:t>
      </w:r>
    </w:p>
    <w:p>
      <w:pPr>
        <w:spacing w:after="0" w:line="200" w:lineRule="exact"/>
        <w:rPr>
          <w:sz w:val="20"/>
          <w:szCs w:val="20"/>
          <w:color w:val="auto"/>
        </w:rPr>
      </w:pPr>
    </w:p>
    <w:p>
      <w:pPr>
        <w:spacing w:after="0" w:line="36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159"/>
          </w:cols>
          <w:pgMar w:left="300" w:top="257"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73</w:t>
      </w:r>
    </w:p>
    <w:p>
      <w:pPr>
        <w:spacing w:after="0" w:line="30" w:lineRule="exact"/>
        <w:rPr>
          <w:sz w:val="20"/>
          <w:szCs w:val="20"/>
          <w:color w:val="auto"/>
        </w:rPr>
      </w:pPr>
    </w:p>
    <w:p>
      <w:pPr>
        <w:ind w:right="3459"/>
        <w:spacing w:after="0" w:line="273" w:lineRule="auto"/>
        <w:rPr>
          <w:sz w:val="20"/>
          <w:szCs w:val="20"/>
          <w:color w:val="auto"/>
        </w:rPr>
      </w:pPr>
      <w:r>
        <w:rPr>
          <w:rFonts w:ascii="Courier New" w:cs="Courier New" w:eastAsia="Courier New" w:hAnsi="Courier New"/>
          <w:sz w:val="14"/>
          <w:szCs w:val="14"/>
          <w:color w:val="auto"/>
        </w:rPr>
        <w:t>per share and the conversion of a $20.0 million convertible subordinated note issued to Sodexho into 2.6 million shares of common stock at a conversion price of $7.80 per share, as provided in the original terms of the 7.5% convertible, subordinate notes.</w:t>
      </w:r>
    </w:p>
    <w:p>
      <w:pPr>
        <w:spacing w:after="0" w:line="68"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The provisions of the note purchase agreement relating to the $30.0 million 7.5% convertible, subordinated notes contain financial covenants relating to: (i) the Company's debt service coverage ratio; (ii) the Company's interest coverage ratio; and (iii) the Company's ratio of total indebtedness to total capitalization. It is possible that as of March 31, 2000 the Company will not be in compliance with one or more of these financial covenants. If one or more of these covenants are violated, such a violation would result in an event of default under the provisions of the note purchase agreement, and the holder of such notes may, at its option, accelerate all or a portion of the outstanding principal amount of this indebtedness.</w:t>
      </w:r>
    </w:p>
    <w:p>
      <w:pPr>
        <w:spacing w:after="0" w:line="76"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4"/>
          <w:szCs w:val="14"/>
          <w:color w:val="auto"/>
        </w:rPr>
        <w:t>If an event of default occurs under the provisions of the note purchase agreement, the Company will initiate discussions with the holder of such notes and attempt to obtain a waiver of, or amendment to, the financial covenants contained in the note purchase agreement violated by the Company. In addition, in order to prevent an event of default under the note purchase agreement, prior to completion of the Restructuring and related transactions, the Company will be required to amend the provisions of the note purchase agreement to remove a covenant requiring the Company to elect to be taxed as a REIT for federal income tax purposes, if necessary.</w:t>
      </w:r>
    </w:p>
    <w:p>
      <w:pPr>
        <w:spacing w:after="0" w:line="78" w:lineRule="exact"/>
        <w:rPr>
          <w:sz w:val="20"/>
          <w:szCs w:val="20"/>
          <w:color w:val="auto"/>
        </w:rPr>
      </w:pPr>
    </w:p>
    <w:p>
      <w:pPr>
        <w:ind w:right="3459"/>
        <w:spacing w:after="0" w:line="266" w:lineRule="auto"/>
        <w:rPr>
          <w:sz w:val="20"/>
          <w:szCs w:val="20"/>
          <w:color w:val="auto"/>
        </w:rPr>
      </w:pPr>
      <w:r>
        <w:rPr>
          <w:rFonts w:ascii="Courier New" w:cs="Courier New" w:eastAsia="Courier New" w:hAnsi="Courier New"/>
          <w:sz w:val="14"/>
          <w:szCs w:val="14"/>
          <w:color w:val="auto"/>
        </w:rPr>
        <w:t>There can be no assurance that the holder of these notes will consent to any proposed waiver of, and amendments to, the note purchase agreement, or will not seek to declare an event of default prior to the execution of the proposed waiver and amendments. The Company anticipates that it may be required to amend the economic terms of the notes in the event the holder of these notes does consent to any proposed waiver of, and amendment to, the note purchase agreement.</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DEBT TRANSACTIONS</w:t>
      </w:r>
    </w:p>
    <w:p>
      <w:pPr>
        <w:spacing w:after="0" w:line="168"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On March 8, 1999, the Company issued a $20.0 million convertible subordinated note to Sodexho pursuant to a forward contract assumed by the Company from Old CCA in the 1999 Merger. The note bore interest at LIBOR plus 1.35% and was convertible into shares of the Company's common stock at a conversion price of $7.80 per share. On March 8, 1999, Sodexho converted (i) a $7.0 million convertible subordinated note bearing interest at 8.5% into 1.7 million shares of the Company's common stock at a conversion price of $4.09 per share, (ii) a $20.0 million convertible subordinated note bearing interest at 7.5% into 700,000 shares of the Company's common stock at a conversion price of $28.53 per share and (iii) a $20.0 million convertible subordinated note bearing interest at LIBOR plus 1.35% into 2.6 million shares of the Company's common stock at a conversion price of $7.80 per share.</w:t>
      </w:r>
    </w:p>
    <w:p>
      <w:pPr>
        <w:spacing w:after="0" w:line="200" w:lineRule="exact"/>
        <w:rPr>
          <w:sz w:val="20"/>
          <w:szCs w:val="20"/>
          <w:color w:val="auto"/>
        </w:rPr>
      </w:pPr>
    </w:p>
    <w:p>
      <w:pPr>
        <w:spacing w:after="0" w:line="3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159"/>
          </w:cols>
          <w:pgMar w:left="300" w:top="257"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74</w:t>
      </w:r>
    </w:p>
    <w:p>
      <w:pPr>
        <w:spacing w:after="0" w:line="30" w:lineRule="exact"/>
        <w:rPr>
          <w:sz w:val="20"/>
          <w:szCs w:val="20"/>
          <w:color w:val="auto"/>
        </w:rPr>
      </w:pPr>
    </w:p>
    <w:p>
      <w:pPr>
        <w:ind w:right="3539"/>
        <w:spacing w:after="0" w:line="327" w:lineRule="auto"/>
        <w:rPr>
          <w:sz w:val="20"/>
          <w:szCs w:val="20"/>
          <w:color w:val="auto"/>
        </w:rPr>
      </w:pPr>
      <w:r>
        <w:rPr>
          <w:rFonts w:ascii="Courier New" w:cs="Courier New" w:eastAsia="Courier New" w:hAnsi="Courier New"/>
          <w:sz w:val="14"/>
          <w:szCs w:val="14"/>
          <w:color w:val="auto"/>
        </w:rPr>
        <w:t>In 1998, convertible subordinated notes with a face value of $5.8 million were converted into 2.9 shares of common stock.</w:t>
      </w:r>
    </w:p>
    <w:p>
      <w:pPr>
        <w:spacing w:after="0" w:line="31" w:lineRule="exact"/>
        <w:rPr>
          <w:sz w:val="20"/>
          <w:szCs w:val="20"/>
          <w:color w:val="auto"/>
        </w:rPr>
      </w:pPr>
    </w:p>
    <w:p>
      <w:pPr>
        <w:ind w:right="3359"/>
        <w:spacing w:after="0" w:line="276" w:lineRule="auto"/>
        <w:rPr>
          <w:sz w:val="20"/>
          <w:szCs w:val="20"/>
          <w:color w:val="auto"/>
        </w:rPr>
      </w:pPr>
      <w:r>
        <w:rPr>
          <w:rFonts w:ascii="Courier New" w:cs="Courier New" w:eastAsia="Courier New" w:hAnsi="Courier New"/>
          <w:sz w:val="14"/>
          <w:szCs w:val="14"/>
          <w:color w:val="auto"/>
        </w:rPr>
        <w:t>At December 31, 1999 and 1998, the Company had $16.3 million and $1.6 million in letters of credit, respectively. The letters of credit were issued to secure the Company's construction of one facility and Old CCA's worker's compensation insurance policy, performance bonds and utility deposits. The Company is required to maintain cash collateral for the letters of credit.</w:t>
      </w:r>
    </w:p>
    <w:p>
      <w:pPr>
        <w:spacing w:after="0" w:line="67" w:lineRule="exact"/>
        <w:rPr>
          <w:sz w:val="20"/>
          <w:szCs w:val="20"/>
          <w:color w:val="auto"/>
        </w:rPr>
      </w:pPr>
    </w:p>
    <w:p>
      <w:pPr>
        <w:ind w:right="3539"/>
        <w:spacing w:after="0" w:line="366" w:lineRule="auto"/>
        <w:rPr>
          <w:sz w:val="20"/>
          <w:szCs w:val="20"/>
          <w:color w:val="auto"/>
        </w:rPr>
      </w:pPr>
      <w:r>
        <w:rPr>
          <w:rFonts w:ascii="Courier New" w:cs="Courier New" w:eastAsia="Courier New" w:hAnsi="Courier New"/>
          <w:sz w:val="14"/>
          <w:szCs w:val="14"/>
          <w:color w:val="auto"/>
        </w:rPr>
        <w:t>Maturities of long-term debt (excluding acceleration or demand provisions) for the next five years and thereafter are:</w:t>
      </w:r>
    </w:p>
    <w:p>
      <w:pPr>
        <w:spacing w:after="0" w:line="332" w:lineRule="exact"/>
        <w:rPr>
          <w:sz w:val="20"/>
          <w:szCs w:val="20"/>
          <w:color w:val="auto"/>
        </w:rPr>
      </w:pPr>
    </w:p>
    <w:tbl>
      <w:tblPr>
        <w:tblLayout w:type="fixed"/>
        <w:tblInd w:w="212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252"/>
        </w:trPr>
        <w:tc>
          <w:tcPr>
            <w:tcW w:w="22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6,084</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68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6,093</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68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916,337</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68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114</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68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126</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68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170,237</w:t>
            </w:r>
          </w:p>
        </w:tc>
      </w:tr>
      <w:tr>
        <w:trPr>
          <w:trHeight w:val="163"/>
        </w:trPr>
        <w:tc>
          <w:tcPr>
            <w:tcW w:w="2220" w:type="dxa"/>
            <w:vAlign w:val="bottom"/>
          </w:tcPr>
          <w:p>
            <w:pPr>
              <w:spacing w:after="0"/>
              <w:rPr>
                <w:sz w:val="14"/>
                <w:szCs w:val="14"/>
                <w:color w:val="auto"/>
              </w:rPr>
            </w:pPr>
          </w:p>
        </w:tc>
        <w:tc>
          <w:tcPr>
            <w:tcW w:w="25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3"/>
        </w:trPr>
        <w:tc>
          <w:tcPr>
            <w:tcW w:w="2220" w:type="dxa"/>
            <w:vAlign w:val="bottom"/>
          </w:tcPr>
          <w:p>
            <w:pPr>
              <w:spacing w:after="0"/>
              <w:rPr>
                <w:sz w:val="14"/>
                <w:szCs w:val="14"/>
                <w:color w:val="auto"/>
              </w:rPr>
            </w:pPr>
          </w:p>
        </w:tc>
        <w:tc>
          <w:tcPr>
            <w:tcW w:w="25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$1,098,991</w:t>
            </w:r>
          </w:p>
        </w:tc>
      </w:tr>
      <w:tr>
        <w:trPr>
          <w:trHeight w:val="238"/>
        </w:trPr>
        <w:tc>
          <w:tcPr>
            <w:tcW w:w="2220" w:type="dxa"/>
            <w:vAlign w:val="bottom"/>
          </w:tcPr>
          <w:p>
            <w:pPr>
              <w:spacing w:after="0"/>
              <w:rPr>
                <w:sz w:val="20"/>
                <w:szCs w:val="20"/>
                <w:color w:val="auto"/>
              </w:rPr>
            </w:pPr>
          </w:p>
        </w:tc>
        <w:tc>
          <w:tcPr>
            <w:tcW w:w="25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CAPITAL</w:t>
      </w:r>
    </w:p>
    <w:p>
      <w:pPr>
        <w:spacing w:after="0" w:line="168"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4"/>
          <w:szCs w:val="14"/>
          <w:color w:val="auto"/>
        </w:rPr>
        <w:t>On January 11, 1999, the Company filed a Shelf Registration Statement on Form S-3 to register an aggregate of $1.5 billion in value of its common stock, preferred stock, common stock rights, warrants and debt securities for sale to the public. Proceeds from sales under the Shelf Registration Statement have been and will be used for general corporate purposes, including the acquisition and development of correctional and detention facilities. During 1999, the Company issued and sold approximately 6.7 million shares of its common stock under the Shelf Registration Statement, resulting in net proceeds to the Company of approximately $120.0 million.</w:t>
      </w:r>
    </w:p>
    <w:p>
      <w:pPr>
        <w:spacing w:after="0" w:line="78"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4"/>
          <w:szCs w:val="14"/>
          <w:color w:val="auto"/>
        </w:rPr>
        <w:t>On May 7, 1999, the Company registered 10.0 million shares of the Company's common stock for issuance under the Company's DRSPP. The DRSPP provides a method of investing cash dividends in, and making optional monthly cash purchases of, the Company's common stock, at prices reflecting a discount between 0% and 5% from the market price of the common stock on NYSE. As of December 31, 1999, the Company has issued 1,261,431 shares under the DRSPP, with 1,253,232 of these shares issued under the DRSPP's optional cash feature resulting in proceeds of $12.3 million. The Company has temporarily suspended the DRSPP pending the completion of the Restructuring and related transactions.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TO SHAREHOLDERS</w:t>
      </w:r>
    </w:p>
    <w:p>
      <w:pPr>
        <w:spacing w:after="0" w:line="168" w:lineRule="exact"/>
        <w:rPr>
          <w:sz w:val="20"/>
          <w:szCs w:val="20"/>
          <w:color w:val="auto"/>
        </w:rPr>
      </w:pPr>
    </w:p>
    <w:p>
      <w:pPr>
        <w:ind w:right="3359"/>
        <w:spacing w:after="0" w:line="286" w:lineRule="auto"/>
        <w:rPr>
          <w:sz w:val="20"/>
          <w:szCs w:val="20"/>
          <w:color w:val="auto"/>
        </w:rPr>
      </w:pPr>
      <w:r>
        <w:rPr>
          <w:rFonts w:ascii="Courier New" w:cs="Courier New" w:eastAsia="Courier New" w:hAnsi="Courier New"/>
          <w:sz w:val="14"/>
          <w:szCs w:val="14"/>
          <w:color w:val="auto"/>
        </w:rPr>
        <w:t>If the Company elects to qualify, as a REIT, it cannot complete any taxable year with accumulated earnings and profits from a taxable corporation. Accordingly, in order to preserve its ability to elect REIT status for 1999, the Company was required to distribute Old CCA's earnings and profits to which it succeeded in</w:t>
      </w:r>
    </w:p>
    <w:p>
      <w:pPr>
        <w:spacing w:after="0" w:line="200" w:lineRule="exact"/>
        <w:rPr>
          <w:sz w:val="20"/>
          <w:szCs w:val="20"/>
          <w:color w:val="auto"/>
        </w:rPr>
      </w:pPr>
    </w:p>
    <w:p>
      <w:pPr>
        <w:spacing w:after="0" w:line="34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159"/>
          </w:cols>
          <w:pgMar w:left="300" w:top="25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75</w:t>
      </w:r>
    </w:p>
    <w:p>
      <w:pPr>
        <w:spacing w:after="0" w:line="30" w:lineRule="exact"/>
        <w:rPr>
          <w:sz w:val="20"/>
          <w:szCs w:val="20"/>
          <w:color w:val="auto"/>
        </w:rPr>
      </w:pPr>
    </w:p>
    <w:p>
      <w:pPr>
        <w:ind w:right="3459"/>
        <w:spacing w:after="0" w:line="262" w:lineRule="auto"/>
        <w:rPr>
          <w:sz w:val="20"/>
          <w:szCs w:val="20"/>
          <w:color w:val="auto"/>
        </w:rPr>
      </w:pPr>
      <w:r>
        <w:rPr>
          <w:rFonts w:ascii="Courier New" w:cs="Courier New" w:eastAsia="Courier New" w:hAnsi="Courier New"/>
          <w:sz w:val="14"/>
          <w:szCs w:val="14"/>
          <w:color w:val="auto"/>
        </w:rPr>
        <w:t>the 1999 Merger (the "Accumulated Earnings and Profits"). During the year ended December 31, 1999, the Company made $217.7 million of distributions related to its common stock and 8.0% Series A Cumulative Preferred Stock. For purposes of meeting the distribution requirements discussed above, $152.5 million of the total distributions in 1999 have been designated as distributions of the Accumulated Earnings and Profits.</w:t>
      </w:r>
    </w:p>
    <w:p>
      <w:pPr>
        <w:spacing w:after="0" w:line="77"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4"/>
          <w:szCs w:val="14"/>
          <w:color w:val="auto"/>
        </w:rPr>
        <w:t>In addition to distributing the Accumulated Earnings and Profits, the Company, if it elects to qualify as a REIT for its 1999 taxable year, also will be required to distribute 95% of its taxable income for 1999. Although dividends sufficient to distribute 95% of the Company's taxable income for 1999 have not been declared as of December 31, 1999, the Company intends to take such actions as may be necessary to retain its ability to elect REIT status for its 1999 taxable year and beyond. In connection therewith, the Company has obtained an extension of time to file its 1999 federal income tax return until September 15, 2000, which enables the Company to declare sufficient dividends with respect to its 1999 taxable year (equal to approximately $220.0 million) to elect to be taxed as a REIT for 1999, should it so decide. Certain provisions of the bank credit facility restrict the Company's ability to pay these distributions in cash. As of December 31, 1999, $2.2 million of distributions relating to the</w:t>
      </w:r>
    </w:p>
    <w:p>
      <w:pPr>
        <w:spacing w:after="0" w:line="7" w:lineRule="exact"/>
        <w:rPr>
          <w:sz w:val="20"/>
          <w:szCs w:val="20"/>
          <w:color w:val="auto"/>
        </w:rPr>
      </w:pPr>
    </w:p>
    <w:p>
      <w:pPr>
        <w:ind w:right="3459"/>
        <w:spacing w:after="0" w:line="262" w:lineRule="auto"/>
        <w:rPr>
          <w:sz w:val="20"/>
          <w:szCs w:val="20"/>
          <w:color w:val="auto"/>
        </w:rPr>
      </w:pPr>
      <w:r>
        <w:rPr>
          <w:rFonts w:ascii="Courier New" w:cs="Courier New" w:eastAsia="Courier New" w:hAnsi="Courier New"/>
          <w:sz w:val="14"/>
          <w:szCs w:val="14"/>
          <w:color w:val="auto"/>
        </w:rPr>
        <w:t>8.0% Series A Cumulative Preferred Shares have been declared and accrued in the accompanying consolidated balance sheets. The remaining $220.0 million of distributions that would have to be paid to shareholders in 2000 in order for the Company to elect REIT status have not been declared by the Board of Directors and, accordingly, have not been accrued in the accompanying consolidated balance sheets.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RELATED TO CCA</w:t>
      </w:r>
    </w:p>
    <w:p>
      <w:pPr>
        <w:spacing w:after="0" w:line="168" w:lineRule="exact"/>
        <w:rPr>
          <w:sz w:val="20"/>
          <w:szCs w:val="20"/>
          <w:color w:val="auto"/>
        </w:rPr>
      </w:pPr>
    </w:p>
    <w:p>
      <w:pPr>
        <w:ind w:right="3539"/>
        <w:spacing w:after="0" w:line="366" w:lineRule="auto"/>
        <w:rPr>
          <w:sz w:val="20"/>
          <w:szCs w:val="20"/>
          <w:color w:val="auto"/>
        </w:rPr>
      </w:pPr>
      <w:r>
        <w:rPr>
          <w:rFonts w:ascii="Courier New" w:cs="Courier New" w:eastAsia="Courier New" w:hAnsi="Courier New"/>
          <w:sz w:val="14"/>
          <w:szCs w:val="14"/>
          <w:color w:val="auto"/>
        </w:rPr>
        <w:t>As of December 31, 1999, CCA leased 34 of the 42 operating facilities owned by the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NOTE</w:t>
      </w:r>
    </w:p>
    <w:p>
      <w:pPr>
        <w:spacing w:after="0" w:line="168"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In connection with the 1999 Merger, Old CCA received the $137.0 million CCA Note due. The Company succeeded to the CCA Note as a result of the 1999 Merger. Interest on the CCA Note is payable annually at the rate of 12%. Principal is due in six equal annual installments beginning December 31, 2003. The Company has fully reserved the $16.4 million of interest accrued under the terms of the CCA Note during 1999.</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LEASES</w:t>
      </w:r>
    </w:p>
    <w:p>
      <w:pPr>
        <w:spacing w:after="0" w:line="168" w:lineRule="exact"/>
        <w:rPr>
          <w:sz w:val="20"/>
          <w:szCs w:val="20"/>
          <w:color w:val="auto"/>
        </w:rPr>
      </w:pPr>
    </w:p>
    <w:p>
      <w:pPr>
        <w:ind w:right="3959"/>
        <w:spacing w:after="0" w:line="366" w:lineRule="auto"/>
        <w:rPr>
          <w:sz w:val="20"/>
          <w:szCs w:val="20"/>
          <w:color w:val="auto"/>
        </w:rPr>
      </w:pPr>
      <w:r>
        <w:rPr>
          <w:rFonts w:ascii="Courier New" w:cs="Courier New" w:eastAsia="Courier New" w:hAnsi="Courier New"/>
          <w:sz w:val="14"/>
          <w:szCs w:val="14"/>
          <w:color w:val="auto"/>
        </w:rPr>
        <w:t>For the year ended December 31, 1999, the Company recognized gross rental revenue from CCA of $263.5 million.</w:t>
      </w:r>
    </w:p>
    <w:p>
      <w:pPr>
        <w:spacing w:after="0" w:line="6" w:lineRule="exact"/>
        <w:rPr>
          <w:sz w:val="20"/>
          <w:szCs w:val="20"/>
          <w:color w:val="auto"/>
        </w:rPr>
      </w:pPr>
    </w:p>
    <w:p>
      <w:pPr>
        <w:ind w:right="3359"/>
        <w:spacing w:after="0" w:line="306" w:lineRule="auto"/>
        <w:rPr>
          <w:sz w:val="20"/>
          <w:szCs w:val="20"/>
          <w:color w:val="auto"/>
        </w:rPr>
      </w:pPr>
      <w:r>
        <w:rPr>
          <w:rFonts w:ascii="Courier New" w:cs="Courier New" w:eastAsia="Courier New" w:hAnsi="Courier New"/>
          <w:sz w:val="14"/>
          <w:szCs w:val="14"/>
          <w:color w:val="auto"/>
        </w:rPr>
        <w:t>Based on the CCA Leases in effect at December 31, 1999, the future minimum lease payments scheduled to be received by the Company under the CCA Leases as of January 1, 2000 are as follows:</w:t>
      </w:r>
    </w:p>
    <w:p>
      <w:pPr>
        <w:spacing w:after="0" w:line="200" w:lineRule="exact"/>
        <w:rPr>
          <w:sz w:val="20"/>
          <w:szCs w:val="20"/>
          <w:color w:val="auto"/>
        </w:rPr>
      </w:pP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159"/>
          </w:cols>
          <w:pgMar w:left="300" w:top="257"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76</w:t>
      </w:r>
    </w:p>
    <w:p>
      <w:pPr>
        <w:spacing w:after="0" w:line="331"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252"/>
        </w:trPr>
        <w:tc>
          <w:tcPr>
            <w:tcW w:w="3420" w:type="dxa"/>
            <w:vAlign w:val="bottom"/>
          </w:tcPr>
          <w:p>
            <w:pPr>
              <w:spacing w:after="0"/>
              <w:rPr>
                <w:sz w:val="20"/>
                <w:szCs w:val="20"/>
                <w:color w:val="auto"/>
              </w:rPr>
            </w:pPr>
            <w:r>
              <w:rPr>
                <w:rFonts w:ascii="Courier New" w:cs="Courier New" w:eastAsia="Courier New" w:hAnsi="Courier New"/>
                <w:sz w:val="14"/>
                <w:szCs w:val="14"/>
                <w:color w:val="auto"/>
              </w:rPr>
              <w:t>Years Ending December 31:</w:t>
            </w:r>
          </w:p>
        </w:tc>
        <w:tc>
          <w:tcPr>
            <w:tcW w:w="25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  310,651</w:t>
            </w:r>
          </w:p>
        </w:tc>
        <w:tc>
          <w:tcPr>
            <w:tcW w:w="0" w:type="dxa"/>
            <w:vAlign w:val="bottom"/>
          </w:tcPr>
          <w:p>
            <w:pPr>
              <w:spacing w:after="0"/>
              <w:rPr>
                <w:sz w:val="1"/>
                <w:szCs w:val="1"/>
                <w:color w:val="auto"/>
              </w:rPr>
            </w:pPr>
          </w:p>
        </w:tc>
      </w:tr>
      <w:tr>
        <w:trPr>
          <w:trHeight w:val="163"/>
        </w:trPr>
        <w:tc>
          <w:tcPr>
            <w:tcW w:w="34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310,651</w:t>
            </w:r>
          </w:p>
        </w:tc>
        <w:tc>
          <w:tcPr>
            <w:tcW w:w="0" w:type="dxa"/>
            <w:vAlign w:val="bottom"/>
          </w:tcPr>
          <w:p>
            <w:pPr>
              <w:spacing w:after="0"/>
              <w:rPr>
                <w:sz w:val="1"/>
                <w:szCs w:val="1"/>
                <w:color w:val="auto"/>
              </w:rPr>
            </w:pPr>
          </w:p>
        </w:tc>
      </w:tr>
      <w:tr>
        <w:trPr>
          <w:trHeight w:val="163"/>
        </w:trPr>
        <w:tc>
          <w:tcPr>
            <w:tcW w:w="34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310,651</w:t>
            </w:r>
          </w:p>
        </w:tc>
        <w:tc>
          <w:tcPr>
            <w:tcW w:w="0" w:type="dxa"/>
            <w:vAlign w:val="bottom"/>
          </w:tcPr>
          <w:p>
            <w:pPr>
              <w:spacing w:after="0"/>
              <w:rPr>
                <w:sz w:val="1"/>
                <w:szCs w:val="1"/>
                <w:color w:val="auto"/>
              </w:rPr>
            </w:pPr>
          </w:p>
        </w:tc>
      </w:tr>
      <w:tr>
        <w:trPr>
          <w:trHeight w:val="163"/>
        </w:trPr>
        <w:tc>
          <w:tcPr>
            <w:tcW w:w="34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310,651</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310,651</w:t>
            </w:r>
          </w:p>
        </w:tc>
        <w:tc>
          <w:tcPr>
            <w:tcW w:w="0" w:type="dxa"/>
            <w:vAlign w:val="bottom"/>
          </w:tcPr>
          <w:p>
            <w:pPr>
              <w:spacing w:after="0"/>
              <w:rPr>
                <w:sz w:val="1"/>
                <w:szCs w:val="1"/>
                <w:color w:val="auto"/>
              </w:rPr>
            </w:pPr>
          </w:p>
        </w:tc>
      </w:tr>
      <w:tr>
        <w:trPr>
          <w:trHeight w:val="252"/>
        </w:trPr>
        <w:tc>
          <w:tcPr>
            <w:tcW w:w="34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1,890,193</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ind w:left="5780"/>
        <w:spacing w:after="0"/>
        <w:rPr>
          <w:sz w:val="20"/>
          <w:szCs w:val="20"/>
          <w:color w:val="auto"/>
        </w:rPr>
      </w:pPr>
      <w:r>
        <w:rPr>
          <w:rFonts w:ascii="Courier New" w:cs="Courier New" w:eastAsia="Courier New" w:hAnsi="Courier New"/>
          <w:sz w:val="14"/>
          <w:szCs w:val="14"/>
          <w:color w:val="auto"/>
        </w:rPr>
        <w:t>$3,443,448</w:t>
      </w:r>
    </w:p>
    <w:p>
      <w:pPr>
        <w:spacing w:after="0" w:line="4"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305" w:lineRule="exact"/>
        <w:rPr>
          <w:sz w:val="20"/>
          <w:szCs w:val="20"/>
          <w:color w:val="auto"/>
        </w:rPr>
      </w:pPr>
    </w:p>
    <w:p>
      <w:pPr>
        <w:ind w:right="3539"/>
        <w:spacing w:after="0" w:line="263" w:lineRule="auto"/>
        <w:rPr>
          <w:sz w:val="20"/>
          <w:szCs w:val="20"/>
          <w:color w:val="auto"/>
        </w:rPr>
      </w:pPr>
      <w:r>
        <w:rPr>
          <w:rFonts w:ascii="Courier New" w:cs="Courier New" w:eastAsia="Courier New" w:hAnsi="Courier New"/>
          <w:sz w:val="14"/>
          <w:szCs w:val="14"/>
          <w:color w:val="auto"/>
        </w:rPr>
        <w:t>As of December 31, 1999, approximately $24.9 million of rents due from CCA to the Company were unpaid. The terms of the CCA Leases provide that rental payments were due and payable on December 25, 1999. During 2000, CCA has paid $12.9 million of lease payments related to 1999 and no lease payments relating to 2000. Under the terms of the CCA Leases, an event of default occurs if CCA fails to pay all required lease payments owed to the Company under the CCA Leases within 15 days of receiving a notice of nonpayment from the Company. As of the date hereof, the Company has not provided CCA with such notice</w:t>
      </w:r>
    </w:p>
    <w:p>
      <w:pPr>
        <w:spacing w:after="0" w:line="77" w:lineRule="exact"/>
        <w:rPr>
          <w:sz w:val="20"/>
          <w:szCs w:val="20"/>
          <w:color w:val="auto"/>
        </w:rPr>
      </w:pPr>
    </w:p>
    <w:p>
      <w:pPr>
        <w:jc w:val="both"/>
        <w:ind w:right="3359"/>
        <w:spacing w:after="0" w:line="306" w:lineRule="auto"/>
        <w:rPr>
          <w:sz w:val="20"/>
          <w:szCs w:val="20"/>
          <w:color w:val="auto"/>
        </w:rPr>
      </w:pPr>
      <w:r>
        <w:rPr>
          <w:rFonts w:ascii="Courier New" w:cs="Courier New" w:eastAsia="Courier New" w:hAnsi="Courier New"/>
          <w:sz w:val="14"/>
          <w:szCs w:val="14"/>
          <w:color w:val="auto"/>
        </w:rPr>
        <w:t>In addition, the Company expects that the CCA Leases will be materially impacted by either the prospective equity investment and related restructuring discussed previously or by renegotiation of the CCA Leases with CCA.</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TENANT INCENTIVE AGREEMENT</w:t>
      </w:r>
    </w:p>
    <w:p>
      <w:pPr>
        <w:spacing w:after="0" w:line="168"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For the year ended December 1999, the Company had paid tenant incentive fees of $68.6 million, with $2.9 million of those fees amortized against rental revenues. During the fourth quarter of 1999, the Company undertook a plan that contemplates either merging with CCA and thereby eliminating the CCA Leases or amending the CCA Leases to reduce the lease payments to be paid by CCA to the Company during 2000. Consequently, the Company determined that the remaining deferred tenant incentive fees under the existing lease arrangements at December 31, 1999 were not realizable and wrote off fees totaling $65.7 million.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 NAME USE AGREEMENT</w:t>
      </w:r>
    </w:p>
    <w:p>
      <w:pPr>
        <w:spacing w:after="0" w:line="168" w:lineRule="exact"/>
        <w:rPr>
          <w:sz w:val="20"/>
          <w:szCs w:val="20"/>
          <w:color w:val="auto"/>
        </w:rPr>
      </w:pPr>
    </w:p>
    <w:p>
      <w:pPr>
        <w:ind w:right="3359"/>
        <w:spacing w:after="0" w:line="286" w:lineRule="auto"/>
        <w:rPr>
          <w:sz w:val="20"/>
          <w:szCs w:val="20"/>
          <w:color w:val="auto"/>
        </w:rPr>
      </w:pPr>
      <w:r>
        <w:rPr>
          <w:rFonts w:ascii="Courier New" w:cs="Courier New" w:eastAsia="Courier New" w:hAnsi="Courier New"/>
          <w:sz w:val="14"/>
          <w:szCs w:val="14"/>
          <w:color w:val="auto"/>
        </w:rPr>
        <w:t>For the year ended December 31, 1999, the Company recognized income of $8.7 million from CCA under the terms of the Trade Name Use Agreement. As of December 31, 1999, the Company had recorded a receivable of $2.2 million from CCA for licensing fees due under the Trade Name Use Agreement.</w:t>
      </w: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SERVICES AGREEMENT</w:t>
      </w:r>
    </w:p>
    <w:p>
      <w:pPr>
        <w:spacing w:after="0" w:line="168" w:lineRule="exact"/>
        <w:rPr>
          <w:sz w:val="20"/>
          <w:szCs w:val="20"/>
          <w:color w:val="auto"/>
        </w:rPr>
      </w:pPr>
    </w:p>
    <w:p>
      <w:pPr>
        <w:ind w:right="3539"/>
        <w:spacing w:after="0" w:line="286" w:lineRule="auto"/>
        <w:rPr>
          <w:sz w:val="20"/>
          <w:szCs w:val="20"/>
          <w:color w:val="auto"/>
        </w:rPr>
      </w:pPr>
      <w:r>
        <w:rPr>
          <w:rFonts w:ascii="Courier New" w:cs="Courier New" w:eastAsia="Courier New" w:hAnsi="Courier New"/>
          <w:sz w:val="14"/>
          <w:szCs w:val="14"/>
          <w:color w:val="auto"/>
        </w:rPr>
        <w:t>Costs incurred by the Company under the CCA Services Agreement are capitalized as part of the facilities' development cost. Costs incurred under the CCA Services Agreement and capitalized as part of the facilities' development cost totaled $41.6 million for the year ended December 31, 1999.</w:t>
      </w:r>
    </w:p>
    <w:p>
      <w:pPr>
        <w:spacing w:after="0" w:line="200" w:lineRule="exact"/>
        <w:rPr>
          <w:sz w:val="20"/>
          <w:szCs w:val="20"/>
          <w:color w:val="auto"/>
        </w:rPr>
      </w:pPr>
    </w:p>
    <w:p>
      <w:pPr>
        <w:spacing w:after="0" w:line="34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159"/>
          </w:cols>
          <w:pgMar w:left="300" w:top="257"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77</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DEVELOPMENT AGREEMENT</w:t>
      </w:r>
    </w:p>
    <w:p>
      <w:pPr>
        <w:spacing w:after="0" w:line="142" w:lineRule="exact"/>
        <w:rPr>
          <w:sz w:val="20"/>
          <w:szCs w:val="20"/>
          <w:color w:val="auto"/>
        </w:rPr>
      </w:pPr>
    </w:p>
    <w:p>
      <w:pPr>
        <w:ind w:right="3619"/>
        <w:spacing w:after="0" w:line="286" w:lineRule="auto"/>
        <w:rPr>
          <w:sz w:val="20"/>
          <w:szCs w:val="20"/>
          <w:color w:val="auto"/>
        </w:rPr>
      </w:pPr>
      <w:r>
        <w:rPr>
          <w:rFonts w:ascii="Courier New" w:cs="Courier New" w:eastAsia="Courier New" w:hAnsi="Courier New"/>
          <w:sz w:val="14"/>
          <w:szCs w:val="14"/>
          <w:color w:val="auto"/>
        </w:rPr>
        <w:t>Costs incurred by the Company under the Business Development Agreement are capitalized as part of the facilities' development cost. Costs incurred under the Business Development Agreement and capitalized as part of the facilities' development cost totaled $15.0 million for the year ended December 31, 1999.</w:t>
      </w: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FINANCIAL INFORMATION</w:t>
      </w:r>
    </w:p>
    <w:p>
      <w:pPr>
        <w:spacing w:after="0" w:line="168" w:lineRule="exact"/>
        <w:rPr>
          <w:sz w:val="20"/>
          <w:szCs w:val="20"/>
          <w:color w:val="auto"/>
        </w:rPr>
      </w:pPr>
    </w:p>
    <w:p>
      <w:pPr>
        <w:ind w:right="4039"/>
        <w:spacing w:after="0" w:line="366" w:lineRule="auto"/>
        <w:rPr>
          <w:sz w:val="20"/>
          <w:szCs w:val="20"/>
          <w:color w:val="auto"/>
        </w:rPr>
      </w:pPr>
      <w:r>
        <w:rPr>
          <w:rFonts w:ascii="Courier New" w:cs="Courier New" w:eastAsia="Courier New" w:hAnsi="Courier New"/>
          <w:sz w:val="14"/>
          <w:szCs w:val="14"/>
          <w:color w:val="auto"/>
        </w:rPr>
        <w:t>The following summarized operating information presents CCA's results of operations for the year ended December 31, 1999:</w:t>
      </w:r>
    </w:p>
    <w:p>
      <w:pPr>
        <w:spacing w:after="0" w:line="200" w:lineRule="exact"/>
        <w:rPr>
          <w:sz w:val="20"/>
          <w:szCs w:val="20"/>
          <w:color w:val="auto"/>
        </w:rPr>
      </w:pPr>
    </w:p>
    <w:p>
      <w:pPr>
        <w:spacing w:after="0" w:line="295"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THOUSANDS)</w:t>
            </w:r>
          </w:p>
        </w:tc>
      </w:tr>
      <w:tr>
        <w:trPr>
          <w:trHeight w:val="252"/>
        </w:trPr>
        <w:tc>
          <w:tcPr>
            <w:tcW w:w="20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499,292</w:t>
            </w:r>
          </w:p>
        </w:tc>
      </w:tr>
      <w:tr>
        <w:trPr>
          <w:trHeight w:val="238"/>
        </w:trPr>
        <w:tc>
          <w:tcPr>
            <w:tcW w:w="20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580" w:type="dxa"/>
            <w:vAlign w:val="bottom"/>
          </w:tcPr>
          <w:p>
            <w:pPr>
              <w:spacing w:after="0"/>
              <w:rPr>
                <w:sz w:val="20"/>
                <w:szCs w:val="20"/>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7"/>
              </w:rPr>
              <w:t>(202,918)</w:t>
            </w:r>
          </w:p>
        </w:tc>
      </w:tr>
    </w:tbl>
    <w:p>
      <w:pPr>
        <w:spacing w:after="0" w:line="251" w:lineRule="exact"/>
        <w:rPr>
          <w:sz w:val="20"/>
          <w:szCs w:val="20"/>
          <w:color w:val="auto"/>
        </w:rPr>
      </w:pPr>
    </w:p>
    <w:p>
      <w:pPr>
        <w:ind w:right="3799"/>
        <w:spacing w:after="0" w:line="366" w:lineRule="auto"/>
        <w:rPr>
          <w:sz w:val="20"/>
          <w:szCs w:val="20"/>
          <w:color w:val="auto"/>
        </w:rPr>
      </w:pPr>
      <w:r>
        <w:rPr>
          <w:rFonts w:ascii="Courier New" w:cs="Courier New" w:eastAsia="Courier New" w:hAnsi="Courier New"/>
          <w:sz w:val="14"/>
          <w:szCs w:val="14"/>
          <w:color w:val="auto"/>
        </w:rPr>
        <w:t>The following summarized balance sheet information presents CCA's financial position as of December 31, 1999:</w:t>
      </w:r>
    </w:p>
    <w:p>
      <w:pPr>
        <w:spacing w:after="0" w:line="200" w:lineRule="exact"/>
        <w:rPr>
          <w:sz w:val="20"/>
          <w:szCs w:val="20"/>
          <w:color w:val="auto"/>
        </w:rPr>
      </w:pPr>
    </w:p>
    <w:p>
      <w:pPr>
        <w:spacing w:after="0" w:line="295"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THOUSANDS)</w:t>
            </w:r>
          </w:p>
        </w:tc>
      </w:tr>
      <w:tr>
        <w:trPr>
          <w:trHeight w:val="252"/>
        </w:trPr>
        <w:tc>
          <w:tcPr>
            <w:tcW w:w="25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88,647</w:t>
            </w:r>
          </w:p>
        </w:tc>
      </w:tr>
      <w:tr>
        <w:trPr>
          <w:trHeight w:val="163"/>
        </w:trPr>
        <w:tc>
          <w:tcPr>
            <w:tcW w:w="25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20" w:type="dxa"/>
            <w:vAlign w:val="bottom"/>
          </w:tcPr>
          <w:p>
            <w:pPr>
              <w:spacing w:after="0"/>
              <w:rPr>
                <w:sz w:val="14"/>
                <w:szCs w:val="14"/>
                <w:color w:val="auto"/>
              </w:rPr>
            </w:pPr>
          </w:p>
        </w:tc>
        <w:tc>
          <w:tcPr>
            <w:tcW w:w="9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184,701</w:t>
            </w:r>
          </w:p>
        </w:tc>
      </w:tr>
      <w:tr>
        <w:trPr>
          <w:trHeight w:val="163"/>
        </w:trPr>
        <w:tc>
          <w:tcPr>
            <w:tcW w:w="25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020" w:type="dxa"/>
            <w:vAlign w:val="bottom"/>
          </w:tcPr>
          <w:p>
            <w:pPr>
              <w:spacing w:after="0"/>
              <w:rPr>
                <w:sz w:val="14"/>
                <w:szCs w:val="14"/>
                <w:color w:val="auto"/>
              </w:rPr>
            </w:pPr>
          </w:p>
        </w:tc>
        <w:tc>
          <w:tcPr>
            <w:tcW w:w="9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258,421</w:t>
            </w:r>
          </w:p>
        </w:tc>
      </w:tr>
      <w:tr>
        <w:trPr>
          <w:trHeight w:val="163"/>
        </w:trPr>
        <w:tc>
          <w:tcPr>
            <w:tcW w:w="2560" w:type="dxa"/>
            <w:vAlign w:val="bottom"/>
          </w:tcPr>
          <w:p>
            <w:pPr>
              <w:spacing w:after="0"/>
              <w:rPr>
                <w:sz w:val="20"/>
                <w:szCs w:val="20"/>
                <w:color w:val="auto"/>
              </w:rPr>
            </w:pPr>
            <w:r>
              <w:rPr>
                <w:rFonts w:ascii="Courier New" w:cs="Courier New" w:eastAsia="Courier New" w:hAnsi="Courier New"/>
                <w:sz w:val="14"/>
                <w:szCs w:val="14"/>
                <w:color w:val="auto"/>
              </w:rPr>
              <w:t>Deferred credits</w:t>
            </w:r>
          </w:p>
        </w:tc>
        <w:tc>
          <w:tcPr>
            <w:tcW w:w="1020" w:type="dxa"/>
            <w:vAlign w:val="bottom"/>
          </w:tcPr>
          <w:p>
            <w:pPr>
              <w:spacing w:after="0"/>
              <w:rPr>
                <w:sz w:val="14"/>
                <w:szCs w:val="14"/>
                <w:color w:val="auto"/>
              </w:rPr>
            </w:pPr>
          </w:p>
        </w:tc>
        <w:tc>
          <w:tcPr>
            <w:tcW w:w="9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107,070</w:t>
            </w:r>
          </w:p>
        </w:tc>
      </w:tr>
      <w:tr>
        <w:trPr>
          <w:trHeight w:val="163"/>
        </w:trPr>
        <w:tc>
          <w:tcPr>
            <w:tcW w:w="256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1020" w:type="dxa"/>
            <w:vAlign w:val="bottom"/>
          </w:tcPr>
          <w:p>
            <w:pPr>
              <w:spacing w:after="0"/>
              <w:rPr>
                <w:sz w:val="14"/>
                <w:szCs w:val="14"/>
                <w:color w:val="auto"/>
              </w:rPr>
            </w:pPr>
          </w:p>
        </w:tc>
        <w:tc>
          <w:tcPr>
            <w:tcW w:w="9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365,491</w:t>
            </w:r>
          </w:p>
        </w:tc>
      </w:tr>
      <w:tr>
        <w:trPr>
          <w:trHeight w:val="238"/>
        </w:trPr>
        <w:tc>
          <w:tcPr>
            <w:tcW w:w="2560" w:type="dxa"/>
            <w:vAlign w:val="bottom"/>
          </w:tcPr>
          <w:p>
            <w:pPr>
              <w:spacing w:after="0"/>
              <w:rPr>
                <w:sz w:val="20"/>
                <w:szCs w:val="20"/>
                <w:color w:val="auto"/>
              </w:rPr>
            </w:pPr>
            <w:r>
              <w:rPr>
                <w:rFonts w:ascii="Courier New" w:cs="Courier New" w:eastAsia="Courier New" w:hAnsi="Courier New"/>
                <w:sz w:val="14"/>
                <w:szCs w:val="14"/>
                <w:color w:val="auto"/>
              </w:rPr>
              <w:t>Stockholders' deficit</w:t>
            </w:r>
          </w:p>
        </w:tc>
        <w:tc>
          <w:tcPr>
            <w:tcW w:w="1020" w:type="dxa"/>
            <w:vAlign w:val="bottom"/>
          </w:tcPr>
          <w:p>
            <w:pPr>
              <w:spacing w:after="0"/>
              <w:rPr>
                <w:sz w:val="20"/>
                <w:szCs w:val="20"/>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7"/>
              </w:rPr>
              <w:t>(180,790)</w:t>
            </w:r>
          </w:p>
        </w:tc>
      </w:tr>
    </w:tbl>
    <w:p>
      <w:pPr>
        <w:spacing w:after="0" w:line="252" w:lineRule="exact"/>
        <w:rPr>
          <w:sz w:val="20"/>
          <w:szCs w:val="20"/>
          <w:color w:val="auto"/>
        </w:rPr>
      </w:pPr>
    </w:p>
    <w:p>
      <w:pPr>
        <w:ind w:right="3459"/>
        <w:spacing w:after="0" w:line="366" w:lineRule="auto"/>
        <w:rPr>
          <w:sz w:val="20"/>
          <w:szCs w:val="20"/>
          <w:color w:val="auto"/>
        </w:rPr>
      </w:pPr>
      <w:r>
        <w:rPr>
          <w:rFonts w:ascii="Courier New" w:cs="Courier New" w:eastAsia="Courier New" w:hAnsi="Courier New"/>
          <w:sz w:val="14"/>
          <w:szCs w:val="14"/>
          <w:color w:val="auto"/>
        </w:rPr>
        <w:t>The following summary presents CCA's cash flows for the year ended December 31, 1999:</w:t>
      </w:r>
    </w:p>
    <w:p>
      <w:pPr>
        <w:spacing w:after="0" w:line="200" w:lineRule="exact"/>
        <w:rPr>
          <w:sz w:val="20"/>
          <w:szCs w:val="20"/>
          <w:color w:val="auto"/>
        </w:rPr>
      </w:pPr>
    </w:p>
    <w:p>
      <w:pPr>
        <w:spacing w:after="0" w:line="295"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252"/>
        </w:trPr>
        <w:tc>
          <w:tcPr>
            <w:tcW w:w="4000" w:type="dxa"/>
            <w:vAlign w:val="bottom"/>
          </w:tcPr>
          <w:p>
            <w:pPr>
              <w:spacing w:after="0"/>
              <w:rPr>
                <w:sz w:val="20"/>
                <w:szCs w:val="20"/>
                <w:color w:val="auto"/>
              </w:rPr>
            </w:pPr>
            <w:r>
              <w:rPr>
                <w:rFonts w:ascii="Courier New" w:cs="Courier New" w:eastAsia="Courier New" w:hAnsi="Courier New"/>
                <w:sz w:val="14"/>
                <w:szCs w:val="14"/>
                <w:color w:val="auto"/>
              </w:rPr>
              <w:t>Cash flows used in operating activities</w:t>
            </w:r>
          </w:p>
        </w:tc>
        <w:tc>
          <w:tcPr>
            <w:tcW w:w="15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$(16,332)</w:t>
            </w:r>
          </w:p>
        </w:tc>
        <w:tc>
          <w:tcPr>
            <w:tcW w:w="0" w:type="dxa"/>
            <w:vAlign w:val="bottom"/>
          </w:tcPr>
          <w:p>
            <w:pPr>
              <w:spacing w:after="0"/>
              <w:rPr>
                <w:sz w:val="1"/>
                <w:szCs w:val="1"/>
                <w:color w:val="auto"/>
              </w:rPr>
            </w:pPr>
          </w:p>
        </w:tc>
      </w:tr>
      <w:tr>
        <w:trPr>
          <w:trHeight w:val="163"/>
        </w:trPr>
        <w:tc>
          <w:tcPr>
            <w:tcW w:w="4000" w:type="dxa"/>
            <w:vAlign w:val="bottom"/>
          </w:tcPr>
          <w:p>
            <w:pPr>
              <w:spacing w:after="0"/>
              <w:rPr>
                <w:sz w:val="20"/>
                <w:szCs w:val="20"/>
                <w:color w:val="auto"/>
              </w:rPr>
            </w:pPr>
            <w:r>
              <w:rPr>
                <w:rFonts w:ascii="Courier New" w:cs="Courier New" w:eastAsia="Courier New" w:hAnsi="Courier New"/>
                <w:sz w:val="14"/>
                <w:szCs w:val="14"/>
                <w:color w:val="auto"/>
              </w:rPr>
              <w:t>Cash flows used in investing activities</w:t>
            </w:r>
          </w:p>
        </w:tc>
        <w:tc>
          <w:tcPr>
            <w:tcW w:w="15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(2,091)</w:t>
            </w:r>
          </w:p>
        </w:tc>
        <w:tc>
          <w:tcPr>
            <w:tcW w:w="0" w:type="dxa"/>
            <w:vAlign w:val="bottom"/>
          </w:tcPr>
          <w:p>
            <w:pPr>
              <w:spacing w:after="0"/>
              <w:rPr>
                <w:sz w:val="1"/>
                <w:szCs w:val="1"/>
                <w:color w:val="auto"/>
              </w:rPr>
            </w:pPr>
          </w:p>
        </w:tc>
      </w:tr>
      <w:tr>
        <w:trPr>
          <w:trHeight w:val="163"/>
        </w:trPr>
        <w:tc>
          <w:tcPr>
            <w:tcW w:w="4000" w:type="dxa"/>
            <w:vAlign w:val="bottom"/>
          </w:tcPr>
          <w:p>
            <w:pPr>
              <w:spacing w:after="0"/>
              <w:rPr>
                <w:sz w:val="20"/>
                <w:szCs w:val="20"/>
                <w:color w:val="auto"/>
              </w:rPr>
            </w:pPr>
            <w:r>
              <w:rPr>
                <w:rFonts w:ascii="Courier New" w:cs="Courier New" w:eastAsia="Courier New" w:hAnsi="Courier New"/>
                <w:sz w:val="14"/>
                <w:szCs w:val="14"/>
                <w:color w:val="auto"/>
              </w:rPr>
              <w:t>Cash flows provided by financing activities</w:t>
            </w:r>
          </w:p>
        </w:tc>
        <w:tc>
          <w:tcPr>
            <w:tcW w:w="1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10,089</w:t>
            </w:r>
          </w:p>
        </w:tc>
        <w:tc>
          <w:tcPr>
            <w:tcW w:w="0" w:type="dxa"/>
            <w:vAlign w:val="bottom"/>
          </w:tcPr>
          <w:p>
            <w:pPr>
              <w:spacing w:after="0"/>
              <w:rPr>
                <w:sz w:val="1"/>
                <w:szCs w:val="1"/>
                <w:color w:val="auto"/>
              </w:rPr>
            </w:pPr>
          </w:p>
        </w:tc>
      </w:tr>
      <w:tr>
        <w:trPr>
          <w:trHeight w:val="163"/>
        </w:trPr>
        <w:tc>
          <w:tcPr>
            <w:tcW w:w="4000" w:type="dxa"/>
            <w:vAlign w:val="bottom"/>
            <w:vMerge w:val="restart"/>
          </w:tcPr>
          <w:p>
            <w:pPr>
              <w:spacing w:after="0"/>
              <w:rPr>
                <w:sz w:val="20"/>
                <w:szCs w:val="20"/>
                <w:color w:val="auto"/>
              </w:rPr>
            </w:pPr>
            <w:r>
              <w:rPr>
                <w:rFonts w:ascii="Courier New" w:cs="Courier New" w:eastAsia="Courier New" w:hAnsi="Courier New"/>
                <w:sz w:val="14"/>
                <w:szCs w:val="14"/>
                <w:color w:val="auto"/>
              </w:rPr>
              <w:t>Net decrease in cash for 1999</w:t>
            </w:r>
          </w:p>
        </w:tc>
        <w:tc>
          <w:tcPr>
            <w:tcW w:w="1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00" w:type="dxa"/>
            <w:vAlign w:val="bottom"/>
            <w:vMerge w:val="continue"/>
          </w:tcPr>
          <w:p>
            <w:pPr>
              <w:spacing w:after="0"/>
              <w:rPr>
                <w:sz w:val="14"/>
                <w:szCs w:val="14"/>
                <w:color w:val="auto"/>
              </w:rPr>
            </w:pPr>
          </w:p>
        </w:tc>
        <w:tc>
          <w:tcPr>
            <w:tcW w:w="15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(8,334)</w:t>
            </w: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1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CCA has utilized cash from borrowings under its revolving credit facility, equity issuances and payments from the Company for tenant incentive arrangements and other services to offset the cash requirements of its operating losses. CCA expects to continue to use these sources of cash to offset its anticipated losses from operations; however, amounts presently anticipated to be available to CCA will not be sufficient to offset all of CCA's expected future operating losses.</w:t>
      </w:r>
    </w:p>
    <w:p>
      <w:pPr>
        <w:spacing w:after="0" w:line="200" w:lineRule="exact"/>
        <w:rPr>
          <w:sz w:val="20"/>
          <w:szCs w:val="20"/>
          <w:color w:val="auto"/>
        </w:rPr>
      </w:pPr>
    </w:p>
    <w:p>
      <w:pPr>
        <w:spacing w:after="0" w:line="3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159"/>
          </w:cols>
          <w:pgMar w:left="300" w:top="257"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78</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w:t>
      </w:r>
    </w:p>
    <w:p>
      <w:pPr>
        <w:spacing w:after="0" w:line="168" w:lineRule="exact"/>
        <w:rPr>
          <w:sz w:val="20"/>
          <w:szCs w:val="20"/>
          <w:color w:val="auto"/>
        </w:rPr>
      </w:pPr>
    </w:p>
    <w:p>
      <w:pPr>
        <w:ind w:right="3619"/>
        <w:spacing w:after="0" w:line="270" w:lineRule="auto"/>
        <w:rPr>
          <w:sz w:val="20"/>
          <w:szCs w:val="20"/>
          <w:color w:val="auto"/>
        </w:rPr>
      </w:pPr>
      <w:r>
        <w:rPr>
          <w:rFonts w:ascii="Courier New" w:cs="Courier New" w:eastAsia="Courier New" w:hAnsi="Courier New"/>
          <w:sz w:val="14"/>
          <w:szCs w:val="14"/>
          <w:color w:val="auto"/>
        </w:rPr>
        <w:t>The Company is subject to a variety of legal proceedings, some of which if resolved against the Company, could have a material adverse effect upon the business and financial position of the Company. A complete description of the litigation currently commenced against the Company, including certain shareholder litigation, is set forth herein under the headings "Business -- Recent Developments -- Shareholder Litigation" and "Legal Proceedings."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 CONTINGENCIES</w:t>
      </w:r>
    </w:p>
    <w:p>
      <w:pPr>
        <w:spacing w:after="0" w:line="168" w:lineRule="exact"/>
        <w:rPr>
          <w:sz w:val="20"/>
          <w:szCs w:val="20"/>
          <w:color w:val="auto"/>
        </w:rPr>
      </w:pPr>
    </w:p>
    <w:p>
      <w:pPr>
        <w:ind w:right="3359"/>
        <w:spacing w:after="0" w:line="251" w:lineRule="auto"/>
        <w:rPr>
          <w:sz w:val="20"/>
          <w:szCs w:val="20"/>
          <w:color w:val="auto"/>
        </w:rPr>
      </w:pPr>
      <w:r>
        <w:rPr>
          <w:rFonts w:ascii="Courier New" w:cs="Courier New" w:eastAsia="Courier New" w:hAnsi="Courier New"/>
          <w:sz w:val="14"/>
          <w:szCs w:val="14"/>
          <w:color w:val="auto"/>
        </w:rPr>
        <w:t>As required by its governing instruments, the Company currently intends to elect to be taxed as a REIT for the year ended December 31, 1999. In the event the Company completes the Fortress/Blackstone Restructuring under its existing terms following shareholder approval in 2000, the Company will be required to be taxed as a C corporation commencing with the taxable year ended December 31, 1999. In order to qualify as a REIT, the Company is required to distribute 95% of its taxable income for 1999. Although dividends sufficient to distribute 95% of the Company's taxable income for 1999 have not been declared as of December 31, 1999, the Company intends to pay sufficient dividends either in cash or in securities to satisfy all distribution requirements for qualification as a REIT for 1999 and estimates that $143.7 million will be distributed in 2000 to meet this requirement. The Company is currently considering the exact timing and method of the payment of these required distributions. As of December 31, 1999, $2.2 million of distributions relating to the 8% Series A Cumulative Preferred Shares have been declared and accrued on the Company's consolidated balance sheets. The remaining $141.5 million of distributions that must be paid to shareholders in 2000 in order for the Company to qualify as a REIT have not been declared by the board of directors and, accordingly, have not been accrued in the Company's consolidated balance sheets. It is likely that the Company's debt holders would be required to consent to the Company's payment of these distributions. The Company's failure to distribute 95% of its taxable income for 1999 or the failure of the Company to comply with other requirements for REIT qualification under the Code would have a material adverse impact on the Company's consolidated financial position, results of operations and cash flows.</w:t>
      </w:r>
    </w:p>
    <w:p>
      <w:pPr>
        <w:spacing w:after="0" w:line="96" w:lineRule="exact"/>
        <w:rPr>
          <w:sz w:val="20"/>
          <w:szCs w:val="20"/>
          <w:color w:val="auto"/>
        </w:rPr>
      </w:pPr>
    </w:p>
    <w:p>
      <w:pPr>
        <w:ind w:right="3459"/>
        <w:spacing w:after="0" w:line="260" w:lineRule="auto"/>
        <w:rPr>
          <w:sz w:val="20"/>
          <w:szCs w:val="20"/>
          <w:color w:val="auto"/>
        </w:rPr>
      </w:pPr>
      <w:r>
        <w:rPr>
          <w:rFonts w:ascii="Courier New" w:cs="Courier New" w:eastAsia="Courier New" w:hAnsi="Courier New"/>
          <w:sz w:val="14"/>
          <w:szCs w:val="14"/>
          <w:color w:val="auto"/>
        </w:rPr>
        <w:t>If the Company elects REIT status for its taxable year ended December 31, 1999, such election will be subject to review by the IRS for a period of three years from the date of filing of its 1999 tax return. Should the IRS review the Company's election to be taxed as a REIT for the 1999 taxable year and reach a conclusion requiring the Company to be treated as a taxable corporation for the 1999 taxable year, the Company would be subject to income taxes and interest on its 1999 taxable income and possibly subject to fines and/or penalties. Income taxes for the year ended December 31, 1999 could exceed $83.5 million, which would have an adverse impact on the Company's consolidated financial position, results of operations and cash flows.</w:t>
      </w:r>
    </w:p>
    <w:p>
      <w:pPr>
        <w:spacing w:after="0" w:line="200" w:lineRule="exact"/>
        <w:rPr>
          <w:sz w:val="20"/>
          <w:szCs w:val="20"/>
          <w:color w:val="auto"/>
        </w:rPr>
      </w:pPr>
    </w:p>
    <w:p>
      <w:pPr>
        <w:spacing w:after="0" w:line="36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159"/>
          </w:cols>
          <w:pgMar w:left="300" w:top="257"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79</w:t>
      </w:r>
    </w:p>
    <w:p>
      <w:pPr>
        <w:spacing w:after="0" w:line="30"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4"/>
          <w:szCs w:val="14"/>
          <w:color w:val="auto"/>
        </w:rPr>
        <w:t>In connection with the 1999 Merger, the Company assumed the tax obligations of Old CCA resulting from disputes with federal and state taxing authorities related to tax returns filed by Old CCA in 1998 and prior taxable years. The IRS is currently conducting an audit of Old CCA's federal tax return for the taxable year ending December 31, 1997. The Company currently is unable to predict the ultimate outcome of the IRS's audit of Old CCA's 1997 federal tax return or the ultimate outcome of audits of other tax returns of the Company or Old CCA by the IRS or by other taxing authorities; however, it is possible that such audits will result in claims against the Company in excess of the $5.5 million of income taxes payable and the $32.0 million of deferred tax liability currently recorded by the Company. In addition, to the extent that IRS audit adjustments increase the Accumulated Earnings and Profits of Old CCA, the Company would be required to make timely distribution of the Accumulated Earnings and Profits of Old CCA to shareholders. Such results would have a material adverse impact on the Company's financial position, results of operations and cash flows.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GUARANTEES</w:t>
      </w:r>
    </w:p>
    <w:p>
      <w:pPr>
        <w:spacing w:after="0" w:line="168" w:lineRule="exact"/>
        <w:rPr>
          <w:sz w:val="20"/>
          <w:szCs w:val="20"/>
          <w:color w:val="auto"/>
        </w:rPr>
      </w:pPr>
    </w:p>
    <w:p>
      <w:pPr>
        <w:ind w:right="3539"/>
        <w:spacing w:after="0" w:line="266" w:lineRule="auto"/>
        <w:rPr>
          <w:sz w:val="20"/>
          <w:szCs w:val="20"/>
          <w:color w:val="auto"/>
        </w:rPr>
      </w:pPr>
      <w:r>
        <w:rPr>
          <w:rFonts w:ascii="Courier New" w:cs="Courier New" w:eastAsia="Courier New" w:hAnsi="Courier New"/>
          <w:sz w:val="14"/>
          <w:szCs w:val="14"/>
          <w:color w:val="auto"/>
        </w:rPr>
        <w:t>The Company has guaranteed the bond indebtedness (outstanding balance of $69.1 million at December 31, 1999) and forward purchase agreement (estimated obligation of $6.9 million at December 31, 1999) of a governmental entity for which PMSI currently provides management services at a 302-bed correctional facility. Under the terms of its guarantee agreements, the Company is required to maintain a restricted cash account (balance of $6.9 million at December 31, 1999) to collateralize the guarantee of the forward purchase agreement.</w:t>
      </w:r>
    </w:p>
    <w:p>
      <w:pPr>
        <w:spacing w:after="0" w:line="74" w:lineRule="exact"/>
        <w:rPr>
          <w:sz w:val="20"/>
          <w:szCs w:val="20"/>
          <w:color w:val="auto"/>
        </w:rPr>
      </w:pPr>
    </w:p>
    <w:p>
      <w:pPr>
        <w:ind w:right="3359"/>
        <w:spacing w:after="0" w:line="366" w:lineRule="auto"/>
        <w:rPr>
          <w:sz w:val="20"/>
          <w:szCs w:val="20"/>
          <w:color w:val="auto"/>
        </w:rPr>
      </w:pPr>
      <w:r>
        <w:rPr>
          <w:rFonts w:ascii="Courier New" w:cs="Courier New" w:eastAsia="Courier New" w:hAnsi="Courier New"/>
          <w:sz w:val="14"/>
          <w:szCs w:val="14"/>
          <w:color w:val="auto"/>
        </w:rPr>
        <w:t>LIQUIDITY AND CAPITAL RESOURCES FOR THE YEAR ENDED DECEMBER 31, 1998 AS COMPARED TO THE YEAR ENDED DECEMBER 31, 1997</w:t>
      </w:r>
    </w:p>
    <w:p>
      <w:pPr>
        <w:spacing w:after="0" w:line="6" w:lineRule="exact"/>
        <w:rPr>
          <w:sz w:val="20"/>
          <w:szCs w:val="20"/>
          <w:color w:val="auto"/>
        </w:rPr>
      </w:pPr>
    </w:p>
    <w:p>
      <w:pPr>
        <w:ind w:right="3459"/>
        <w:spacing w:after="0" w:line="276" w:lineRule="auto"/>
        <w:rPr>
          <w:sz w:val="20"/>
          <w:szCs w:val="20"/>
          <w:color w:val="auto"/>
        </w:rPr>
      </w:pPr>
      <w:r>
        <w:rPr>
          <w:rFonts w:ascii="Courier New" w:cs="Courier New" w:eastAsia="Courier New" w:hAnsi="Courier New"/>
          <w:sz w:val="14"/>
          <w:szCs w:val="14"/>
          <w:color w:val="auto"/>
        </w:rPr>
        <w:t>Old CCA's current ratio decreased to .33 in 1998 as compared to 2.41 in 1997. The decrease was due in part to the sale of $95.0 million of net current assets to Old CCA, JJFMSI and PMSI. In addition, during 1998, Old CCA utilized approximately $100.0 million of excess cash on hand at December 31, 1997 from the sale of 12 facilities to Old Prison Realty in 1997.</w:t>
      </w:r>
    </w:p>
    <w:p>
      <w:pPr>
        <w:spacing w:after="0" w:line="67"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Old CCA's cash flow from operations for 1998 was $54.5 million as compared to $92.0 million for 1997. The decrease in cash flow in 1998 was primarily a result of increased lease payments to Old Prison Realty of $39.3 million over 1997. However, cash flow from operations, calculated on a EBITDAR basis, was $112.0 million for 1998 as compared to $115.8 million for 1997. Included in these 1998 cash flow results are two significant non-cash charges, $22.9 million for the Old CCA compensation and $26.5 million for the cumulative effect of accounting change due to the adoption of SOP-98-5. At December 31, 1998, Old CCA had strengthened its cash flow through its expanded business, additional focus on larger, more profitable facilities, the expansion of existing facilities where economies of scale can be realized, and the continuing effort of cost containment.</w:t>
      </w:r>
    </w:p>
    <w:p>
      <w:pPr>
        <w:spacing w:after="0" w:line="200" w:lineRule="exact"/>
        <w:rPr>
          <w:sz w:val="20"/>
          <w:szCs w:val="20"/>
          <w:color w:val="auto"/>
        </w:rPr>
      </w:pPr>
    </w:p>
    <w:p>
      <w:pPr>
        <w:spacing w:after="0" w:line="3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159"/>
          </w:cols>
          <w:pgMar w:left="300" w:top="257"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80</w:t>
      </w:r>
    </w:p>
    <w:p>
      <w:pPr>
        <w:spacing w:after="0" w:line="30"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On November 4, 1998 Old CCA filed a Registration Statement on Form S-3 that allowed it, over the following two years, to sell Old CCA Common Stock in one or more offerings up to a total dollar amount of $100.0 million. As of December 31, 1998, Old CCA had sold 2,882,296 shares of Old CCA Common Stock under this registration statement, generating net proceeds to Old CCA of approximately $65.5 million. Old CCA used the net proceeds from the sale of Old CCA Common Stock for general corporate purposes including without limitation, repayment of indebtedness, financing capital expenditures and working capital.</w:t>
      </w:r>
    </w:p>
    <w:p>
      <w:pPr>
        <w:spacing w:after="0" w:line="78" w:lineRule="exact"/>
        <w:rPr>
          <w:sz w:val="20"/>
          <w:szCs w:val="20"/>
          <w:color w:val="auto"/>
        </w:rPr>
      </w:pPr>
    </w:p>
    <w:p>
      <w:pPr>
        <w:ind w:right="3359"/>
        <w:spacing w:after="0" w:line="253" w:lineRule="auto"/>
        <w:rPr>
          <w:sz w:val="20"/>
          <w:szCs w:val="20"/>
          <w:color w:val="auto"/>
        </w:rPr>
      </w:pPr>
      <w:r>
        <w:rPr>
          <w:rFonts w:ascii="Courier New" w:cs="Courier New" w:eastAsia="Courier New" w:hAnsi="Courier New"/>
          <w:sz w:val="14"/>
          <w:szCs w:val="14"/>
          <w:color w:val="auto"/>
        </w:rPr>
        <w:t>In June 1998, Old CCA increased its revolving credit facility with a group of banks to $350.0 million. The facility matured on the earlier of the date of the completion of the 1999 Merger or September 6, 1999 and was used for general corporate purposes and the issuance of letters of credit. The credit facility bore interest, at the election of Old CCA, at either the bank's prime rate or a rate which was 1.25% above the applicable 30, 60, or 90 day LIBOR rate. Interest was payable quarterly with respect to prime rate loans and at the expiration of the applicable LIBOR period with respect to LIBOR based loans. There were no prepayment penalties associated with the credit facility. The credit facility required Old CCA, among other things, to maintain certain net worth, leverage and debt service coverage ratios. The facility also limited certain payments and distributions. Borrowings on the facility at December 31, 1998 were $222.0 million and letters of credit totaling $98.7 million had been issued as of such date. In connection with the 1999 Merger, JJFMSI and PMSI each assumed $5.0 million of debt related to this facility, resulting in an unused commitment of $19.3 million. In January 1999, PMSI and JJFMSI paid off their portions of the outstanding debt and the credit facility was replaced with a new credit facility as discussed below.</w:t>
      </w:r>
    </w:p>
    <w:p>
      <w:pPr>
        <w:spacing w:after="0" w:line="89" w:lineRule="exact"/>
        <w:rPr>
          <w:sz w:val="20"/>
          <w:szCs w:val="20"/>
          <w:color w:val="auto"/>
        </w:rPr>
      </w:pPr>
    </w:p>
    <w:p>
      <w:pPr>
        <w:ind w:right="3359"/>
        <w:spacing w:after="0" w:line="253" w:lineRule="auto"/>
        <w:rPr>
          <w:sz w:val="20"/>
          <w:szCs w:val="20"/>
          <w:color w:val="auto"/>
        </w:rPr>
      </w:pPr>
      <w:r>
        <w:rPr>
          <w:rFonts w:ascii="Courier New" w:cs="Courier New" w:eastAsia="Courier New" w:hAnsi="Courier New"/>
          <w:sz w:val="14"/>
          <w:szCs w:val="14"/>
          <w:color w:val="auto"/>
        </w:rPr>
        <w:t>Old CCA also had a $2.5 million credit facility with a bank that provided for the issuance of letters of credit and which matured on the earlier of the date of the completion of the 1999 Merger or September 6, 1999. At December 31, 1998, letters of credit totaling $1.6 million had been issued leaving an unused commitment of $947,000. On January 1, 1999, in connection with the 1999 Merger, this facility was replaced with the Company's credit facility as discussed in "</w:t>
      </w:r>
    </w:p>
    <w:p>
      <w:pPr>
        <w:spacing w:after="0" w:line="1" w:lineRule="exact"/>
        <w:rPr>
          <w:sz w:val="20"/>
          <w:szCs w:val="20"/>
          <w:color w:val="auto"/>
        </w:rPr>
      </w:pPr>
    </w:p>
    <w:p>
      <w:pPr>
        <w:ind w:right="3199" w:firstLine="7"/>
        <w:spacing w:after="0" w:line="246" w:lineRule="auto"/>
        <w:tabs>
          <w:tab w:leader="none" w:pos="17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Debt Structure" above. In July 1997, Old CCA sold 10 of its facilities to Old Prison Realty for approximately $378.3 million. The proceeds were used to pay</w:t>
      </w:r>
    </w:p>
    <w:p>
      <w:pPr>
        <w:spacing w:after="0" w:line="1" w:lineRule="exact"/>
        <w:rPr>
          <w:rFonts w:ascii="Courier New" w:cs="Courier New" w:eastAsia="Courier New" w:hAnsi="Courier New"/>
          <w:sz w:val="14"/>
          <w:szCs w:val="14"/>
          <w:color w:val="auto"/>
        </w:rPr>
      </w:pPr>
    </w:p>
    <w:p>
      <w:pPr>
        <w:ind w:right="33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off $131.0 million of Old CCA's credit facility debt, $42.2 million of first mortgage debt and $9.4 million of senior secured notes. The remaining proceeds were used to fund existing construction projects and for general working capital purposes. In October 1997, Old CCA sold an additional facility to Old Prison Realty for approximately $38.5 million. In November and December 1997, Old CCA paid $74.4 million for two correctional facilities. Subsequently, Old CCA sold these facilities to Old Prison Realty for $74.4 million in December 1997 and January 1998, respectively.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COMPLIANCE</w:t>
      </w:r>
    </w:p>
    <w:p>
      <w:pPr>
        <w:spacing w:after="0" w:line="168" w:lineRule="exact"/>
        <w:rPr>
          <w:sz w:val="20"/>
          <w:szCs w:val="20"/>
          <w:color w:val="auto"/>
        </w:rPr>
      </w:pPr>
    </w:p>
    <w:p>
      <w:pPr>
        <w:ind w:right="3539"/>
        <w:spacing w:after="0" w:line="366" w:lineRule="auto"/>
        <w:rPr>
          <w:sz w:val="20"/>
          <w:szCs w:val="20"/>
          <w:color w:val="auto"/>
        </w:rPr>
      </w:pPr>
      <w:r>
        <w:rPr>
          <w:rFonts w:ascii="Courier New" w:cs="Courier New" w:eastAsia="Courier New" w:hAnsi="Courier New"/>
          <w:sz w:val="14"/>
          <w:szCs w:val="14"/>
          <w:color w:val="auto"/>
        </w:rPr>
        <w:t>In 1999, the Company completed an assessment of its key information technology systems, including its client server and minicomputer hardware and</w:t>
      </w:r>
    </w:p>
    <w:p>
      <w:pPr>
        <w:spacing w:after="0" w:line="200" w:lineRule="exact"/>
        <w:rPr>
          <w:sz w:val="20"/>
          <w:szCs w:val="20"/>
          <w:color w:val="auto"/>
        </w:rPr>
      </w:pPr>
    </w:p>
    <w:p>
      <w:pPr>
        <w:spacing w:after="0" w:line="29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159"/>
          </w:cols>
          <w:pgMar w:left="300" w:top="257"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81</w:t>
      </w:r>
    </w:p>
    <w:p>
      <w:pPr>
        <w:spacing w:after="0" w:line="30" w:lineRule="exact"/>
        <w:rPr>
          <w:sz w:val="20"/>
          <w:szCs w:val="20"/>
          <w:color w:val="auto"/>
        </w:rPr>
      </w:pPr>
    </w:p>
    <w:p>
      <w:pPr>
        <w:ind w:right="3359"/>
        <w:spacing w:after="0" w:line="251" w:lineRule="auto"/>
        <w:rPr>
          <w:sz w:val="20"/>
          <w:szCs w:val="20"/>
          <w:color w:val="auto"/>
        </w:rPr>
      </w:pPr>
      <w:r>
        <w:rPr>
          <w:rFonts w:ascii="Courier New" w:cs="Courier New" w:eastAsia="Courier New" w:hAnsi="Courier New"/>
          <w:sz w:val="14"/>
          <w:szCs w:val="14"/>
          <w:color w:val="auto"/>
        </w:rPr>
        <w:t>operating systems and critical financial and non-financial applications, in order to ensure that these date sensitive critical information systems would properly recognize the Year 2000 as a result of the century change on January 1, 2000. Based on this assessment, the Company determined that these key information systems were Year 2000 compliant. The Company also evaluated its non-critical information technology systems for Year 2000 compliance and determined that such non-critical systems were complaint. The Company's systems did not subsequently experience any significant disruptions as a result of the century change on January 1, 2000. In 1999, the Company also completed communications with third parties with whom it has important financial or operational relationships, including CCA, the lessee of the substantial majority of the Company's facilities, to determine the extent to which they were vulnerable to the Year 2000 issue. Based on responses from these third-parties, including CCA, the Company determined that there were no third party related Year 2000 noncompliance issues that would have a material adverse impact on the Company's operations. These third parties, including CCA, did not subsequently experience any significant disruptions as a result of the century change on January 1, 2000 that had a material adverse impact on the Company's operations.</w:t>
      </w:r>
    </w:p>
    <w:p>
      <w:pPr>
        <w:spacing w:after="0" w:line="87" w:lineRule="exact"/>
        <w:rPr>
          <w:sz w:val="20"/>
          <w:szCs w:val="20"/>
          <w:color w:val="auto"/>
        </w:rPr>
      </w:pPr>
    </w:p>
    <w:p>
      <w:pPr>
        <w:ind w:right="3459"/>
        <w:spacing w:after="0" w:line="286" w:lineRule="auto"/>
        <w:rPr>
          <w:sz w:val="20"/>
          <w:szCs w:val="20"/>
          <w:color w:val="auto"/>
        </w:rPr>
      </w:pPr>
      <w:r>
        <w:rPr>
          <w:rFonts w:ascii="Courier New" w:cs="Courier New" w:eastAsia="Courier New" w:hAnsi="Courier New"/>
          <w:sz w:val="14"/>
          <w:szCs w:val="14"/>
          <w:color w:val="auto"/>
        </w:rPr>
        <w:t>The Company's information systems were Year 2000 compliant when acquired in the 1999 Merger, and as such, the Company incurred no significant expenses through December 31, 1999, and the Company does not expect to incur any significant costs in connection with the Year 2000 subsequent to December 31, 1999.</w:t>
      </w:r>
    </w:p>
    <w:p>
      <w:pPr>
        <w:spacing w:after="0" w:line="59"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CCA incurred expenses allocable to internal staff, as well as costs for outside consultants, computer systems remediation and replacement and non-information technology systems remediation and replacement (including validation). Through December 31, 1999, CCA spent approximately $6.4 million which included $3.4 million related to the replacement leased equipment, $2.4 million for travel and services and $0.6 million for software. These costs were expensed as incurred. CCA does not expect to incur any significant costs in connection with the Year 2000 subsequent to December 31, 1999.</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FUNDS FROM OPERATIONS</w:t>
      </w:r>
    </w:p>
    <w:p>
      <w:pPr>
        <w:spacing w:after="0" w:line="168"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Management believes Funds from Operations is helpful to investors as a measure of the performance of an equity REIT because, along with cash flows from operating activities, financing activities and investing activities, it provides investors with an understanding of the ability of the Company to incur and service debt and make capital expenditures. The Company computes Funds from Operations in accordance with standards established by the White Paper on Funds from Operations (the "White Paper") approved by the Board of Governors of NAREIT in 1995, which may differ from the methodology for calculating Funds from Operations utilized by other equity REITs, and accordingly, may not be comparable to such other REITs. The White Paper defines Funds from Operations as net income (loss), computed in accordance with generally accepted accounting principles ("GAAP"), excluding gains (or losses) from debt restructuring and sales of property, plus real estate-related</w:t>
      </w:r>
    </w:p>
    <w:p>
      <w:pPr>
        <w:spacing w:after="0" w:line="200" w:lineRule="exact"/>
        <w:rPr>
          <w:sz w:val="20"/>
          <w:szCs w:val="20"/>
          <w:color w:val="auto"/>
        </w:rPr>
      </w:pPr>
    </w:p>
    <w:p>
      <w:pPr>
        <w:spacing w:after="0" w:line="37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159"/>
          </w:cols>
          <w:pgMar w:left="300" w:top="257"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82</w:t>
      </w:r>
    </w:p>
    <w:p>
      <w:pPr>
        <w:spacing w:after="0" w:line="30" w:lineRule="exact"/>
        <w:rPr>
          <w:sz w:val="20"/>
          <w:szCs w:val="20"/>
          <w:color w:val="auto"/>
        </w:rPr>
      </w:pPr>
    </w:p>
    <w:p>
      <w:pPr>
        <w:ind w:right="3359"/>
        <w:spacing w:after="0" w:line="253" w:lineRule="auto"/>
        <w:rPr>
          <w:sz w:val="20"/>
          <w:szCs w:val="20"/>
          <w:color w:val="auto"/>
        </w:rPr>
      </w:pPr>
      <w:r>
        <w:rPr>
          <w:rFonts w:ascii="Courier New" w:cs="Courier New" w:eastAsia="Courier New" w:hAnsi="Courier New"/>
          <w:sz w:val="14"/>
          <w:szCs w:val="14"/>
          <w:color w:val="auto"/>
        </w:rPr>
        <w:t>depreciation and amortization and after adjustments for unconsolidated partnerships and joint ventures. Further, Funds from Operations does not represent amounts available for management's discretionary use because of needed capital replacement or expansion, debt service obligations, or other commitments and uncertainties. Funds from Operations should not be considered as an alternative to net income (determined in accordance with GAAP) as an indication of the Company's financial performance or to cash flows from operating activities (determined in accordance with GAAP) as a measure of the Company's liquidity, nor is it indicative of funds available to fund the Company's cash needs, including its ability to make distributions. The Company believes that in order to facilitate a clear understanding of the consolidated operating results of the Company, Funds from Operations should be examined in conjunction with net income as presented in the consolidated financial statements.</w:t>
      </w:r>
    </w:p>
    <w:p>
      <w:pPr>
        <w:spacing w:after="0" w:line="84" w:lineRule="exact"/>
        <w:rPr>
          <w:sz w:val="20"/>
          <w:szCs w:val="20"/>
          <w:color w:val="auto"/>
        </w:rPr>
      </w:pPr>
    </w:p>
    <w:p>
      <w:pPr>
        <w:ind w:right="3619"/>
        <w:spacing w:after="0" w:line="366" w:lineRule="auto"/>
        <w:rPr>
          <w:sz w:val="20"/>
          <w:szCs w:val="20"/>
          <w:color w:val="auto"/>
        </w:rPr>
      </w:pPr>
      <w:r>
        <w:rPr>
          <w:rFonts w:ascii="Courier New" w:cs="Courier New" w:eastAsia="Courier New" w:hAnsi="Courier New"/>
          <w:sz w:val="14"/>
          <w:szCs w:val="14"/>
          <w:color w:val="auto"/>
        </w:rPr>
        <w:t>The following table presents the Company's Funds from Operations for the year ended December 31, 1999:</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160" w:type="dxa"/>
            <w:vAlign w:val="bottom"/>
          </w:tcPr>
          <w:p>
            <w:pPr>
              <w:spacing w:after="0"/>
              <w:rPr>
                <w:sz w:val="14"/>
                <w:szCs w:val="14"/>
                <w:color w:val="auto"/>
              </w:rPr>
            </w:pPr>
          </w:p>
        </w:tc>
        <w:tc>
          <w:tcPr>
            <w:tcW w:w="26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0"/>
                <w:szCs w:val="20"/>
                <w:color w:val="auto"/>
              </w:rPr>
            </w:pPr>
            <w:r>
              <w:rPr>
                <w:rFonts w:ascii="Courier New" w:cs="Courier New" w:eastAsia="Courier New" w:hAnsi="Courier New"/>
                <w:sz w:val="14"/>
                <w:szCs w:val="14"/>
                <w:color w:val="auto"/>
              </w:rPr>
              <w:t>Net income available to common</w:t>
            </w:r>
          </w:p>
        </w:tc>
        <w:tc>
          <w:tcPr>
            <w:tcW w:w="26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 (61,976)</w:t>
            </w:r>
          </w:p>
        </w:tc>
        <w:tc>
          <w:tcPr>
            <w:tcW w:w="0" w:type="dxa"/>
            <w:vAlign w:val="bottom"/>
          </w:tcPr>
          <w:p>
            <w:pPr>
              <w:spacing w:after="0"/>
              <w:rPr>
                <w:sz w:val="1"/>
                <w:szCs w:val="1"/>
                <w:color w:val="auto"/>
              </w:rPr>
            </w:pPr>
          </w:p>
        </w:tc>
      </w:tr>
      <w:tr>
        <w:trPr>
          <w:trHeight w:val="163"/>
        </w:trPr>
        <w:tc>
          <w:tcPr>
            <w:tcW w:w="4160" w:type="dxa"/>
            <w:vAlign w:val="bottom"/>
          </w:tcPr>
          <w:p>
            <w:pPr>
              <w:ind w:left="340"/>
              <w:spacing w:after="0"/>
              <w:rPr>
                <w:sz w:val="20"/>
                <w:szCs w:val="20"/>
                <w:color w:val="auto"/>
              </w:rPr>
            </w:pPr>
            <w:r>
              <w:rPr>
                <w:rFonts w:ascii="Courier New" w:cs="Courier New" w:eastAsia="Courier New" w:hAnsi="Courier New"/>
                <w:sz w:val="14"/>
                <w:szCs w:val="14"/>
                <w:color w:val="auto"/>
              </w:rPr>
              <w:t>Shareholders</w:t>
            </w: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Plus: real estate depreciation</w:t>
            </w:r>
          </w:p>
        </w:tc>
        <w:tc>
          <w:tcPr>
            <w:tcW w:w="2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44,062</w:t>
            </w: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Add back non-recurring items:</w:t>
            </w:r>
          </w:p>
        </w:tc>
        <w:tc>
          <w:tcPr>
            <w:tcW w:w="26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83,200</w:t>
            </w: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Change in tax status</w:t>
            </w: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Write off of loan costs</w:t>
            </w:r>
          </w:p>
        </w:tc>
        <w:tc>
          <w:tcPr>
            <w:tcW w:w="2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14,567</w:t>
            </w: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Loss on disposal of assets</w:t>
            </w:r>
          </w:p>
        </w:tc>
        <w:tc>
          <w:tcPr>
            <w:tcW w:w="2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Write off of amounts under lease</w:t>
            </w:r>
          </w:p>
        </w:tc>
        <w:tc>
          <w:tcPr>
            <w:tcW w:w="26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65,677</w:t>
            </w:r>
          </w:p>
        </w:tc>
        <w:tc>
          <w:tcPr>
            <w:tcW w:w="0" w:type="dxa"/>
            <w:vAlign w:val="bottom"/>
          </w:tcPr>
          <w:p>
            <w:pPr>
              <w:spacing w:after="0"/>
              <w:rPr>
                <w:sz w:val="1"/>
                <w:szCs w:val="1"/>
                <w:color w:val="auto"/>
              </w:rPr>
            </w:pPr>
          </w:p>
        </w:tc>
      </w:tr>
      <w:tr>
        <w:trPr>
          <w:trHeight w:val="163"/>
        </w:trPr>
        <w:tc>
          <w:tcPr>
            <w:tcW w:w="4160" w:type="dxa"/>
            <w:vAlign w:val="bottom"/>
          </w:tcPr>
          <w:p>
            <w:pPr>
              <w:ind w:left="340"/>
              <w:spacing w:after="0"/>
              <w:rPr>
                <w:sz w:val="20"/>
                <w:szCs w:val="20"/>
                <w:color w:val="auto"/>
              </w:rPr>
            </w:pPr>
            <w:r>
              <w:rPr>
                <w:rFonts w:ascii="Courier New" w:cs="Courier New" w:eastAsia="Courier New" w:hAnsi="Courier New"/>
                <w:sz w:val="14"/>
                <w:szCs w:val="14"/>
                <w:color w:val="auto"/>
              </w:rPr>
              <w:t>Arrangements</w:t>
            </w: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Impairment loss</w:t>
            </w:r>
          </w:p>
        </w:tc>
        <w:tc>
          <w:tcPr>
            <w:tcW w:w="2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76,433</w:t>
            </w:r>
          </w:p>
        </w:tc>
        <w:tc>
          <w:tcPr>
            <w:tcW w:w="0" w:type="dxa"/>
            <w:vAlign w:val="bottom"/>
          </w:tcPr>
          <w:p>
            <w:pPr>
              <w:spacing w:after="0"/>
              <w:rPr>
                <w:sz w:val="1"/>
                <w:szCs w:val="1"/>
                <w:color w:val="auto"/>
              </w:rPr>
            </w:pPr>
          </w:p>
        </w:tc>
      </w:tr>
      <w:tr>
        <w:trPr>
          <w:trHeight w:val="163"/>
        </w:trPr>
        <w:tc>
          <w:tcPr>
            <w:tcW w:w="4160" w:type="dxa"/>
            <w:vAlign w:val="bottom"/>
            <w:vMerge w:val="restart"/>
          </w:tcPr>
          <w:p>
            <w:pPr>
              <w:spacing w:after="0"/>
              <w:rPr>
                <w:sz w:val="20"/>
                <w:szCs w:val="20"/>
                <w:color w:val="auto"/>
              </w:rPr>
            </w:pPr>
            <w:r>
              <w:rPr>
                <w:rFonts w:ascii="Courier New" w:cs="Courier New" w:eastAsia="Courier New" w:hAnsi="Courier New"/>
                <w:sz w:val="14"/>
                <w:szCs w:val="14"/>
                <w:color w:val="auto"/>
              </w:rPr>
              <w:t>Funds from operations</w:t>
            </w:r>
          </w:p>
        </w:tc>
        <w:tc>
          <w:tcPr>
            <w:tcW w:w="2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60" w:type="dxa"/>
            <w:vAlign w:val="bottom"/>
            <w:vMerge w:val="continue"/>
          </w:tcPr>
          <w:p>
            <w:pPr>
              <w:spacing w:after="0"/>
              <w:rPr>
                <w:sz w:val="14"/>
                <w:szCs w:val="14"/>
                <w:color w:val="auto"/>
              </w:rPr>
            </w:pPr>
          </w:p>
        </w:tc>
        <w:tc>
          <w:tcPr>
            <w:tcW w:w="2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$ 223,958</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2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68" w:lineRule="exact"/>
        <w:rPr>
          <w:sz w:val="20"/>
          <w:szCs w:val="20"/>
          <w:color w:val="auto"/>
        </w:rPr>
      </w:pPr>
    </w:p>
    <w:p>
      <w:pPr>
        <w:ind w:right="3459"/>
        <w:spacing w:after="0" w:line="261" w:lineRule="auto"/>
        <w:rPr>
          <w:sz w:val="20"/>
          <w:szCs w:val="20"/>
          <w:color w:val="auto"/>
        </w:rPr>
      </w:pPr>
      <w:r>
        <w:rPr>
          <w:rFonts w:ascii="Courier New" w:cs="Courier New" w:eastAsia="Courier New" w:hAnsi="Courier New"/>
          <w:sz w:val="14"/>
          <w:szCs w:val="14"/>
          <w:color w:val="auto"/>
        </w:rPr>
        <w:t>The Company does not believe that inflation has had or will have a direct adverse effect on its operations. The CCA Leases generally contain provisions which will mitigate the adverse impact of inflation on net income. These provisions include clauses enabling the Company to pass through to CCA certain operating costs, including real estate taxes, utilities and insurance, thereby reducing the Company's exposure to increases in costs and operating expenses resulting from inflation. Additionally, the CCA Leases contain provisions which provide the Company with the opportunity to achieve increases in rental income in the future.</w:t>
      </w:r>
    </w:p>
    <w:p>
      <w:pPr>
        <w:spacing w:after="0" w:line="200" w:lineRule="exact"/>
        <w:rPr>
          <w:sz w:val="20"/>
          <w:szCs w:val="20"/>
          <w:color w:val="auto"/>
        </w:rPr>
      </w:pPr>
    </w:p>
    <w:p>
      <w:pPr>
        <w:spacing w:after="0" w:line="3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159"/>
          </w:cols>
          <w:pgMar w:left="300" w:top="257"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83</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 QUANTITATIVE AND QUALITATIVE DISCLOSURES ABOUT MARKET RISK.</w:t>
      </w:r>
    </w:p>
    <w:p>
      <w:pPr>
        <w:spacing w:after="0" w:line="142"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4"/>
          <w:szCs w:val="14"/>
          <w:color w:val="auto"/>
        </w:rPr>
        <w:t>The Company's primary market risk exposure is to changes in U.S. interest rates. The Company is exposed to market risk related to its bank credit facility and certain other indebtedness as discussed in " -- Liquidity and Capital Resources." The interest on the bank credit facility and such other indebtedness is subject to fluctuations in the market. If the interest rate for the Company's outstanding indebtedness under the bank credit facility was 100 basis points higher or lower in 1999, the Company's interest expense, net of amounts capitalized, would have been increased or decreased by approximately $5.1 million.</w:t>
      </w:r>
    </w:p>
    <w:p>
      <w:pPr>
        <w:spacing w:after="0" w:line="78"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4"/>
          <w:szCs w:val="14"/>
          <w:color w:val="auto"/>
        </w:rPr>
        <w:t>As of December 31, 1999, the Company had outstanding $100.0 million of its Senior Notes with a fixed interest rate of 12.0%, $40.0 million of convertible, subordinated notes with a fixed interest rate of 9.5%, $30.0 million of convertible, subordinated notes with a fixed interest rate of 7.5% and $107.5 million of preferred stock with a fixed dividend rate of 8%. Similarly, as of 1999, the Company had a note receivable in the amount of $137.0 million with a fixed interest rate of 12%. Because the interest and dividend rates with respect to these instruments are fixed, a hypothetical 10% increase or decrease in market interest rates would not have a material impact on the Company.</w:t>
      </w:r>
    </w:p>
    <w:p>
      <w:pPr>
        <w:spacing w:after="0" w:line="78" w:lineRule="exact"/>
        <w:rPr>
          <w:sz w:val="20"/>
          <w:szCs w:val="20"/>
          <w:color w:val="auto"/>
        </w:rPr>
      </w:pPr>
    </w:p>
    <w:p>
      <w:pPr>
        <w:ind w:right="3459"/>
        <w:spacing w:after="0" w:line="261" w:lineRule="auto"/>
        <w:rPr>
          <w:sz w:val="20"/>
          <w:szCs w:val="20"/>
          <w:color w:val="auto"/>
        </w:rPr>
      </w:pPr>
      <w:r>
        <w:rPr>
          <w:rFonts w:ascii="Courier New" w:cs="Courier New" w:eastAsia="Courier New" w:hAnsi="Courier New"/>
          <w:sz w:val="14"/>
          <w:szCs w:val="14"/>
          <w:color w:val="auto"/>
        </w:rPr>
        <w:t>The bank credit facility required the Company to hedge $325.0 million of its floating rate debt on or before August 16, 1999. The Company has entered into certain swap arrangements guaranteeing that it will not pay an index rate greater than 6.51% on outstanding balances of at least (a) $325.0 million through December 31, 2001 and (b) $200.0 million through December 31, 2002. There is no balance sheet effect related to this arrangements, and the monthly income effect of these arrangements is recognized in interest expense. Despite the change in market interest rates, the Company will pay the fixed rate as set on the required balance.</w:t>
      </w:r>
    </w:p>
    <w:p>
      <w:pPr>
        <w:spacing w:after="0" w:line="78" w:lineRule="exact"/>
        <w:rPr>
          <w:sz w:val="20"/>
          <w:szCs w:val="20"/>
          <w:color w:val="auto"/>
        </w:rPr>
      </w:pPr>
    </w:p>
    <w:p>
      <w:pPr>
        <w:ind w:right="3539"/>
        <w:spacing w:after="0" w:line="266" w:lineRule="auto"/>
        <w:rPr>
          <w:sz w:val="20"/>
          <w:szCs w:val="20"/>
          <w:color w:val="auto"/>
        </w:rPr>
      </w:pPr>
      <w:r>
        <w:rPr>
          <w:rFonts w:ascii="Courier New" w:cs="Courier New" w:eastAsia="Courier New" w:hAnsi="Courier New"/>
          <w:sz w:val="14"/>
          <w:szCs w:val="14"/>
          <w:color w:val="auto"/>
        </w:rPr>
        <w:t>Additionally, the Company may, from time to time, invest its cash in a variety of short-term financial instruments. These instruments generally consist of highly liquid investments with original maturities at the date of purchase between three and 12 months. While these investments are subject to interest rate risk and will decline in value if market interest rates increase, a hypothetical 10% increase or decrease in market interest rates would not materially affect the value of these investments.</w:t>
      </w:r>
    </w:p>
    <w:p>
      <w:pPr>
        <w:spacing w:after="0" w:line="74"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4"/>
          <w:szCs w:val="14"/>
          <w:color w:val="auto"/>
        </w:rPr>
        <w:t>The Company also uses, or intends to use, long-term and medium-term debt as a source of capital. These debt instruments, if issued, will typically bear fixed interest rates. When these debt instruments mature, the Company may refinance such debt at then-existing market interest rates which may be more or less than the interest rates on the maturing debt. In addition, the Company may attempt to reduce interest rate risk associated with a forecasted issuance of new debt. In order to reduce interest rate risk associated with these transactions, the Company may occasionally enter into interest rate protection agreements similar to the interest rate swap arrangement described above.</w:t>
      </w:r>
    </w:p>
    <w:p>
      <w:pPr>
        <w:spacing w:after="0" w:line="200" w:lineRule="exact"/>
        <w:rPr>
          <w:sz w:val="20"/>
          <w:szCs w:val="20"/>
          <w:color w:val="auto"/>
        </w:rPr>
      </w:pPr>
    </w:p>
    <w:p>
      <w:pPr>
        <w:spacing w:after="0" w:line="3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159"/>
          </w:cols>
          <w:pgMar w:left="300" w:top="257"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84</w:t>
      </w:r>
    </w:p>
    <w:p>
      <w:pPr>
        <w:spacing w:after="0" w:line="30" w:lineRule="exact"/>
        <w:rPr>
          <w:sz w:val="20"/>
          <w:szCs w:val="20"/>
          <w:color w:val="auto"/>
        </w:rPr>
      </w:pPr>
    </w:p>
    <w:p>
      <w:pPr>
        <w:ind w:right="3459"/>
        <w:spacing w:after="0" w:line="327" w:lineRule="auto"/>
        <w:rPr>
          <w:sz w:val="20"/>
          <w:szCs w:val="20"/>
          <w:color w:val="auto"/>
        </w:rPr>
      </w:pPr>
      <w:r>
        <w:rPr>
          <w:rFonts w:ascii="Courier New" w:cs="Courier New" w:eastAsia="Courier New" w:hAnsi="Courier New"/>
          <w:sz w:val="14"/>
          <w:szCs w:val="14"/>
          <w:color w:val="auto"/>
        </w:rPr>
        <w:t>The Company does not believe it has any other material exposure to market risks associated with interest rates.</w:t>
      </w:r>
    </w:p>
    <w:p>
      <w:pPr>
        <w:spacing w:after="0" w:line="31" w:lineRule="exact"/>
        <w:rPr>
          <w:sz w:val="20"/>
          <w:szCs w:val="20"/>
          <w:color w:val="auto"/>
        </w:rPr>
      </w:pPr>
    </w:p>
    <w:p>
      <w:pPr>
        <w:ind w:right="3539"/>
        <w:spacing w:after="0" w:line="306" w:lineRule="auto"/>
        <w:rPr>
          <w:sz w:val="20"/>
          <w:szCs w:val="20"/>
          <w:color w:val="auto"/>
        </w:rPr>
      </w:pPr>
      <w:r>
        <w:rPr>
          <w:rFonts w:ascii="Courier New" w:cs="Courier New" w:eastAsia="Courier New" w:hAnsi="Courier New"/>
          <w:sz w:val="14"/>
          <w:szCs w:val="14"/>
          <w:color w:val="auto"/>
        </w:rPr>
        <w:t>The Company does not have a material exposure to risks associated with foreign currency fluctuations related to its operations. The Company does not use derivative financial instruments in its operations or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159"/>
          </w:cols>
          <w:pgMar w:left="300" w:top="25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85</w:t>
      </w:r>
    </w:p>
    <w:p>
      <w:pPr>
        <w:spacing w:after="0" w:line="200" w:lineRule="exact"/>
        <w:rPr>
          <w:sz w:val="20"/>
          <w:szCs w:val="20"/>
          <w:color w:val="auto"/>
        </w:rPr>
      </w:pPr>
    </w:p>
    <w:p>
      <w:pPr>
        <w:spacing w:after="0" w:line="29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68" w:lineRule="exact"/>
        <w:rPr>
          <w:sz w:val="20"/>
          <w:szCs w:val="20"/>
          <w:color w:val="auto"/>
        </w:rPr>
      </w:pPr>
    </w:p>
    <w:p>
      <w:pPr>
        <w:ind w:right="3359" w:firstLine="763"/>
        <w:spacing w:after="0" w:line="276" w:lineRule="auto"/>
        <w:rPr>
          <w:sz w:val="20"/>
          <w:szCs w:val="20"/>
          <w:color w:val="auto"/>
        </w:rPr>
      </w:pPr>
      <w:r>
        <w:rPr>
          <w:rFonts w:ascii="Courier New" w:cs="Courier New" w:eastAsia="Courier New" w:hAnsi="Courier New"/>
          <w:sz w:val="14"/>
          <w:szCs w:val="14"/>
          <w:color w:val="auto"/>
        </w:rPr>
        <w:t>The financial statements and supplementary data required by Regulation S-X are included in this Annual Report on Form 10-K commencing on page F-2 as indicated below. The consolidated financial statements of CCA have been inserted in this Annual Report on Form 10-K due to its status as a significant lessee of the Company.</w:t>
      </w:r>
    </w:p>
    <w:p>
      <w:pPr>
        <w:spacing w:after="0" w:line="230" w:lineRule="exact"/>
        <w:rPr>
          <w:sz w:val="20"/>
          <w:szCs w:val="20"/>
          <w:color w:val="auto"/>
        </w:rPr>
      </w:pPr>
    </w:p>
    <w:tbl>
      <w:tblPr>
        <w:tblLayout w:type="fixed"/>
        <w:tblInd w:w="1540" w:type="dxa"/>
        <w:tblCellMar>
          <w:top w:w="0" w:type="dxa"/>
          <w:left w:w="0" w:type="dxa"/>
          <w:bottom w:w="0" w:type="dxa"/>
          <w:right w:w="0" w:type="dxa"/>
        </w:tblCellMar>
      </w:tblPr>
      <w:tr>
        <w:trPr>
          <w:trHeight w:val="238"/>
        </w:trPr>
        <w:tc>
          <w:tcPr>
            <w:tcW w:w="2160" w:type="dxa"/>
            <w:vAlign w:val="bottom"/>
          </w:tcPr>
          <w:p>
            <w:pPr>
              <w:ind w:left="580"/>
              <w:spacing w:after="0"/>
              <w:rPr>
                <w:sz w:val="20"/>
                <w:szCs w:val="20"/>
                <w:color w:val="auto"/>
              </w:rPr>
            </w:pPr>
            <w:r>
              <w:rPr>
                <w:rFonts w:ascii="Courier New" w:cs="Courier New" w:eastAsia="Courier New" w:hAnsi="Courier New"/>
                <w:sz w:val="14"/>
                <w:szCs w:val="14"/>
                <w:color w:val="auto"/>
              </w:rPr>
              <w:t>INDEX TO FINANCIAL</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STATEMENTS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2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80" w:type="dxa"/>
            <w:vAlign w:val="bottom"/>
          </w:tcPr>
          <w:p>
            <w:pPr>
              <w:ind w:left="860"/>
              <w:spacing w:after="0"/>
              <w:rPr>
                <w:sz w:val="20"/>
                <w:szCs w:val="20"/>
                <w:color w:val="auto"/>
              </w:rPr>
            </w:pPr>
            <w:r>
              <w:rPr>
                <w:rFonts w:ascii="Courier New" w:cs="Courier New" w:eastAsia="Courier New" w:hAnsi="Courier New"/>
                <w:sz w:val="14"/>
                <w:szCs w:val="14"/>
                <w:color w:val="auto"/>
              </w:rPr>
              <w:t>Page</w:t>
            </w: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8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FINANCIAL STATEMENTS OF</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160" w:type="dxa"/>
            <w:vAlign w:val="bottom"/>
          </w:tcPr>
          <w:p>
            <w:pPr>
              <w:spacing w:after="0"/>
              <w:rPr>
                <w:sz w:val="20"/>
                <w:szCs w:val="20"/>
                <w:color w:val="auto"/>
              </w:rPr>
            </w:pPr>
            <w:r>
              <w:rPr>
                <w:rFonts w:ascii="Courier New" w:cs="Courier New" w:eastAsia="Courier New" w:hAnsi="Courier New"/>
                <w:sz w:val="14"/>
                <w:szCs w:val="14"/>
                <w:color w:val="auto"/>
              </w:rPr>
              <w:t>PRISON REALTY TRUST, INC.</w:t>
            </w:r>
          </w:p>
        </w:tc>
        <w:tc>
          <w:tcPr>
            <w:tcW w:w="4360" w:type="dxa"/>
            <w:vAlign w:val="bottom"/>
          </w:tcPr>
          <w:p>
            <w:pPr>
              <w:spacing w:after="0"/>
              <w:rPr>
                <w:sz w:val="14"/>
                <w:szCs w:val="14"/>
                <w:color w:val="auto"/>
              </w:rPr>
            </w:pPr>
          </w:p>
        </w:tc>
        <w:tc>
          <w:tcPr>
            <w:tcW w:w="1280" w:type="dxa"/>
            <w:vAlign w:val="bottom"/>
            <w:vMerge w:val="restart"/>
          </w:tcPr>
          <w:p>
            <w:pPr>
              <w:ind w:left="940"/>
              <w:spacing w:after="0"/>
              <w:rPr>
                <w:sz w:val="20"/>
                <w:szCs w:val="20"/>
                <w:color w:val="auto"/>
              </w:rPr>
            </w:pPr>
            <w:r>
              <w:rPr>
                <w:rFonts w:ascii="Courier New" w:cs="Courier New" w:eastAsia="Courier New" w:hAnsi="Courier New"/>
                <w:sz w:val="14"/>
                <w:szCs w:val="14"/>
                <w:color w:val="auto"/>
              </w:rPr>
              <w:t>F-3</w:t>
            </w: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Public Accountants.</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Balance Sheets as of December 31, 1999 and 1998.</w:t>
            </w:r>
          </w:p>
        </w:tc>
        <w:tc>
          <w:tcPr>
            <w:tcW w:w="1280" w:type="dxa"/>
            <w:vAlign w:val="bottom"/>
          </w:tcPr>
          <w:p>
            <w:pPr>
              <w:ind w:left="940"/>
              <w:spacing w:after="0"/>
              <w:rPr>
                <w:sz w:val="20"/>
                <w:szCs w:val="20"/>
                <w:color w:val="auto"/>
              </w:rPr>
            </w:pPr>
            <w:r>
              <w:rPr>
                <w:rFonts w:ascii="Courier New" w:cs="Courier New" w:eastAsia="Courier New" w:hAnsi="Courier New"/>
                <w:sz w:val="14"/>
                <w:szCs w:val="14"/>
                <w:color w:val="auto"/>
              </w:rPr>
              <w:t>F-4</w:t>
            </w: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Operations for the years ended</w:t>
            </w:r>
          </w:p>
        </w:tc>
        <w:tc>
          <w:tcPr>
            <w:tcW w:w="1280" w:type="dxa"/>
            <w:vAlign w:val="bottom"/>
            <w:vMerge w:val="restart"/>
          </w:tcPr>
          <w:p>
            <w:pPr>
              <w:ind w:left="940"/>
              <w:spacing w:after="0"/>
              <w:rPr>
                <w:sz w:val="20"/>
                <w:szCs w:val="20"/>
                <w:color w:val="auto"/>
              </w:rPr>
            </w:pPr>
            <w:r>
              <w:rPr>
                <w:rFonts w:ascii="Courier New" w:cs="Courier New" w:eastAsia="Courier New" w:hAnsi="Courier New"/>
                <w:sz w:val="14"/>
                <w:szCs w:val="14"/>
                <w:color w:val="auto"/>
              </w:rPr>
              <w:t>F-6</w:t>
            </w:r>
          </w:p>
        </w:tc>
        <w:tc>
          <w:tcPr>
            <w:tcW w:w="0" w:type="dxa"/>
            <w:vAlign w:val="bottom"/>
          </w:tcPr>
          <w:p>
            <w:pPr>
              <w:spacing w:after="0"/>
              <w:rPr>
                <w:sz w:val="1"/>
                <w:szCs w:val="1"/>
                <w:color w:val="auto"/>
              </w:rPr>
            </w:pPr>
          </w:p>
        </w:tc>
      </w:tr>
      <w:tr>
        <w:trPr>
          <w:trHeight w:val="163"/>
        </w:trPr>
        <w:tc>
          <w:tcPr>
            <w:tcW w:w="2160" w:type="dxa"/>
            <w:vAlign w:val="bottom"/>
          </w:tcPr>
          <w:p>
            <w:pPr>
              <w:ind w:left="580"/>
              <w:spacing w:after="0"/>
              <w:rPr>
                <w:sz w:val="20"/>
                <w:szCs w:val="20"/>
                <w:color w:val="auto"/>
              </w:rPr>
            </w:pPr>
            <w:r>
              <w:rPr>
                <w:rFonts w:ascii="Courier New" w:cs="Courier New" w:eastAsia="Courier New" w:hAnsi="Courier New"/>
                <w:sz w:val="14"/>
                <w:szCs w:val="14"/>
                <w:color w:val="auto"/>
              </w:rPr>
              <w:t>December 31, 1999,</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1998 and 1997.</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Stockholders' Equity for the</w:t>
            </w:r>
          </w:p>
        </w:tc>
        <w:tc>
          <w:tcPr>
            <w:tcW w:w="1280" w:type="dxa"/>
            <w:vAlign w:val="bottom"/>
            <w:vMerge w:val="restart"/>
          </w:tcPr>
          <w:p>
            <w:pPr>
              <w:ind w:left="940"/>
              <w:spacing w:after="0"/>
              <w:rPr>
                <w:sz w:val="20"/>
                <w:szCs w:val="20"/>
                <w:color w:val="auto"/>
              </w:rPr>
            </w:pPr>
            <w:r>
              <w:rPr>
                <w:rFonts w:ascii="Courier New" w:cs="Courier New" w:eastAsia="Courier New" w:hAnsi="Courier New"/>
                <w:sz w:val="14"/>
                <w:szCs w:val="14"/>
                <w:color w:val="auto"/>
              </w:rPr>
              <w:t>F-8</w:t>
            </w:r>
          </w:p>
        </w:tc>
        <w:tc>
          <w:tcPr>
            <w:tcW w:w="0" w:type="dxa"/>
            <w:vAlign w:val="bottom"/>
          </w:tcPr>
          <w:p>
            <w:pPr>
              <w:spacing w:after="0"/>
              <w:rPr>
                <w:sz w:val="1"/>
                <w:szCs w:val="1"/>
                <w:color w:val="auto"/>
              </w:rPr>
            </w:pPr>
          </w:p>
        </w:tc>
      </w:tr>
      <w:tr>
        <w:trPr>
          <w:trHeight w:val="163"/>
        </w:trPr>
        <w:tc>
          <w:tcPr>
            <w:tcW w:w="652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years ended December 31, 1999, 1998 and 1997.</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Cash Flows for the years</w:t>
            </w:r>
          </w:p>
        </w:tc>
        <w:tc>
          <w:tcPr>
            <w:tcW w:w="1280" w:type="dxa"/>
            <w:vAlign w:val="bottom"/>
            <w:vMerge w:val="restart"/>
          </w:tcPr>
          <w:p>
            <w:pPr>
              <w:ind w:left="940"/>
              <w:spacing w:after="0"/>
              <w:rPr>
                <w:sz w:val="20"/>
                <w:szCs w:val="20"/>
                <w:color w:val="auto"/>
              </w:rPr>
            </w:pPr>
            <w:r>
              <w:rPr>
                <w:rFonts w:ascii="Courier New" w:cs="Courier New" w:eastAsia="Courier New" w:hAnsi="Courier New"/>
                <w:sz w:val="14"/>
                <w:szCs w:val="14"/>
                <w:color w:val="auto"/>
                <w:w w:val="95"/>
              </w:rPr>
              <w:t>F-10</w:t>
            </w:r>
          </w:p>
        </w:tc>
        <w:tc>
          <w:tcPr>
            <w:tcW w:w="0" w:type="dxa"/>
            <w:vAlign w:val="bottom"/>
          </w:tcPr>
          <w:p>
            <w:pPr>
              <w:spacing w:after="0"/>
              <w:rPr>
                <w:sz w:val="1"/>
                <w:szCs w:val="1"/>
                <w:color w:val="auto"/>
              </w:rPr>
            </w:pPr>
          </w:p>
        </w:tc>
      </w:tr>
      <w:tr>
        <w:trPr>
          <w:trHeight w:val="163"/>
        </w:trPr>
        <w:tc>
          <w:tcPr>
            <w:tcW w:w="2160" w:type="dxa"/>
            <w:vAlign w:val="bottom"/>
          </w:tcPr>
          <w:p>
            <w:pPr>
              <w:ind w:left="580"/>
              <w:spacing w:after="0"/>
              <w:rPr>
                <w:sz w:val="20"/>
                <w:szCs w:val="20"/>
                <w:color w:val="auto"/>
              </w:rPr>
            </w:pPr>
            <w:r>
              <w:rPr>
                <w:rFonts w:ascii="Courier New" w:cs="Courier New" w:eastAsia="Courier New" w:hAnsi="Courier New"/>
                <w:sz w:val="14"/>
                <w:szCs w:val="14"/>
                <w:color w:val="auto"/>
              </w:rPr>
              <w:t>December 31, 1999,</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1998 and 1997.</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Courier New" w:cs="Courier New" w:eastAsia="Courier New" w:hAnsi="Courier New"/>
                <w:sz w:val="14"/>
                <w:szCs w:val="14"/>
                <w:color w:val="auto"/>
              </w:rPr>
              <w:t>Notes to the Consolidated</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1280" w:type="dxa"/>
            <w:vAlign w:val="bottom"/>
          </w:tcPr>
          <w:p>
            <w:pPr>
              <w:ind w:left="940"/>
              <w:spacing w:after="0"/>
              <w:rPr>
                <w:sz w:val="20"/>
                <w:szCs w:val="20"/>
                <w:color w:val="auto"/>
              </w:rPr>
            </w:pPr>
            <w:r>
              <w:rPr>
                <w:rFonts w:ascii="Courier New" w:cs="Courier New" w:eastAsia="Courier New" w:hAnsi="Courier New"/>
                <w:sz w:val="14"/>
                <w:szCs w:val="14"/>
                <w:color w:val="auto"/>
                <w:w w:val="95"/>
              </w:rPr>
              <w:t>F-14</w:t>
            </w:r>
          </w:p>
        </w:tc>
        <w:tc>
          <w:tcPr>
            <w:tcW w:w="0" w:type="dxa"/>
            <w:vAlign w:val="bottom"/>
          </w:tcPr>
          <w:p>
            <w:pPr>
              <w:spacing w:after="0"/>
              <w:rPr>
                <w:sz w:val="1"/>
                <w:szCs w:val="1"/>
                <w:color w:val="auto"/>
              </w:rPr>
            </w:pPr>
          </w:p>
        </w:tc>
      </w:tr>
      <w:tr>
        <w:trPr>
          <w:trHeight w:val="252"/>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FINANCIAL STATEMENTS OF</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CORRECTIONAL CORPORATION OF AMERICA</w:t>
            </w:r>
          </w:p>
        </w:tc>
        <w:tc>
          <w:tcPr>
            <w:tcW w:w="1280" w:type="dxa"/>
            <w:vAlign w:val="bottom"/>
            <w:vMerge w:val="restart"/>
          </w:tcPr>
          <w:p>
            <w:pPr>
              <w:ind w:left="940"/>
              <w:spacing w:after="0"/>
              <w:rPr>
                <w:sz w:val="20"/>
                <w:szCs w:val="20"/>
                <w:color w:val="auto"/>
              </w:rPr>
            </w:pPr>
            <w:r>
              <w:rPr>
                <w:rFonts w:ascii="Courier New" w:cs="Courier New" w:eastAsia="Courier New" w:hAnsi="Courier New"/>
                <w:sz w:val="14"/>
                <w:szCs w:val="14"/>
                <w:color w:val="auto"/>
                <w:w w:val="95"/>
              </w:rPr>
              <w:t>F-59</w:t>
            </w: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Public Accountants.</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Balance Sheet as of December 31, 1999 and 1998.</w:t>
            </w:r>
          </w:p>
        </w:tc>
        <w:tc>
          <w:tcPr>
            <w:tcW w:w="1280" w:type="dxa"/>
            <w:vAlign w:val="bottom"/>
          </w:tcPr>
          <w:p>
            <w:pPr>
              <w:ind w:left="940"/>
              <w:spacing w:after="0"/>
              <w:rPr>
                <w:sz w:val="20"/>
                <w:szCs w:val="20"/>
                <w:color w:val="auto"/>
              </w:rPr>
            </w:pPr>
            <w:r>
              <w:rPr>
                <w:rFonts w:ascii="Courier New" w:cs="Courier New" w:eastAsia="Courier New" w:hAnsi="Courier New"/>
                <w:sz w:val="14"/>
                <w:szCs w:val="14"/>
                <w:color w:val="auto"/>
                <w:w w:val="95"/>
              </w:rPr>
              <w:t>F-60</w:t>
            </w:r>
          </w:p>
        </w:tc>
        <w:tc>
          <w:tcPr>
            <w:tcW w:w="0" w:type="dxa"/>
            <w:vAlign w:val="bottom"/>
          </w:tcPr>
          <w:p>
            <w:pPr>
              <w:spacing w:after="0"/>
              <w:rPr>
                <w:sz w:val="1"/>
                <w:szCs w:val="1"/>
                <w:color w:val="auto"/>
              </w:rPr>
            </w:pPr>
          </w:p>
        </w:tc>
      </w:tr>
      <w:tr>
        <w:trPr>
          <w:trHeight w:val="163"/>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Consolidated Statement of</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Operations for the year ended</w:t>
            </w:r>
          </w:p>
        </w:tc>
        <w:tc>
          <w:tcPr>
            <w:tcW w:w="1280" w:type="dxa"/>
            <w:vAlign w:val="bottom"/>
            <w:vMerge w:val="restart"/>
          </w:tcPr>
          <w:p>
            <w:pPr>
              <w:ind w:left="940"/>
              <w:spacing w:after="0"/>
              <w:rPr>
                <w:sz w:val="20"/>
                <w:szCs w:val="20"/>
                <w:color w:val="auto"/>
              </w:rPr>
            </w:pPr>
            <w:r>
              <w:rPr>
                <w:rFonts w:ascii="Courier New" w:cs="Courier New" w:eastAsia="Courier New" w:hAnsi="Courier New"/>
                <w:sz w:val="14"/>
                <w:szCs w:val="14"/>
                <w:color w:val="auto"/>
                <w:w w:val="95"/>
              </w:rPr>
              <w:t>F-61</w:t>
            </w:r>
          </w:p>
        </w:tc>
        <w:tc>
          <w:tcPr>
            <w:tcW w:w="0" w:type="dxa"/>
            <w:vAlign w:val="bottom"/>
          </w:tcPr>
          <w:p>
            <w:pPr>
              <w:spacing w:after="0"/>
              <w:rPr>
                <w:sz w:val="1"/>
                <w:szCs w:val="1"/>
                <w:color w:val="auto"/>
              </w:rPr>
            </w:pPr>
          </w:p>
        </w:tc>
      </w:tr>
      <w:tr>
        <w:trPr>
          <w:trHeight w:val="163"/>
        </w:trPr>
        <w:tc>
          <w:tcPr>
            <w:tcW w:w="2160" w:type="dxa"/>
            <w:vAlign w:val="bottom"/>
          </w:tcPr>
          <w:p>
            <w:pPr>
              <w:ind w:left="580"/>
              <w:spacing w:after="0"/>
              <w:rPr>
                <w:sz w:val="20"/>
                <w:szCs w:val="20"/>
                <w:color w:val="auto"/>
              </w:rPr>
            </w:pPr>
            <w:r>
              <w:rPr>
                <w:rFonts w:ascii="Courier New" w:cs="Courier New" w:eastAsia="Courier New" w:hAnsi="Courier New"/>
                <w:sz w:val="14"/>
                <w:szCs w:val="14"/>
                <w:color w:val="auto"/>
              </w:rPr>
              <w:t>December 31, 1999</w:t>
            </w:r>
          </w:p>
        </w:tc>
        <w:tc>
          <w:tcPr>
            <w:tcW w:w="43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Stockholders' Equity for the year ended</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Consolidated Statement of</w:t>
            </w:r>
          </w:p>
        </w:tc>
        <w:tc>
          <w:tcPr>
            <w:tcW w:w="436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2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December 31, 1999 and for the period from September 11, 1998</w:t>
            </w:r>
          </w:p>
        </w:tc>
        <w:tc>
          <w:tcPr>
            <w:tcW w:w="1280" w:type="dxa"/>
            <w:vAlign w:val="bottom"/>
            <w:vMerge w:val="restart"/>
          </w:tcPr>
          <w:p>
            <w:pPr>
              <w:ind w:left="940"/>
              <w:spacing w:after="0"/>
              <w:rPr>
                <w:sz w:val="20"/>
                <w:szCs w:val="20"/>
                <w:color w:val="auto"/>
              </w:rPr>
            </w:pPr>
            <w:r>
              <w:rPr>
                <w:rFonts w:ascii="Courier New" w:cs="Courier New" w:eastAsia="Courier New" w:hAnsi="Courier New"/>
                <w:sz w:val="14"/>
                <w:szCs w:val="14"/>
                <w:color w:val="auto"/>
                <w:w w:val="95"/>
              </w:rPr>
              <w:t>F-62</w:t>
            </w:r>
          </w:p>
        </w:tc>
        <w:tc>
          <w:tcPr>
            <w:tcW w:w="0" w:type="dxa"/>
            <w:vAlign w:val="bottom"/>
          </w:tcPr>
          <w:p>
            <w:pPr>
              <w:spacing w:after="0"/>
              <w:rPr>
                <w:sz w:val="1"/>
                <w:szCs w:val="1"/>
                <w:color w:val="auto"/>
              </w:rPr>
            </w:pPr>
          </w:p>
        </w:tc>
      </w:tr>
      <w:tr>
        <w:trPr>
          <w:trHeight w:val="163"/>
        </w:trPr>
        <w:tc>
          <w:tcPr>
            <w:tcW w:w="652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through December 31, 1998.</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Consolidated Statement of</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Cash Flows for the year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60" w:type="dxa"/>
            <w:vAlign w:val="bottom"/>
          </w:tcPr>
          <w:p>
            <w:pPr>
              <w:ind w:left="580"/>
              <w:spacing w:after="0"/>
              <w:rPr>
                <w:sz w:val="20"/>
                <w:szCs w:val="20"/>
                <w:color w:val="auto"/>
              </w:rPr>
            </w:pPr>
            <w:r>
              <w:rPr>
                <w:rFonts w:ascii="Courier New" w:cs="Courier New" w:eastAsia="Courier New" w:hAnsi="Courier New"/>
                <w:sz w:val="14"/>
                <w:szCs w:val="14"/>
                <w:color w:val="auto"/>
              </w:rPr>
              <w:t>ended December 31,</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1999 and for the period from</w:t>
            </w:r>
          </w:p>
        </w:tc>
        <w:tc>
          <w:tcPr>
            <w:tcW w:w="1280" w:type="dxa"/>
            <w:vAlign w:val="bottom"/>
            <w:vMerge w:val="restart"/>
          </w:tcPr>
          <w:p>
            <w:pPr>
              <w:ind w:left="940"/>
              <w:spacing w:after="0"/>
              <w:rPr>
                <w:sz w:val="20"/>
                <w:szCs w:val="20"/>
                <w:color w:val="auto"/>
              </w:rPr>
            </w:pPr>
            <w:r>
              <w:rPr>
                <w:rFonts w:ascii="Courier New" w:cs="Courier New" w:eastAsia="Courier New" w:hAnsi="Courier New"/>
                <w:sz w:val="14"/>
                <w:szCs w:val="14"/>
                <w:color w:val="auto"/>
                <w:w w:val="95"/>
              </w:rPr>
              <w:t>F-63</w:t>
            </w:r>
          </w:p>
        </w:tc>
        <w:tc>
          <w:tcPr>
            <w:tcW w:w="0" w:type="dxa"/>
            <w:vAlign w:val="bottom"/>
          </w:tcPr>
          <w:p>
            <w:pPr>
              <w:spacing w:after="0"/>
              <w:rPr>
                <w:sz w:val="1"/>
                <w:szCs w:val="1"/>
                <w:color w:val="auto"/>
              </w:rPr>
            </w:pPr>
          </w:p>
        </w:tc>
      </w:tr>
      <w:tr>
        <w:trPr>
          <w:trHeight w:val="163"/>
        </w:trPr>
        <w:tc>
          <w:tcPr>
            <w:tcW w:w="2160" w:type="dxa"/>
            <w:vAlign w:val="bottom"/>
          </w:tcPr>
          <w:p>
            <w:pPr>
              <w:ind w:left="580"/>
              <w:spacing w:after="0"/>
              <w:rPr>
                <w:sz w:val="20"/>
                <w:szCs w:val="20"/>
                <w:color w:val="auto"/>
              </w:rPr>
            </w:pPr>
            <w:r>
              <w:rPr>
                <w:rFonts w:ascii="Courier New" w:cs="Courier New" w:eastAsia="Courier New" w:hAnsi="Courier New"/>
                <w:sz w:val="14"/>
                <w:szCs w:val="14"/>
                <w:color w:val="auto"/>
              </w:rPr>
              <w:t>September 11, 1998</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through December 31, 1998.</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Courier New" w:cs="Courier New" w:eastAsia="Courier New" w:hAnsi="Courier New"/>
                <w:sz w:val="14"/>
                <w:szCs w:val="14"/>
                <w:color w:val="auto"/>
              </w:rPr>
              <w:t>Notes to the Consolidated</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1280" w:type="dxa"/>
            <w:vAlign w:val="bottom"/>
          </w:tcPr>
          <w:p>
            <w:pPr>
              <w:ind w:left="940"/>
              <w:spacing w:after="0"/>
              <w:rPr>
                <w:sz w:val="20"/>
                <w:szCs w:val="20"/>
                <w:color w:val="auto"/>
              </w:rPr>
            </w:pPr>
            <w:r>
              <w:rPr>
                <w:rFonts w:ascii="Courier New" w:cs="Courier New" w:eastAsia="Courier New" w:hAnsi="Courier New"/>
                <w:sz w:val="14"/>
                <w:szCs w:val="14"/>
                <w:color w:val="auto"/>
                <w:w w:val="95"/>
              </w:rPr>
              <w:t>F-65</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w:t>
      </w:r>
    </w:p>
    <w:p>
      <w:pPr>
        <w:spacing w:after="0" w:line="3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FINANCIAL DISCLOSURE.</w:t>
      </w:r>
    </w:p>
    <w:p>
      <w:pPr>
        <w:spacing w:after="0" w:line="142" w:lineRule="exact"/>
        <w:rPr>
          <w:sz w:val="20"/>
          <w:szCs w:val="20"/>
          <w:color w:val="auto"/>
        </w:rPr>
      </w:pPr>
    </w:p>
    <w:p>
      <w:pPr>
        <w:ind w:right="3459" w:firstLine="763"/>
        <w:spacing w:after="0" w:line="266" w:lineRule="auto"/>
        <w:rPr>
          <w:sz w:val="20"/>
          <w:szCs w:val="20"/>
          <w:color w:val="auto"/>
        </w:rPr>
      </w:pPr>
      <w:r>
        <w:rPr>
          <w:rFonts w:ascii="Courier New" w:cs="Courier New" w:eastAsia="Courier New" w:hAnsi="Courier New"/>
          <w:sz w:val="14"/>
          <w:szCs w:val="14"/>
          <w:color w:val="auto"/>
        </w:rPr>
        <w:t>There have been no disagreements with the Company's accountants on any matter of accounting principles and practices or financial statement disclosures. Arthur Andersen LLP was selected by the Company's board of directors to serve as its independent public accountant for the year ended December 31, 1999. Arthur Andersen LLP also served as independent public accountants for Old Prison Realty and Old CCA prior to the 1999 Merger and currently serves in the same capacity for CCA, PMSI and JJFMSI.</w:t>
      </w:r>
    </w:p>
    <w:p>
      <w:pPr>
        <w:spacing w:after="0" w:line="40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159"/>
          </w:cols>
          <w:pgMar w:left="300" w:top="257"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86</w:t>
      </w:r>
    </w:p>
    <w:p>
      <w:pPr>
        <w:spacing w:after="0" w:line="200" w:lineRule="exact"/>
        <w:rPr>
          <w:sz w:val="20"/>
          <w:szCs w:val="20"/>
          <w:color w:val="auto"/>
        </w:rPr>
      </w:pPr>
    </w:p>
    <w:p>
      <w:pPr>
        <w:spacing w:after="0" w:line="29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PART III</w:t>
      </w:r>
    </w:p>
    <w:p>
      <w:pPr>
        <w:spacing w:after="0" w:line="168"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68" w:lineRule="exact"/>
        <w:rPr>
          <w:sz w:val="20"/>
          <w:szCs w:val="20"/>
          <w:color w:val="auto"/>
        </w:rPr>
      </w:pPr>
    </w:p>
    <w:p>
      <w:pPr>
        <w:ind w:right="3359" w:firstLine="763"/>
        <w:spacing w:after="0" w:line="261" w:lineRule="auto"/>
        <w:rPr>
          <w:sz w:val="20"/>
          <w:szCs w:val="20"/>
          <w:color w:val="auto"/>
        </w:rPr>
      </w:pPr>
      <w:r>
        <w:rPr>
          <w:rFonts w:ascii="Courier New" w:cs="Courier New" w:eastAsia="Courier New" w:hAnsi="Courier New"/>
          <w:sz w:val="14"/>
          <w:szCs w:val="14"/>
          <w:color w:val="auto"/>
        </w:rPr>
        <w:t>Set forth below is information regarding each of the nine current directors of the Company. If the Restructuring and related transactions are not completed, the Company's board of directors will retain its current structure, and these directors will continue to serve until the expiration of their term of office. If, however, the Restructuring and related transactions are completed, all of the individuals then serving as directors of the Company will resign, and the Company's board of directors will be restructured. See "Business -- Recent Developments --Restructuring and Related Transactions." Also set forth below is information concerning current and former executive officers of the Company.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REGARDING MEMBERS OF THE CURRENT BOARD OF DIRECTORS</w:t>
      </w:r>
    </w:p>
    <w:p>
      <w:pPr>
        <w:spacing w:after="0" w:line="168" w:lineRule="exact"/>
        <w:rPr>
          <w:sz w:val="20"/>
          <w:szCs w:val="20"/>
          <w:color w:val="auto"/>
        </w:rPr>
      </w:pPr>
    </w:p>
    <w:p>
      <w:pPr>
        <w:ind w:right="3359" w:firstLine="763"/>
        <w:spacing w:after="0" w:line="258" w:lineRule="auto"/>
        <w:rPr>
          <w:sz w:val="20"/>
          <w:szCs w:val="20"/>
          <w:color w:val="auto"/>
        </w:rPr>
      </w:pPr>
      <w:r>
        <w:rPr>
          <w:rFonts w:ascii="Courier New" w:cs="Courier New" w:eastAsia="Courier New" w:hAnsi="Courier New"/>
          <w:sz w:val="14"/>
          <w:szCs w:val="14"/>
          <w:color w:val="auto"/>
        </w:rPr>
        <w:t>The Company's board of directors is currently composed of nine directors, divided into three equal classes (Class I, Class II and Class III). Subsequent to the Company's 1999 annual meeting of shareholders, J. Michael Quinlan resigned from the Company's board of directors in order to join CCA as its President and Chief Operating Officer and as a member of CCA's board of directors. During the fourth quarter of 1999, John W. Eakin, Jr. and Ned Ray McWherter resigned as directors of the Company, and on December 31, 1999, D. Robert Crants, III and Michael W. Devlin also resigned as officers and directors of the Company. On December 27, 1999, Thomas W. Beasley was appointed by the Company's board to serve as a director and as the Company's Chairman of the board of directors.</w:t>
      </w:r>
    </w:p>
    <w:p>
      <w:pPr>
        <w:spacing w:after="0" w:line="82" w:lineRule="exact"/>
        <w:rPr>
          <w:sz w:val="20"/>
          <w:szCs w:val="20"/>
          <w:color w:val="auto"/>
        </w:rPr>
      </w:pPr>
    </w:p>
    <w:p>
      <w:pPr>
        <w:ind w:right="3359" w:firstLine="763"/>
        <w:spacing w:after="0" w:line="276" w:lineRule="auto"/>
        <w:rPr>
          <w:sz w:val="20"/>
          <w:szCs w:val="20"/>
          <w:color w:val="auto"/>
        </w:rPr>
      </w:pPr>
      <w:r>
        <w:rPr>
          <w:rFonts w:ascii="Courier New" w:cs="Courier New" w:eastAsia="Courier New" w:hAnsi="Courier New"/>
          <w:sz w:val="14"/>
          <w:szCs w:val="14"/>
          <w:color w:val="auto"/>
        </w:rPr>
        <w:t>Set forth below is information regarding the current members of the Prison Realty board of directors and the classes in which they serve. The directors listed below as "Independent Directors" are not directors, officers or employees of the Company, CCA, PMSI or JJFMSI, and are not otherwise affiliated with any tenants of the Company, including CCA, or with PMSI or JJFMSI.</w:t>
      </w:r>
    </w:p>
    <w:p>
      <w:pPr>
        <w:spacing w:after="0" w:line="67"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4"/>
          <w:szCs w:val="14"/>
          <w:color w:val="auto"/>
        </w:rPr>
        <w:t>CLASS I DIRECTORS</w:t>
        <w:tab/>
        <w:t>- (TERMS TO EXPIRE IN 2002)</w:t>
      </w:r>
    </w:p>
    <w:p>
      <w:pPr>
        <w:spacing w:after="0" w:line="168" w:lineRule="exact"/>
        <w:rPr>
          <w:sz w:val="20"/>
          <w:szCs w:val="20"/>
          <w:color w:val="auto"/>
        </w:rPr>
      </w:pPr>
    </w:p>
    <w:p>
      <w:pPr>
        <w:ind w:right="3459" w:firstLine="763"/>
        <w:spacing w:after="0" w:line="258" w:lineRule="auto"/>
        <w:rPr>
          <w:sz w:val="20"/>
          <w:szCs w:val="20"/>
          <w:color w:val="auto"/>
        </w:rPr>
      </w:pPr>
      <w:r>
        <w:rPr>
          <w:rFonts w:ascii="Courier New" w:cs="Courier New" w:eastAsia="Courier New" w:hAnsi="Courier New"/>
          <w:sz w:val="14"/>
          <w:szCs w:val="14"/>
          <w:color w:val="auto"/>
        </w:rPr>
        <w:t>THOMAS W. BEASLEY, 57, was appointed by the Company's board of directors in December 1999 to serve as a director and as the Chairman of the Company's board of directors, and Mr. Beasley will assume the role of interim Chief Executive Officer of the Company upon completion of the Restructuring and related transactions. Mr. Beasley also currently serves as the Chairman of the PMSI board of directors. Mr. Beasley is a co-founder of Old CCA and served as its Chairman Emeritus from June 1994 to December 31, 1998. From 1974 through 1978, Mr. Beasley served as Chairman of the Tennessee Republican Party, and he continues to be active in Tennessee politics. Mr. Beasley graduated from the United States Military Academy at West Point in 1966 and received a Doctor of Jurisprudence degree from Vanderbilt University School of Law in 1973.</w:t>
      </w:r>
    </w:p>
    <w:p>
      <w:pPr>
        <w:spacing w:after="0" w:line="82" w:lineRule="exact"/>
        <w:rPr>
          <w:sz w:val="20"/>
          <w:szCs w:val="20"/>
          <w:color w:val="auto"/>
        </w:rPr>
      </w:pPr>
    </w:p>
    <w:p>
      <w:pPr>
        <w:ind w:right="3459" w:firstLine="763"/>
        <w:spacing w:after="0" w:line="260" w:lineRule="auto"/>
        <w:rPr>
          <w:sz w:val="20"/>
          <w:szCs w:val="20"/>
          <w:color w:val="auto"/>
        </w:rPr>
      </w:pPr>
      <w:r>
        <w:rPr>
          <w:rFonts w:ascii="Courier New" w:cs="Courier New" w:eastAsia="Courier New" w:hAnsi="Courier New"/>
          <w:sz w:val="14"/>
          <w:szCs w:val="14"/>
          <w:color w:val="auto"/>
        </w:rPr>
        <w:t>TED FELDMAN, 46, is an Independent Director and is the Chairman of the Audit Committee of the Company's board of directors. Mr. Feldman served as a trustee of Old Prison Realty from April 1997 to December 1998. Mr. Feldman served as the Chief Operating Officer of StaffMark, Inc. ("StaffMark"), a publicly traded provider of diversified staffing services to business, medical, professional and service organizations and governmental agencies from October 1996 through October 1999. Prior to joining StaffMark, Mr. Feldman founded HRA, Inc., a Nashville provider of staffing services, in 1991 and served as its President and Chief Executive Officer from that time until it merged with StaffMark in October 1996.</w:t>
      </w:r>
    </w:p>
    <w:p>
      <w:pPr>
        <w:spacing w:after="0" w:line="76" w:lineRule="exact"/>
        <w:rPr>
          <w:sz w:val="20"/>
          <w:szCs w:val="20"/>
          <w:color w:val="auto"/>
        </w:rPr>
      </w:pPr>
    </w:p>
    <w:p>
      <w:pPr>
        <w:ind w:right="3359" w:firstLine="763"/>
        <w:spacing w:after="0" w:line="261" w:lineRule="auto"/>
        <w:rPr>
          <w:sz w:val="20"/>
          <w:szCs w:val="20"/>
          <w:color w:val="auto"/>
        </w:rPr>
      </w:pPr>
      <w:r>
        <w:rPr>
          <w:rFonts w:ascii="Courier New" w:cs="Courier New" w:eastAsia="Courier New" w:hAnsi="Courier New"/>
          <w:sz w:val="14"/>
          <w:szCs w:val="14"/>
          <w:color w:val="auto"/>
        </w:rPr>
        <w:t>JACKSON W. MOORE, 51, is an Independent Director and is the Chairman of the Compensation Committee of the Company's board of directors. Mr. Moore served as a trustee of Old Prison Realty from April 1997 to December 1998. Mr. Moore is presently a director of and is the President and Chief Operating Officer of Union Planters Corporation, a multi-state bank and savings and loan holding company headquartered in Memphis, Tennessee that is publicly traded on the NYSE, positions he has held since 1986, 1989, and 1994, respectively, and is President and Chief Executive Officer of its principal subsidiary, Union Planters Bank, N.A. He is also Chairman of PSB Bancshares, Inc. and a Vice</w:t>
      </w:r>
    </w:p>
    <w:p>
      <w:pPr>
        <w:spacing w:after="0" w:line="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159"/>
          </w:cols>
          <w:pgMar w:left="300" w:top="257"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87</w:t>
      </w:r>
    </w:p>
    <w:p>
      <w:pPr>
        <w:spacing w:after="0" w:line="200" w:lineRule="exact"/>
        <w:rPr>
          <w:sz w:val="20"/>
          <w:szCs w:val="20"/>
          <w:color w:val="auto"/>
        </w:rPr>
      </w:pPr>
    </w:p>
    <w:p>
      <w:pPr>
        <w:spacing w:after="0" w:line="294" w:lineRule="exact"/>
        <w:rPr>
          <w:sz w:val="20"/>
          <w:szCs w:val="20"/>
          <w:color w:val="auto"/>
        </w:rPr>
      </w:pPr>
    </w:p>
    <w:p>
      <w:pPr>
        <w:ind w:right="3459"/>
        <w:spacing w:after="0" w:line="286" w:lineRule="auto"/>
        <w:rPr>
          <w:sz w:val="20"/>
          <w:szCs w:val="20"/>
          <w:color w:val="auto"/>
        </w:rPr>
      </w:pPr>
      <w:r>
        <w:rPr>
          <w:rFonts w:ascii="Courier New" w:cs="Courier New" w:eastAsia="Courier New" w:hAnsi="Courier New"/>
          <w:sz w:val="14"/>
          <w:szCs w:val="14"/>
          <w:color w:val="auto"/>
        </w:rPr>
        <w:t>President and director of its subsidiary, the People Savings Bank in Clanton, Alabama. Prior to joining Union Planters, Mr. Moore practiced law for 16 years. Mr. Moore is a graduate of the University of Alabama and Vanderbilt University School of Law.</w:t>
      </w:r>
    </w:p>
    <w:p>
      <w:pPr>
        <w:spacing w:after="0" w:line="5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4"/>
          <w:szCs w:val="14"/>
          <w:color w:val="auto"/>
        </w:rPr>
        <w:t>CLASS II DIRECTORS</w:t>
        <w:tab/>
        <w:t>- (TERMS TO EXPIRE IN 2000)</w:t>
      </w:r>
    </w:p>
    <w:p>
      <w:pPr>
        <w:spacing w:after="0" w:line="168" w:lineRule="exact"/>
        <w:rPr>
          <w:sz w:val="20"/>
          <w:szCs w:val="20"/>
          <w:color w:val="auto"/>
        </w:rPr>
      </w:pPr>
    </w:p>
    <w:p>
      <w:pPr>
        <w:ind w:right="3359" w:firstLine="763"/>
        <w:spacing w:after="0" w:line="263" w:lineRule="auto"/>
        <w:rPr>
          <w:sz w:val="20"/>
          <w:szCs w:val="20"/>
          <w:color w:val="auto"/>
        </w:rPr>
      </w:pPr>
      <w:r>
        <w:rPr>
          <w:rFonts w:ascii="Courier New" w:cs="Courier New" w:eastAsia="Courier New" w:hAnsi="Courier New"/>
          <w:sz w:val="14"/>
          <w:szCs w:val="14"/>
          <w:color w:val="auto"/>
        </w:rPr>
        <w:t>RICHARD W. CARDIN, 64, is an Independent Director and served as a trustee of Old Prison Realty from April 1997 to December 1998. Mr. Cardin is a certified public accountant and is currently a consultant and retired partner at Arthur Andersen LLP. Prior to his retirement in 1995, Mr. Cardin was affiliated with, and a partner in, Arthur Andersen for 37 years. From 1980 through 1994, Mr. Cardin served as the managing partner of Arthur Andersen's Nashville office. Mr. Cardin is a member of the boards of directors of Atmos Energy Corporation and United States Lime &amp; Minerals, Inc.</w:t>
      </w:r>
    </w:p>
    <w:p>
      <w:pPr>
        <w:spacing w:after="0" w:line="77" w:lineRule="exact"/>
        <w:rPr>
          <w:sz w:val="20"/>
          <w:szCs w:val="20"/>
          <w:color w:val="auto"/>
        </w:rPr>
      </w:pPr>
    </w:p>
    <w:p>
      <w:pPr>
        <w:ind w:right="3359" w:firstLine="763"/>
        <w:spacing w:after="0" w:line="257" w:lineRule="auto"/>
        <w:rPr>
          <w:sz w:val="20"/>
          <w:szCs w:val="20"/>
          <w:color w:val="auto"/>
        </w:rPr>
      </w:pPr>
      <w:r>
        <w:rPr>
          <w:rFonts w:ascii="Courier New" w:cs="Courier New" w:eastAsia="Courier New" w:hAnsi="Courier New"/>
          <w:sz w:val="14"/>
          <w:szCs w:val="14"/>
          <w:color w:val="auto"/>
        </w:rPr>
        <w:t>DOCTOR R. CRANTS, 55, is a member of the Company's board of directors and served as its Chairman from its inception to December 1999. Mr. Crants currently serves as the Chief Executive Officer of the Company. Mr. Crants also serves as Chief Executive Officer and a director of CCA, and as a director of PMSI and JJFMSI. Prior to the 1999 Merger, Mr. Crants served as Chairman, Chief Executive Officer and President of Old CCA, which he co-founded in 1983, as well as Chairman of the board of trustees of Old Prison Realty. Mr. Crants also currently serves on the board of directors of Sodexho Marriott Services, Inc., the largest food service and facility management company in North America. Mr. Crants graduated from the United States Military Academy at West Point in 1966 and received a joint Masters in Business Administration and Juris Doctor degree from the Harvard Business School and Harvard Law School, respectively, in 1974.</w:t>
      </w:r>
    </w:p>
    <w:p>
      <w:pPr>
        <w:spacing w:after="0" w:line="82" w:lineRule="exact"/>
        <w:rPr>
          <w:sz w:val="20"/>
          <w:szCs w:val="20"/>
          <w:color w:val="auto"/>
        </w:rPr>
      </w:pPr>
    </w:p>
    <w:p>
      <w:pPr>
        <w:ind w:right="3359" w:firstLine="763"/>
        <w:spacing w:after="0" w:line="257" w:lineRule="auto"/>
        <w:rPr>
          <w:sz w:val="20"/>
          <w:szCs w:val="20"/>
          <w:color w:val="auto"/>
        </w:rPr>
      </w:pPr>
      <w:r>
        <w:rPr>
          <w:rFonts w:ascii="Courier New" w:cs="Courier New" w:eastAsia="Courier New" w:hAnsi="Courier New"/>
          <w:sz w:val="14"/>
          <w:szCs w:val="14"/>
          <w:color w:val="auto"/>
        </w:rPr>
        <w:t>JOSEPH V. RUSSELL, 59, is an Independent Director and is the Chairman of the Independent Committee of the Company's board of directors. Mr. Russell also serves as the Chairman of the Special Committee and served as a trustee of Old Prison Realty from April 1997 to December 1998. Mr. Russell is the President and Chief Financial Officer of Elan-Polo, Inc., a Nashville-based, privately-held, worldwide producer and distributor of footwear. Mr. Russell is also the Vice President of and a principal in RCR Building Corporation, a Nashville-based, privately-held builder and developer of commercial and industrial properties. He also serves on the boards of directors of Community Care Corp., the Footwear Distributors of America Association and US Auto Insurance Company. Mr. Russell graduated from the University of Tennessee in 1963 with a B.S. in Finance.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III DIRECTORS - (TERMS TO EXPIRE IN 2001)</w:t>
      </w:r>
    </w:p>
    <w:p>
      <w:pPr>
        <w:spacing w:after="0" w:line="168" w:lineRule="exact"/>
        <w:rPr>
          <w:sz w:val="20"/>
          <w:szCs w:val="20"/>
          <w:color w:val="auto"/>
        </w:rPr>
      </w:pPr>
    </w:p>
    <w:p>
      <w:pPr>
        <w:ind w:right="3359" w:firstLine="763"/>
        <w:spacing w:after="0" w:line="261" w:lineRule="auto"/>
        <w:rPr>
          <w:sz w:val="20"/>
          <w:szCs w:val="20"/>
          <w:color w:val="auto"/>
        </w:rPr>
      </w:pPr>
      <w:r>
        <w:rPr>
          <w:rFonts w:ascii="Courier New" w:cs="Courier New" w:eastAsia="Courier New" w:hAnsi="Courier New"/>
          <w:sz w:val="14"/>
          <w:szCs w:val="14"/>
          <w:color w:val="auto"/>
        </w:rPr>
        <w:t>C. RAY BELL, 58, is a director of the Company and served as a trustee of Old Prison Realty from April 1997 to December 1998. Mr. Bell is the President and owner of Ray Bell Construction, Inc., which specializes in the construction of a wide range of commercial buildings, and has constructed approximately 40 correctional and detention facilities, consisting of over 15,000 beds in seven states, on behalf of various government entities and private companies, including the Company and Old CCA. Mr. Bell is a founding member of the Middle Tennessee Chapter of Associated Builders and Contractors. Mr. Bell is a graduate of the University of the South.</w:t>
      </w:r>
    </w:p>
    <w:p>
      <w:pPr>
        <w:spacing w:after="0" w:line="78" w:lineRule="exact"/>
        <w:rPr>
          <w:sz w:val="20"/>
          <w:szCs w:val="20"/>
          <w:color w:val="auto"/>
        </w:rPr>
      </w:pPr>
    </w:p>
    <w:p>
      <w:pPr>
        <w:ind w:right="3359" w:firstLine="763"/>
        <w:spacing w:after="0" w:line="258" w:lineRule="auto"/>
        <w:rPr>
          <w:sz w:val="20"/>
          <w:szCs w:val="20"/>
          <w:color w:val="auto"/>
        </w:rPr>
      </w:pPr>
      <w:r>
        <w:rPr>
          <w:rFonts w:ascii="Courier New" w:cs="Courier New" w:eastAsia="Courier New" w:hAnsi="Courier New"/>
          <w:sz w:val="14"/>
          <w:szCs w:val="14"/>
          <w:color w:val="auto"/>
        </w:rPr>
        <w:t>JEAN-PIERRE CUNY, 45, is a director of the Company and served as a director of Old CCA from July 1994 to December 1998. Mr. Cuny serves as the Senior Vice President of The Sodexho Group, a French-based, leading supplier of catering and various other services to institutions and an affiliate of Sodexho. From February 1982 to June 1987, he served as Vice President in charge of Development for the Aluminum Semi-Fabricated Productions Division of Pechiney, a diversified integrated producer of aluminum and other materials. Mr. Cuny graduated from Ecole Polytechnique in Paris in 1977 and from Stanford University Engineering School in 1978. Pursuant to the terms of a contractual arrangement between Sodexho and Prison Realty, Sodexho designated Mr. Cuny to stand for election as a director.</w:t>
      </w:r>
    </w:p>
    <w:p>
      <w:pPr>
        <w:spacing w:after="0" w:line="82" w:lineRule="exact"/>
        <w:rPr>
          <w:sz w:val="20"/>
          <w:szCs w:val="20"/>
          <w:color w:val="auto"/>
        </w:rPr>
      </w:pPr>
    </w:p>
    <w:p>
      <w:pPr>
        <w:ind w:right="3359" w:firstLine="763"/>
        <w:spacing w:after="0" w:line="276" w:lineRule="auto"/>
        <w:rPr>
          <w:sz w:val="20"/>
          <w:szCs w:val="20"/>
          <w:color w:val="auto"/>
        </w:rPr>
      </w:pPr>
      <w:r>
        <w:rPr>
          <w:rFonts w:ascii="Courier New" w:cs="Courier New" w:eastAsia="Courier New" w:hAnsi="Courier New"/>
          <w:sz w:val="14"/>
          <w:szCs w:val="14"/>
          <w:color w:val="auto"/>
        </w:rPr>
        <w:t>CHARLES W. THOMAS, PH.D, 57, is a director of the Company and served as a trustee of Old Prison Realty from April 1997 to December 1998. Dr. Thomas is a private consultant who has taught and written on the criminal justice and private corrections fields for more than 30 years. Until 1999, he was a Professor of Criminology and the Director of the</w:t>
      </w:r>
    </w:p>
    <w:p>
      <w:pPr>
        <w:spacing w:after="0" w:line="6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159"/>
          </w:cols>
          <w:pgMar w:left="300" w:top="257"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88</w:t>
      </w:r>
    </w:p>
    <w:p>
      <w:pPr>
        <w:spacing w:after="0" w:line="200" w:lineRule="exact"/>
        <w:rPr>
          <w:sz w:val="20"/>
          <w:szCs w:val="20"/>
          <w:color w:val="auto"/>
        </w:rPr>
      </w:pPr>
    </w:p>
    <w:p>
      <w:pPr>
        <w:spacing w:after="0" w:line="294"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Private Corrections Project of the Center for Studies in Criminology and Law at the University of Florida, Gainesville, positions he held from 1980 and 1989, respectively. While serving as Director of the Center, Dr. Thomas authored the Center's annual Private Adult Correctional Facility Census. In connection with the 1999 Merger, Dr. Thomas performed certain consulting services for each of Old Prison Realty and Old CCA. Dr. Thomas continues to perform consulting services for CCA relating to its business objectives. Dr. Thomas graduated from McMurry University in 1966 with a B.S. in Secondary Education and from the University of Kentucky with a M.A. in Sociology in 1969 and a Ph.D. in Sociology in 1971.</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REGARDING EXECUTIVE OFFICERS OF THE COMPANY WHO ARE NOT DIRECTORS</w:t>
      </w:r>
    </w:p>
    <w:p>
      <w:pPr>
        <w:spacing w:after="0" w:line="168" w:lineRule="exact"/>
        <w:rPr>
          <w:sz w:val="20"/>
          <w:szCs w:val="20"/>
          <w:color w:val="auto"/>
        </w:rPr>
      </w:pPr>
    </w:p>
    <w:p>
      <w:pPr>
        <w:ind w:right="3359" w:firstLine="763"/>
        <w:spacing w:after="0" w:line="253" w:lineRule="auto"/>
        <w:rPr>
          <w:sz w:val="20"/>
          <w:szCs w:val="20"/>
          <w:color w:val="auto"/>
        </w:rPr>
      </w:pPr>
      <w:r>
        <w:rPr>
          <w:rFonts w:ascii="Courier New" w:cs="Courier New" w:eastAsia="Courier New" w:hAnsi="Courier New"/>
          <w:sz w:val="14"/>
          <w:szCs w:val="14"/>
          <w:color w:val="auto"/>
        </w:rPr>
        <w:t>J. MICHAEL QUINLAN, 58, has served as President of the Company since December 1999. Mr. Quinlan also serves as the President and Chief Operating Officer of CCA and as a member of CCA's board of directors, positions he has held since June 1999. From January 1999 until May 1999, Mr. Quinlan served as a member of the board of directors of the Company and as Vice-Chairman of the Company's board of directors. From April 1997 until January 1999, Mr. Quinlan served as a member of the board of trustees and as Chief Executive Officer of Old Prison Realty. From July 1987 to December 1992, Mr. Quinlan served as the Director of the Federal Bureau of Prisons. In such capacity, Mr. Quinlan was responsible for the total operations and administration of a federal agency with an annual budget of more than $2 billion, more than 26,000 employees and 75 facilities. In 1988, Mr. Quinlan received the Presidential Distinguished Rank Award, which is the highest award given by the United States government to civil servants for service to the United States. In 1992, he received the National Public Service Award of the National Academy of Public Administration and the American Society of Public Administration, awarded annually to the top three public administrators in the United States. Mr. Quinlan is a 1963 graduate of Fairfield University with a B.S.S. in History, and he received a J.D. from Fordham University Law School in 1966. He also received an L.L.M. from the George Washington University School of Law in 1970.</w:t>
      </w:r>
    </w:p>
    <w:p>
      <w:pPr>
        <w:spacing w:after="0" w:line="81" w:lineRule="exact"/>
        <w:rPr>
          <w:sz w:val="20"/>
          <w:szCs w:val="20"/>
          <w:color w:val="auto"/>
        </w:rPr>
      </w:pPr>
    </w:p>
    <w:p>
      <w:pPr>
        <w:ind w:right="3359" w:firstLine="763"/>
        <w:spacing w:after="0" w:line="260" w:lineRule="auto"/>
        <w:rPr>
          <w:sz w:val="20"/>
          <w:szCs w:val="20"/>
          <w:color w:val="auto"/>
        </w:rPr>
      </w:pPr>
      <w:r>
        <w:rPr>
          <w:rFonts w:ascii="Courier New" w:cs="Courier New" w:eastAsia="Courier New" w:hAnsi="Courier New"/>
          <w:sz w:val="14"/>
          <w:szCs w:val="14"/>
          <w:color w:val="auto"/>
        </w:rPr>
        <w:t>VIDA H. CARROLL, 39, currently serves as the Company's Chief Financial Officer, Secretary and Treasurer. Ms. Carroll has resigned from each of these positions effective June 30, 2000. Ms. Carroll served as the Chief Financial Officer, Secretary and Treasurer of Old Prison Realty from its inception until December 1998. From 1991 to 1996, Ms. Carroll, as a sole proprietor, worked as a financial consultant, specializing in accounting conversions and systems design. Prior to this time, she worked in public accounting, including working as an audit manager with KPMG Peat Marwick. Ms. Carroll holds a Bachelor of Science Degree from Tennessee Technological University and is a certified public accountant.</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OF THE COMPANY'S BOARD</w:t>
      </w:r>
    </w:p>
    <w:p>
      <w:pPr>
        <w:spacing w:after="0" w:line="168" w:lineRule="exact"/>
        <w:rPr>
          <w:sz w:val="20"/>
          <w:szCs w:val="20"/>
          <w:color w:val="auto"/>
        </w:rPr>
      </w:pPr>
    </w:p>
    <w:p>
      <w:pPr>
        <w:ind w:right="3359" w:firstLine="763"/>
        <w:spacing w:after="0" w:line="266" w:lineRule="auto"/>
        <w:rPr>
          <w:sz w:val="20"/>
          <w:szCs w:val="20"/>
          <w:color w:val="auto"/>
        </w:rPr>
      </w:pPr>
      <w:r>
        <w:rPr>
          <w:rFonts w:ascii="Courier New" w:cs="Courier New" w:eastAsia="Courier New" w:hAnsi="Courier New"/>
          <w:sz w:val="14"/>
          <w:szCs w:val="14"/>
          <w:color w:val="auto"/>
        </w:rPr>
        <w:t>Pursuant to the authority granted under Company's bylaws, the Company's board of directors has designated an Audit Committee, Compensation Committee and an Independent Committee. In addition, the Company's board, together with the boards of directors of CCA, PMSI and JJFMSI, formed a Special Committee to consider the Restructuring and related transactions. Information regarding the members of each committee and the authority granted to each committee by the Company's board of directors is set forth below.</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w:t>
      </w:r>
    </w:p>
    <w:p>
      <w:pPr>
        <w:spacing w:after="0" w:line="168" w:lineRule="exact"/>
        <w:rPr>
          <w:sz w:val="20"/>
          <w:szCs w:val="20"/>
          <w:color w:val="auto"/>
        </w:rPr>
      </w:pPr>
    </w:p>
    <w:p>
      <w:pPr>
        <w:ind w:right="3359" w:firstLine="763"/>
        <w:spacing w:after="0" w:line="258" w:lineRule="auto"/>
        <w:rPr>
          <w:sz w:val="20"/>
          <w:szCs w:val="20"/>
          <w:color w:val="auto"/>
        </w:rPr>
      </w:pPr>
      <w:r>
        <w:rPr>
          <w:rFonts w:ascii="Courier New" w:cs="Courier New" w:eastAsia="Courier New" w:hAnsi="Courier New"/>
          <w:sz w:val="14"/>
          <w:szCs w:val="14"/>
          <w:color w:val="auto"/>
        </w:rPr>
        <w:t>The Company's Audit Committee currently consists of Messrs. Cardin and Feldman, with Mr. Feldman serving as Chairman. Prior to his resignation from the Company's board, Mr. Eakin also served as a member of the Audit Committee. The Audit Committee makes recommendations concerning the engagement of independent public accountants by the Company, reviews with the independent public accountants the plans and results of the audit engagement, approves professional services provided by the independent public accountants, reviews the independence of the independent public accountants, considers the range of audit and non-audit fees and reviews the adequacy of the Company's internal accounting controls. The Company's Audit Committee has held one meeting to date in 2000 and held four meetings in 1999.</w:t>
      </w:r>
    </w:p>
    <w:p>
      <w:pPr>
        <w:spacing w:after="0" w:line="8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159"/>
          </w:cols>
          <w:pgMar w:left="300" w:top="257"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89</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w:t>
      </w:r>
    </w:p>
    <w:p>
      <w:pPr>
        <w:spacing w:after="0" w:line="168" w:lineRule="exact"/>
        <w:rPr>
          <w:sz w:val="20"/>
          <w:szCs w:val="20"/>
          <w:color w:val="auto"/>
        </w:rPr>
      </w:pPr>
    </w:p>
    <w:p>
      <w:pPr>
        <w:ind w:right="3539" w:firstLine="763"/>
        <w:spacing w:after="0" w:line="266" w:lineRule="auto"/>
        <w:rPr>
          <w:sz w:val="20"/>
          <w:szCs w:val="20"/>
          <w:color w:val="auto"/>
        </w:rPr>
      </w:pPr>
      <w:r>
        <w:rPr>
          <w:rFonts w:ascii="Courier New" w:cs="Courier New" w:eastAsia="Courier New" w:hAnsi="Courier New"/>
          <w:sz w:val="14"/>
          <w:szCs w:val="14"/>
          <w:color w:val="auto"/>
        </w:rPr>
        <w:t>The Company's Compensation Committee consists of Messrs. Bell, Moore and Russell, with Mr. Moore serving as Chairman. The Compensation Committee determines compensation, including awards under the Company's current equity plans, for the Company's executive officers and also administers each of the Non-Employee Directors' Share Option Plan, as amended, and the Non-Employee Directors' Compensation Plan. The Company's Compensation Committee has held no formal meetings to date in 2000 and held two meetings in 1999.</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COMMITTEE</w:t>
      </w:r>
    </w:p>
    <w:p>
      <w:pPr>
        <w:spacing w:after="0" w:line="168" w:lineRule="exact"/>
        <w:rPr>
          <w:sz w:val="20"/>
          <w:szCs w:val="20"/>
          <w:color w:val="auto"/>
        </w:rPr>
      </w:pPr>
    </w:p>
    <w:p>
      <w:pPr>
        <w:ind w:right="3359" w:firstLine="763"/>
        <w:spacing w:after="0" w:line="253" w:lineRule="auto"/>
        <w:rPr>
          <w:sz w:val="20"/>
          <w:szCs w:val="20"/>
          <w:color w:val="auto"/>
        </w:rPr>
      </w:pPr>
      <w:r>
        <w:rPr>
          <w:rFonts w:ascii="Courier New" w:cs="Courier New" w:eastAsia="Courier New" w:hAnsi="Courier New"/>
          <w:sz w:val="14"/>
          <w:szCs w:val="14"/>
          <w:color w:val="auto"/>
        </w:rPr>
        <w:t>The Company's Independent Committee currently consists of Messrs. Cardin, Feldman, and Russell, with Mr. Russell serving as Chairman. Prior to their resignations from the Company's board of directors, Messrs. Eakin, McWherter and Moore also served as members of the Independent Committee at certain times. Pursuant to the Company's bylaws, as currently in effect, the Independent Committee must approve the following actions of the Company's board:</w:t>
      </w:r>
    </w:p>
    <w:p>
      <w:pPr>
        <w:spacing w:after="0" w:line="1" w:lineRule="exact"/>
        <w:rPr>
          <w:sz w:val="20"/>
          <w:szCs w:val="20"/>
          <w:color w:val="auto"/>
        </w:rPr>
      </w:pPr>
    </w:p>
    <w:p>
      <w:pPr>
        <w:ind w:right="3459" w:firstLine="7"/>
        <w:spacing w:after="0" w:line="258" w:lineRule="auto"/>
        <w:tabs>
          <w:tab w:leader="none" w:pos="33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the operators for the Company's properties; (ii) the entering into of any agreement with any tenant of the Company's properties, including CCA, PMSI and JJFMSI; and (iii) the consummation of any transaction between the Company and any of its tenants, including those parties mentioned above, which transactions include, but are not limited to, the negotiation, enforcement and renegotiation of the terms of any lease of any of the Company's properties. The Independent Committee has held three meetings to date in 2000 and held seven formal meetings and numerous informal meetings in 1999.</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COMMITTEE</w:t>
      </w:r>
    </w:p>
    <w:p>
      <w:pPr>
        <w:spacing w:after="0" w:line="168" w:lineRule="exact"/>
        <w:rPr>
          <w:sz w:val="20"/>
          <w:szCs w:val="20"/>
          <w:color w:val="auto"/>
        </w:rPr>
      </w:pPr>
    </w:p>
    <w:p>
      <w:pPr>
        <w:ind w:right="3359" w:firstLine="763"/>
        <w:spacing w:after="0" w:line="257" w:lineRule="auto"/>
        <w:rPr>
          <w:sz w:val="20"/>
          <w:szCs w:val="20"/>
          <w:color w:val="auto"/>
        </w:rPr>
      </w:pPr>
      <w:r>
        <w:rPr>
          <w:rFonts w:ascii="Courier New" w:cs="Courier New" w:eastAsia="Courier New" w:hAnsi="Courier New"/>
          <w:sz w:val="14"/>
          <w:szCs w:val="14"/>
          <w:color w:val="auto"/>
        </w:rPr>
        <w:t>In August 1999, the Company's board of directors, together with the boards of CCA, PMSI and JJFMSI, formed the Special Committee to monitor the financial situation of both the Company and CCA and to coordinate with the Company's advisors regarding the consideration of various strategic alternatives. The then existing members of the Independent Committee, together with Mr. Cuny, were appointed to serve as members of the Special Committee, with Joseph V. Russell appointed to serve as the Chairman of the Special Committee. Thomas W. Beasley, Chairman of the PMSI board, Lucius E. Burch, III, Chairman of the CCA board, and Samuel W. Bartholomew, Jr., Chairman of the JJFMSI board, were also appointed to the Special Committee. The Special Committee has held three meetings to date in 2000 and held 17 formal meetings and numerous informal meetings in 1999.</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 OF THE COMPANY'S BOARD</w:t>
      </w:r>
    </w:p>
    <w:p>
      <w:pPr>
        <w:spacing w:after="0" w:line="168" w:lineRule="exact"/>
        <w:rPr>
          <w:sz w:val="20"/>
          <w:szCs w:val="20"/>
          <w:color w:val="auto"/>
        </w:rPr>
      </w:pPr>
    </w:p>
    <w:p>
      <w:pPr>
        <w:ind w:right="3359" w:firstLine="763"/>
        <w:spacing w:after="0" w:line="266" w:lineRule="auto"/>
        <w:rPr>
          <w:sz w:val="20"/>
          <w:szCs w:val="20"/>
          <w:color w:val="auto"/>
        </w:rPr>
      </w:pPr>
      <w:r>
        <w:rPr>
          <w:rFonts w:ascii="Courier New" w:cs="Courier New" w:eastAsia="Courier New" w:hAnsi="Courier New"/>
          <w:sz w:val="14"/>
          <w:szCs w:val="14"/>
          <w:color w:val="auto"/>
        </w:rPr>
        <w:t>The Company's full board has held two meetings in 2000, with all directors attending either in person or by teleconference. The Company's full board held eight meetings in 1999 and no director, with the exception of Ned Ray McWherter, attended fewer than 75% of the aggregate of all meetings of the board and the committees, if any, upon which such director served and which were held during the period of time that such person served on the Company's board or such committee(s).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THE COMPANY'S DIRECTORS</w:t>
      </w:r>
    </w:p>
    <w:p>
      <w:pPr>
        <w:spacing w:after="0" w:line="168" w:lineRule="exact"/>
        <w:rPr>
          <w:sz w:val="20"/>
          <w:szCs w:val="20"/>
          <w:color w:val="auto"/>
        </w:rPr>
      </w:pPr>
    </w:p>
    <w:p>
      <w:pPr>
        <w:ind w:right="3359" w:firstLine="763"/>
        <w:spacing w:after="0" w:line="255" w:lineRule="auto"/>
        <w:rPr>
          <w:sz w:val="20"/>
          <w:szCs w:val="20"/>
          <w:color w:val="auto"/>
        </w:rPr>
      </w:pPr>
      <w:r>
        <w:rPr>
          <w:rFonts w:ascii="Courier New" w:cs="Courier New" w:eastAsia="Courier New" w:hAnsi="Courier New"/>
          <w:sz w:val="14"/>
          <w:szCs w:val="14"/>
          <w:color w:val="auto"/>
        </w:rPr>
        <w:t>Currently, the Company pays its directors who are not employees of the Company or one of its lessees or any of their affiliates or subsidiaries an annual retainer of $12,000 for their services. In addition, non-employee directors receive a fee of $1,000 for each meeting of the Company's board which they attend and an additional fee of $500 for each meeting they attend of committees on which they serve. Messrs. Cardin, Feldman, and Russell, non-employee members of the Independent Committee and the Special Committee, did not, however, receive the $500 fee for their attendance at meetings of these committees relating to the Restructuring and related transactions. Instead, Messrs. Cardin and Feldman each received a retainer fee of $50,000 for their services, and Mr. Russell received a retainer fee of $75,000 for his services. In addition, Messrs. Beasley and Bartholomew each received a retainer fee of $50,000 for their services on the Special Committee. Non-employee directors may elect, on an annual basis, to receive up to 100% of their regular</w:t>
      </w:r>
    </w:p>
    <w:p>
      <w:pPr>
        <w:spacing w:after="0" w:line="8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159"/>
          </w:cols>
          <w:pgMar w:left="300" w:top="257"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90</w:t>
      </w:r>
    </w:p>
    <w:p>
      <w:pPr>
        <w:spacing w:after="0" w:line="200" w:lineRule="exact"/>
        <w:rPr>
          <w:sz w:val="20"/>
          <w:szCs w:val="20"/>
          <w:color w:val="auto"/>
        </w:rPr>
      </w:pPr>
    </w:p>
    <w:p>
      <w:pPr>
        <w:spacing w:after="0" w:line="294" w:lineRule="exact"/>
        <w:rPr>
          <w:sz w:val="20"/>
          <w:szCs w:val="20"/>
          <w:color w:val="auto"/>
        </w:rPr>
      </w:pPr>
    </w:p>
    <w:p>
      <w:pPr>
        <w:ind w:right="3359"/>
        <w:spacing w:after="0" w:line="276" w:lineRule="auto"/>
        <w:rPr>
          <w:sz w:val="20"/>
          <w:szCs w:val="20"/>
          <w:color w:val="auto"/>
        </w:rPr>
      </w:pPr>
      <w:r>
        <w:rPr>
          <w:rFonts w:ascii="Courier New" w:cs="Courier New" w:eastAsia="Courier New" w:hAnsi="Courier New"/>
          <w:sz w:val="14"/>
          <w:szCs w:val="14"/>
          <w:color w:val="auto"/>
        </w:rPr>
        <w:t>compensation in shares of Common Stock. Non-employee directors are reimbursed for reasonable expenses incurred to attend the Company's board and committee meetings. Non-employee directors also participate in the Non-Employee Directors' Share Option Plan, whereby they receive options to purchase 5,000 shares of Common Stock for each year of service with the Company's board.</w:t>
      </w:r>
    </w:p>
    <w:p>
      <w:pPr>
        <w:spacing w:after="0" w:line="67" w:lineRule="exact"/>
        <w:rPr>
          <w:sz w:val="20"/>
          <w:szCs w:val="20"/>
          <w:color w:val="auto"/>
        </w:rPr>
      </w:pPr>
    </w:p>
    <w:p>
      <w:pPr>
        <w:ind w:right="3359" w:firstLine="763"/>
        <w:spacing w:after="0" w:line="286" w:lineRule="auto"/>
        <w:rPr>
          <w:sz w:val="20"/>
          <w:szCs w:val="20"/>
          <w:color w:val="auto"/>
        </w:rPr>
      </w:pPr>
      <w:r>
        <w:rPr>
          <w:rFonts w:ascii="Courier New" w:cs="Courier New" w:eastAsia="Courier New" w:hAnsi="Courier New"/>
          <w:sz w:val="14"/>
          <w:szCs w:val="14"/>
          <w:color w:val="auto"/>
        </w:rPr>
        <w:t>Directors who are employees of either the Company or one of its lessees or their affiliates are not compensated for serving as directors. Such directors of the Company are, however, eligible to participate in the Company's employee equity benefit plans.</w:t>
      </w: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68" w:lineRule="exact"/>
        <w:rPr>
          <w:sz w:val="20"/>
          <w:szCs w:val="20"/>
          <w:color w:val="auto"/>
        </w:rPr>
      </w:pPr>
    </w:p>
    <w:p>
      <w:pPr>
        <w:ind w:right="3359" w:firstLine="763"/>
        <w:spacing w:after="0" w:line="253" w:lineRule="auto"/>
        <w:rPr>
          <w:sz w:val="20"/>
          <w:szCs w:val="20"/>
          <w:color w:val="auto"/>
        </w:rPr>
      </w:pPr>
      <w:r>
        <w:rPr>
          <w:rFonts w:ascii="Courier New" w:cs="Courier New" w:eastAsia="Courier New" w:hAnsi="Courier New"/>
          <w:sz w:val="14"/>
          <w:szCs w:val="14"/>
          <w:color w:val="auto"/>
        </w:rPr>
        <w:t>Section 16(a) of the Exchange Act requires the Company's executive officers and directors, and persons who own more than 10% of a registered class of the Company's equity securities ("10% Holders"), to file reports of ownership and changes in ownership with the Commission and the NYSE. Executive officers, directors and 10% Holders are required by Commission regulation to furnish the Company with copies of all Section 16(a) forms that they file. To the Company's knowledge, based solely on review of the copies of such reports and amendments thereto furnished to the Company and on written representations made to the Company that no other reports were required during or with respect to the fiscal year ended December 31, 1999, all Section 16(a) filing requirements relating to the Company were timely made with the exception of the following reports: (1) Doctor R. Crants inadvertently failed to file a Form 4 with the Commission on a timely basis to report an exercise of certain options to purchase the Company's Common Stock; (2) Ned Ray McWherter inadvertently failed to file on a Form 4 with the Commission on a timely basis to report one sale of the Company's Common Stock; and (3) Jackson W. Moore inadvertently failed to file a Form 4 with the Commission on a timely basis with respect to two purchases of the Company's Common Stock.</w:t>
      </w:r>
    </w:p>
    <w:p>
      <w:pPr>
        <w:spacing w:after="0" w:line="200" w:lineRule="exact"/>
        <w:rPr>
          <w:sz w:val="20"/>
          <w:szCs w:val="20"/>
          <w:color w:val="auto"/>
        </w:rPr>
      </w:pPr>
    </w:p>
    <w:p>
      <w:pPr>
        <w:spacing w:after="0" w:line="21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159"/>
          </w:cols>
          <w:pgMar w:left="300" w:top="257"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91</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168" w:lineRule="exact"/>
        <w:rPr>
          <w:sz w:val="20"/>
          <w:szCs w:val="20"/>
          <w:color w:val="auto"/>
        </w:rPr>
      </w:pPr>
    </w:p>
    <w:p>
      <w:pPr>
        <w:ind w:right="4340" w:firstLine="763"/>
        <w:spacing w:after="0" w:line="251" w:lineRule="auto"/>
        <w:rPr>
          <w:sz w:val="20"/>
          <w:szCs w:val="20"/>
          <w:color w:val="auto"/>
        </w:rPr>
      </w:pPr>
      <w:r>
        <w:rPr>
          <w:rFonts w:ascii="Courier New" w:cs="Courier New" w:eastAsia="Courier New" w:hAnsi="Courier New"/>
          <w:sz w:val="14"/>
          <w:szCs w:val="14"/>
          <w:color w:val="auto"/>
        </w:rPr>
        <w:t>The following table sets forth certain summary information concerning the compensation paid to Doctor R. Crants and the compensation paid to each of Mr. Quinlan, Ms. Carroll, D. Robert Crants, III and Michael W. Devlin, the four most highly compensated executive officers of Prison Realty other than Doctor R. Crants whose annualized compensation exceeded $100,000 (collectively, the "Named Executive Officers"), for the fiscal years ended December 31, 1997, 1998 and 1999. As discussed more fully in "--Employment and Severance Agreements," each of Mr. Crants, III and Mr. Devlin resigned from their positions with the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gridSpan w:val="3"/>
          </w:tcPr>
          <w:p>
            <w:pPr>
              <w:spacing w:after="0"/>
              <w:rPr>
                <w:sz w:val="20"/>
                <w:szCs w:val="20"/>
                <w:color w:val="auto"/>
              </w:rPr>
            </w:pPr>
            <w:r>
              <w:rPr>
                <w:rFonts w:ascii="Courier New" w:cs="Courier New" w:eastAsia="Courier New" w:hAnsi="Courier New"/>
                <w:sz w:val="14"/>
                <w:szCs w:val="14"/>
                <w:color w:val="auto"/>
              </w:rPr>
              <w:t>Company, effective as of December 31, 1999.</w:t>
            </w: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2"/>
        </w:trPr>
        <w:tc>
          <w:tcPr>
            <w:tcW w:w="3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Annual Compensation</w:t>
            </w:r>
          </w:p>
        </w:tc>
        <w:tc>
          <w:tcPr>
            <w:tcW w:w="1660" w:type="dxa"/>
            <w:vAlign w:val="bottom"/>
          </w:tcPr>
          <w:p>
            <w:pPr>
              <w:spacing w:after="0"/>
              <w:rPr>
                <w:sz w:val="24"/>
                <w:szCs w:val="24"/>
                <w:color w:val="auto"/>
              </w:rPr>
            </w:pPr>
          </w:p>
        </w:tc>
        <w:tc>
          <w:tcPr>
            <w:tcW w:w="30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Long-Term Compensation</w:t>
            </w:r>
          </w:p>
        </w:tc>
        <w:tc>
          <w:tcPr>
            <w:tcW w:w="0" w:type="dxa"/>
            <w:vAlign w:val="bottom"/>
          </w:tcPr>
          <w:p>
            <w:pPr>
              <w:spacing w:after="0"/>
              <w:rPr>
                <w:sz w:val="1"/>
                <w:szCs w:val="1"/>
                <w:color w:val="auto"/>
              </w:rPr>
            </w:pPr>
          </w:p>
        </w:tc>
      </w:tr>
      <w:tr>
        <w:trPr>
          <w:trHeight w:val="163"/>
        </w:trPr>
        <w:tc>
          <w:tcPr>
            <w:tcW w:w="3020" w:type="dxa"/>
            <w:vAlign w:val="bottom"/>
          </w:tcPr>
          <w:p>
            <w:pPr>
              <w:spacing w:after="0"/>
              <w:rPr>
                <w:sz w:val="14"/>
                <w:szCs w:val="14"/>
                <w:color w:val="auto"/>
              </w:rPr>
            </w:pPr>
          </w:p>
        </w:tc>
        <w:tc>
          <w:tcPr>
            <w:tcW w:w="2080" w:type="dxa"/>
            <w:vAlign w:val="bottom"/>
            <w:gridSpan w:val="2"/>
          </w:tcPr>
          <w:p>
            <w:pPr>
              <w:ind w:left="200"/>
              <w:spacing w:after="0"/>
              <w:rPr>
                <w:sz w:val="20"/>
                <w:szCs w:val="20"/>
                <w:color w:val="auto"/>
              </w:rPr>
            </w:pPr>
            <w:r>
              <w:rPr>
                <w:rFonts w:ascii="Courier New" w:cs="Courier New" w:eastAsia="Courier New" w:hAnsi="Courier New"/>
                <w:sz w:val="8"/>
                <w:szCs w:val="8"/>
                <w:color w:val="auto"/>
                <w:w w:val="73"/>
              </w:rPr>
              <w:t>-----------------------------------------------------</w:t>
            </w:r>
          </w:p>
        </w:tc>
        <w:tc>
          <w:tcPr>
            <w:tcW w:w="1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Awards</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20" w:type="dxa"/>
            <w:vAlign w:val="bottom"/>
            <w:vMerge w:val="restart"/>
          </w:tcPr>
          <w:p>
            <w:pPr>
              <w:ind w:left="860"/>
              <w:spacing w:after="0"/>
              <w:rPr>
                <w:sz w:val="20"/>
                <w:szCs w:val="20"/>
                <w:color w:val="auto"/>
              </w:rPr>
            </w:pPr>
            <w:r>
              <w:rPr>
                <w:rFonts w:ascii="Courier New" w:cs="Courier New" w:eastAsia="Courier New" w:hAnsi="Courier New"/>
                <w:sz w:val="14"/>
                <w:szCs w:val="14"/>
                <w:color w:val="auto"/>
              </w:rPr>
              <w:t>Name and</w:t>
            </w: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Other Annual</w:t>
            </w:r>
          </w:p>
        </w:tc>
        <w:tc>
          <w:tcPr>
            <w:tcW w:w="3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0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200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Restricted Stock</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Securities</w:t>
            </w:r>
          </w:p>
        </w:tc>
        <w:tc>
          <w:tcPr>
            <w:tcW w:w="0" w:type="dxa"/>
            <w:vAlign w:val="bottom"/>
          </w:tcPr>
          <w:p>
            <w:pPr>
              <w:spacing w:after="0"/>
              <w:rPr>
                <w:sz w:val="1"/>
                <w:szCs w:val="1"/>
                <w:color w:val="auto"/>
              </w:rPr>
            </w:pPr>
          </w:p>
        </w:tc>
      </w:tr>
      <w:tr>
        <w:trPr>
          <w:trHeight w:val="163"/>
        </w:trPr>
        <w:tc>
          <w:tcPr>
            <w:tcW w:w="3020" w:type="dxa"/>
            <w:vAlign w:val="bottom"/>
            <w:vMerge w:val="restart"/>
          </w:tcPr>
          <w:p>
            <w:pPr>
              <w:jc w:val="center"/>
              <w:ind w:right="390"/>
              <w:spacing w:after="0"/>
              <w:rPr>
                <w:sz w:val="20"/>
                <w:szCs w:val="20"/>
                <w:color w:val="auto"/>
              </w:rPr>
            </w:pPr>
            <w:r>
              <w:rPr>
                <w:rFonts w:ascii="Courier New" w:cs="Courier New" w:eastAsia="Courier New" w:hAnsi="Courier New"/>
                <w:sz w:val="12"/>
                <w:szCs w:val="12"/>
                <w:color w:val="auto"/>
                <w:w w:val="74"/>
              </w:rPr>
              <w:t>Principal</w:t>
            </w:r>
            <w:r>
              <w:rPr>
                <w:rFonts w:ascii="Courier New" w:cs="Courier New" w:eastAsia="Courier New" w:hAnsi="Courier New"/>
                <w:sz w:val="23"/>
                <w:szCs w:val="23"/>
                <w:color w:val="auto"/>
                <w:w w:val="74"/>
                <w:vertAlign w:val="superscript"/>
              </w:rPr>
              <w:t>---------</w:t>
            </w:r>
            <w:r>
              <w:rPr>
                <w:rFonts w:ascii="Courier New" w:cs="Courier New" w:eastAsia="Courier New" w:hAnsi="Courier New"/>
                <w:sz w:val="12"/>
                <w:szCs w:val="12"/>
                <w:color w:val="auto"/>
                <w:w w:val="74"/>
              </w:rPr>
              <w:t>Position</w:t>
            </w:r>
          </w:p>
        </w:tc>
        <w:tc>
          <w:tcPr>
            <w:tcW w:w="54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95"/>
              </w:rPr>
              <w:t>Year</w:t>
            </w:r>
          </w:p>
        </w:tc>
        <w:tc>
          <w:tcPr>
            <w:tcW w:w="15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Salary ($)</w:t>
            </w:r>
          </w:p>
        </w:tc>
        <w:tc>
          <w:tcPr>
            <w:tcW w:w="12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Bonus ($)</w:t>
            </w: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000" w:type="dxa"/>
            <w:vAlign w:val="bottom"/>
            <w:vMerge w:val="continue"/>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Underlying</w:t>
            </w:r>
          </w:p>
        </w:tc>
        <w:tc>
          <w:tcPr>
            <w:tcW w:w="0" w:type="dxa"/>
            <w:vAlign w:val="bottom"/>
          </w:tcPr>
          <w:p>
            <w:pPr>
              <w:spacing w:after="0"/>
              <w:rPr>
                <w:sz w:val="1"/>
                <w:szCs w:val="1"/>
                <w:color w:val="auto"/>
              </w:rPr>
            </w:pPr>
          </w:p>
        </w:tc>
      </w:tr>
      <w:tr>
        <w:trPr>
          <w:trHeight w:val="163"/>
        </w:trPr>
        <w:tc>
          <w:tcPr>
            <w:tcW w:w="30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Compensation ($)</w:t>
            </w:r>
          </w:p>
        </w:tc>
        <w:tc>
          <w:tcPr>
            <w:tcW w:w="200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Award ($)</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Options (#)</w:t>
            </w:r>
          </w:p>
        </w:tc>
        <w:tc>
          <w:tcPr>
            <w:tcW w:w="0" w:type="dxa"/>
            <w:vAlign w:val="bottom"/>
          </w:tcPr>
          <w:p>
            <w:pPr>
              <w:spacing w:after="0"/>
              <w:rPr>
                <w:sz w:val="1"/>
                <w:szCs w:val="1"/>
                <w:color w:val="auto"/>
              </w:rPr>
            </w:pPr>
          </w:p>
        </w:tc>
      </w:tr>
      <w:tr>
        <w:trPr>
          <w:trHeight w:val="238"/>
        </w:trPr>
        <w:tc>
          <w:tcPr>
            <w:tcW w:w="3020" w:type="dxa"/>
            <w:vAlign w:val="bottom"/>
          </w:tcPr>
          <w:p>
            <w:pPr>
              <w:jc w:val="center"/>
              <w:ind w:right="39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w:t>
            </w:r>
          </w:p>
        </w:tc>
        <w:tc>
          <w:tcPr>
            <w:tcW w:w="15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3020" w:type="dxa"/>
            <w:vAlign w:val="bottom"/>
          </w:tcPr>
          <w:p>
            <w:pPr>
              <w:spacing w:after="0"/>
              <w:rPr>
                <w:sz w:val="20"/>
                <w:szCs w:val="20"/>
                <w:color w:val="auto"/>
              </w:rPr>
            </w:pPr>
            <w:r>
              <w:rPr>
                <w:rFonts w:ascii="Courier New" w:cs="Courier New" w:eastAsia="Courier New" w:hAnsi="Courier New"/>
                <w:sz w:val="14"/>
                <w:szCs w:val="14"/>
                <w:color w:val="auto"/>
              </w:rPr>
              <w:t>Doctor R. Crants.................</w:t>
            </w: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1999</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$ 175,000(1)</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$ 34,488(2)</w:t>
            </w:r>
          </w:p>
        </w:tc>
        <w:tc>
          <w:tcPr>
            <w:tcW w:w="16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$103,465(3)</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113,750(4)</w:t>
            </w:r>
          </w:p>
        </w:tc>
        <w:tc>
          <w:tcPr>
            <w:tcW w:w="0" w:type="dxa"/>
            <w:vAlign w:val="bottom"/>
          </w:tcPr>
          <w:p>
            <w:pPr>
              <w:spacing w:after="0"/>
              <w:rPr>
                <w:sz w:val="1"/>
                <w:szCs w:val="1"/>
                <w:color w:val="auto"/>
              </w:rPr>
            </w:pPr>
          </w:p>
        </w:tc>
      </w:tr>
      <w:tr>
        <w:trPr>
          <w:trHeight w:val="163"/>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Chief Executive Officer</w:t>
            </w: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1998</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385,933(5)</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17,500(6)</w:t>
            </w:r>
          </w:p>
        </w:tc>
        <w:tc>
          <w:tcPr>
            <w:tcW w:w="0" w:type="dxa"/>
            <w:vAlign w:val="bottom"/>
          </w:tcPr>
          <w:p>
            <w:pPr>
              <w:spacing w:after="0"/>
              <w:rPr>
                <w:sz w:val="1"/>
                <w:szCs w:val="1"/>
                <w:color w:val="auto"/>
              </w:rPr>
            </w:pPr>
          </w:p>
        </w:tc>
      </w:tr>
      <w:tr>
        <w:trPr>
          <w:trHeight w:val="163"/>
        </w:trPr>
        <w:tc>
          <w:tcPr>
            <w:tcW w:w="3020" w:type="dxa"/>
            <w:vAlign w:val="bottom"/>
            <w:vMerge w:val="restart"/>
          </w:tcPr>
          <w:p>
            <w:pPr>
              <w:spacing w:after="0"/>
              <w:rPr>
                <w:sz w:val="20"/>
                <w:szCs w:val="20"/>
                <w:color w:val="auto"/>
              </w:rPr>
            </w:pPr>
            <w:r>
              <w:rPr>
                <w:rFonts w:ascii="Courier New" w:cs="Courier New" w:eastAsia="Courier New" w:hAnsi="Courier New"/>
                <w:sz w:val="14"/>
                <w:szCs w:val="14"/>
                <w:color w:val="auto"/>
              </w:rPr>
              <w:t>J. Michael Quinlan...............</w:t>
            </w: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1997</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359,423(8)</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113,125(9)</w:t>
            </w:r>
          </w:p>
        </w:tc>
        <w:tc>
          <w:tcPr>
            <w:tcW w:w="0" w:type="dxa"/>
            <w:vAlign w:val="bottom"/>
          </w:tcPr>
          <w:p>
            <w:pPr>
              <w:spacing w:after="0"/>
              <w:rPr>
                <w:sz w:val="1"/>
                <w:szCs w:val="1"/>
                <w:color w:val="auto"/>
              </w:rPr>
            </w:pPr>
          </w:p>
        </w:tc>
      </w:tr>
      <w:tr>
        <w:trPr>
          <w:trHeight w:val="163"/>
        </w:trPr>
        <w:tc>
          <w:tcPr>
            <w:tcW w:w="3020" w:type="dxa"/>
            <w:vAlign w:val="bottom"/>
            <w:vMerge w:val="continue"/>
          </w:tcPr>
          <w:p>
            <w:pPr>
              <w:spacing w:after="0"/>
              <w:rPr>
                <w:sz w:val="14"/>
                <w:szCs w:val="14"/>
                <w:color w:val="auto"/>
              </w:rPr>
            </w:pP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1999</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79,583(11)</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10,000(12)</w:t>
            </w:r>
          </w:p>
        </w:tc>
        <w:tc>
          <w:tcPr>
            <w:tcW w:w="0" w:type="dxa"/>
            <w:vAlign w:val="bottom"/>
          </w:tcPr>
          <w:p>
            <w:pPr>
              <w:spacing w:after="0"/>
              <w:rPr>
                <w:sz w:val="1"/>
                <w:szCs w:val="1"/>
                <w:color w:val="auto"/>
              </w:rPr>
            </w:pPr>
          </w:p>
        </w:tc>
      </w:tr>
      <w:tr>
        <w:trPr>
          <w:trHeight w:val="163"/>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President</w:t>
            </w: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1998</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155,625</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020" w:type="dxa"/>
            <w:vAlign w:val="bottom"/>
            <w:vMerge w:val="restart"/>
          </w:tcPr>
          <w:p>
            <w:pPr>
              <w:spacing w:after="0"/>
              <w:rPr>
                <w:sz w:val="20"/>
                <w:szCs w:val="20"/>
                <w:color w:val="auto"/>
              </w:rPr>
            </w:pPr>
            <w:r>
              <w:rPr>
                <w:rFonts w:ascii="Courier New" w:cs="Courier New" w:eastAsia="Courier New" w:hAnsi="Courier New"/>
                <w:sz w:val="14"/>
                <w:szCs w:val="14"/>
                <w:color w:val="auto"/>
              </w:rPr>
              <w:t>Vida H. Carroll..................</w:t>
            </w: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1997</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150,000(14)</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375,000(15)</w:t>
            </w:r>
          </w:p>
        </w:tc>
        <w:tc>
          <w:tcPr>
            <w:tcW w:w="0" w:type="dxa"/>
            <w:vAlign w:val="bottom"/>
          </w:tcPr>
          <w:p>
            <w:pPr>
              <w:spacing w:after="0"/>
              <w:rPr>
                <w:sz w:val="1"/>
                <w:szCs w:val="1"/>
                <w:color w:val="auto"/>
              </w:rPr>
            </w:pPr>
          </w:p>
        </w:tc>
      </w:tr>
      <w:tr>
        <w:trPr>
          <w:trHeight w:val="163"/>
        </w:trPr>
        <w:tc>
          <w:tcPr>
            <w:tcW w:w="3020" w:type="dxa"/>
            <w:vAlign w:val="bottom"/>
            <w:vMerge w:val="continue"/>
          </w:tcPr>
          <w:p>
            <w:pPr>
              <w:spacing w:after="0"/>
              <w:rPr>
                <w:sz w:val="14"/>
                <w:szCs w:val="14"/>
                <w:color w:val="auto"/>
              </w:rPr>
            </w:pP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1999</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141,667</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81,387(16)</w:t>
            </w:r>
          </w:p>
        </w:tc>
        <w:tc>
          <w:tcPr>
            <w:tcW w:w="16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19,160(17)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26,250(18)</w:t>
            </w:r>
          </w:p>
        </w:tc>
        <w:tc>
          <w:tcPr>
            <w:tcW w:w="0" w:type="dxa"/>
            <w:vAlign w:val="bottom"/>
          </w:tcPr>
          <w:p>
            <w:pPr>
              <w:spacing w:after="0"/>
              <w:rPr>
                <w:sz w:val="1"/>
                <w:szCs w:val="1"/>
                <w:color w:val="auto"/>
              </w:rPr>
            </w:pPr>
          </w:p>
        </w:tc>
      </w:tr>
      <w:tr>
        <w:trPr>
          <w:trHeight w:val="163"/>
        </w:trPr>
        <w:tc>
          <w:tcPr>
            <w:tcW w:w="3020" w:type="dxa"/>
            <w:vAlign w:val="bottom"/>
          </w:tcPr>
          <w:p>
            <w:pPr>
              <w:ind w:left="340"/>
              <w:spacing w:after="0"/>
              <w:rPr>
                <w:sz w:val="20"/>
                <w:szCs w:val="20"/>
                <w:color w:val="auto"/>
              </w:rPr>
            </w:pPr>
            <w:r>
              <w:rPr>
                <w:rFonts w:ascii="Courier New" w:cs="Courier New" w:eastAsia="Courier New" w:hAnsi="Courier New"/>
                <w:sz w:val="14"/>
                <w:szCs w:val="14"/>
                <w:color w:val="auto"/>
              </w:rPr>
              <w:t>Chief Financial Officer</w:t>
            </w: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1998</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88,813</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020" w:type="dxa"/>
            <w:vAlign w:val="bottom"/>
          </w:tcPr>
          <w:p>
            <w:pPr>
              <w:ind w:left="340"/>
              <w:spacing w:after="0"/>
              <w:rPr>
                <w:sz w:val="20"/>
                <w:szCs w:val="20"/>
                <w:color w:val="auto"/>
              </w:rPr>
            </w:pPr>
            <w:r>
              <w:rPr>
                <w:rFonts w:ascii="Courier New" w:cs="Courier New" w:eastAsia="Courier New" w:hAnsi="Courier New"/>
                <w:sz w:val="14"/>
                <w:szCs w:val="14"/>
                <w:color w:val="auto"/>
              </w:rPr>
              <w:t>Secretary and Treasurer</w:t>
            </w: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1997</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75,000(14)</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020" w:type="dxa"/>
            <w:vAlign w:val="bottom"/>
            <w:vMerge w:val="restart"/>
          </w:tcPr>
          <w:p>
            <w:pPr>
              <w:spacing w:after="0"/>
              <w:rPr>
                <w:sz w:val="20"/>
                <w:szCs w:val="20"/>
                <w:color w:val="auto"/>
              </w:rPr>
            </w:pPr>
            <w:r>
              <w:rPr>
                <w:rFonts w:ascii="Courier New" w:cs="Courier New" w:eastAsia="Courier New" w:hAnsi="Courier New"/>
                <w:sz w:val="14"/>
                <w:szCs w:val="14"/>
                <w:color w:val="auto"/>
              </w:rPr>
              <w:t>D. Robert Crants, III............</w:t>
            </w:r>
          </w:p>
        </w:tc>
        <w:tc>
          <w:tcPr>
            <w:tcW w:w="54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95"/>
              </w:rPr>
              <w:t>1999</w:t>
            </w:r>
          </w:p>
        </w:tc>
        <w:tc>
          <w:tcPr>
            <w:tcW w:w="15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155,000</w:t>
            </w:r>
          </w:p>
        </w:tc>
        <w:tc>
          <w:tcPr>
            <w:tcW w:w="12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113,320(21)</w:t>
            </w:r>
          </w:p>
        </w:tc>
        <w:tc>
          <w:tcPr>
            <w:tcW w:w="1660" w:type="dxa"/>
            <w:vAlign w:val="bottom"/>
            <w:vMerge w:val="restart"/>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vMerge w:val="restart"/>
          </w:tcPr>
          <w:p>
            <w:pPr>
              <w:jc w:val="right"/>
              <w:ind w:right="489"/>
              <w:spacing w:after="0"/>
              <w:rPr>
                <w:sz w:val="20"/>
                <w:szCs w:val="20"/>
                <w:color w:val="auto"/>
              </w:rPr>
            </w:pPr>
            <w:r>
              <w:rPr>
                <w:rFonts w:ascii="Courier New" w:cs="Courier New" w:eastAsia="Courier New" w:hAnsi="Courier New"/>
                <w:sz w:val="14"/>
                <w:szCs w:val="14"/>
                <w:color w:val="auto"/>
              </w:rPr>
              <w:t>114,961(22)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65,000(20)</w:t>
            </w:r>
          </w:p>
        </w:tc>
        <w:tc>
          <w:tcPr>
            <w:tcW w:w="0" w:type="dxa"/>
            <w:vAlign w:val="bottom"/>
          </w:tcPr>
          <w:p>
            <w:pPr>
              <w:spacing w:after="0"/>
              <w:rPr>
                <w:sz w:val="1"/>
                <w:szCs w:val="1"/>
                <w:color w:val="auto"/>
              </w:rPr>
            </w:pPr>
          </w:p>
        </w:tc>
      </w:tr>
      <w:tr>
        <w:trPr>
          <w:trHeight w:val="163"/>
        </w:trPr>
        <w:tc>
          <w:tcPr>
            <w:tcW w:w="30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52,500(23)</w:t>
            </w:r>
          </w:p>
        </w:tc>
        <w:tc>
          <w:tcPr>
            <w:tcW w:w="0" w:type="dxa"/>
            <w:vAlign w:val="bottom"/>
          </w:tcPr>
          <w:p>
            <w:pPr>
              <w:spacing w:after="0"/>
              <w:rPr>
                <w:sz w:val="1"/>
                <w:szCs w:val="1"/>
                <w:color w:val="auto"/>
              </w:rPr>
            </w:pPr>
          </w:p>
        </w:tc>
      </w:tr>
      <w:tr>
        <w:trPr>
          <w:trHeight w:val="163"/>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President</w:t>
            </w: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1998</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103,750</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1997</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100,000(14)</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(25)</w:t>
            </w:r>
          </w:p>
        </w:tc>
        <w:tc>
          <w:tcPr>
            <w:tcW w:w="16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225,000(26)</w:t>
            </w:r>
          </w:p>
        </w:tc>
        <w:tc>
          <w:tcPr>
            <w:tcW w:w="0" w:type="dxa"/>
            <w:vAlign w:val="bottom"/>
          </w:tcPr>
          <w:p>
            <w:pPr>
              <w:spacing w:after="0"/>
              <w:rPr>
                <w:sz w:val="1"/>
                <w:szCs w:val="1"/>
                <w:color w:val="auto"/>
              </w:rPr>
            </w:pPr>
          </w:p>
        </w:tc>
      </w:tr>
      <w:tr>
        <w:trPr>
          <w:trHeight w:val="88"/>
        </w:trPr>
        <w:tc>
          <w:tcPr>
            <w:tcW w:w="3020" w:type="dxa"/>
            <w:vAlign w:val="bottom"/>
            <w:vMerge w:val="restart"/>
          </w:tcPr>
          <w:p>
            <w:pPr>
              <w:spacing w:after="0"/>
              <w:rPr>
                <w:sz w:val="20"/>
                <w:szCs w:val="20"/>
                <w:color w:val="auto"/>
              </w:rPr>
            </w:pPr>
            <w:r>
              <w:rPr>
                <w:rFonts w:ascii="Courier New" w:cs="Courier New" w:eastAsia="Courier New" w:hAnsi="Courier New"/>
                <w:sz w:val="14"/>
                <w:szCs w:val="14"/>
                <w:color w:val="auto"/>
              </w:rPr>
              <w:t>Michael W. Devlin................</w:t>
            </w:r>
          </w:p>
        </w:tc>
        <w:tc>
          <w:tcPr>
            <w:tcW w:w="54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95"/>
              </w:rPr>
              <w:t>1999</w:t>
            </w:r>
          </w:p>
        </w:tc>
        <w:tc>
          <w:tcPr>
            <w:tcW w:w="15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155,000</w:t>
            </w:r>
          </w:p>
        </w:tc>
        <w:tc>
          <w:tcPr>
            <w:tcW w:w="12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113,320(21)</w:t>
            </w:r>
          </w:p>
        </w:tc>
        <w:tc>
          <w:tcPr>
            <w:tcW w:w="1660" w:type="dxa"/>
            <w:vAlign w:val="bottom"/>
            <w:vMerge w:val="restart"/>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vMerge w:val="restart"/>
          </w:tcPr>
          <w:p>
            <w:pPr>
              <w:jc w:val="right"/>
              <w:ind w:right="489"/>
              <w:spacing w:after="0"/>
              <w:rPr>
                <w:sz w:val="20"/>
                <w:szCs w:val="20"/>
                <w:color w:val="auto"/>
              </w:rPr>
            </w:pPr>
            <w:r>
              <w:rPr>
                <w:rFonts w:ascii="Courier New" w:cs="Courier New" w:eastAsia="Courier New" w:hAnsi="Courier New"/>
                <w:sz w:val="14"/>
                <w:szCs w:val="14"/>
                <w:color w:val="auto"/>
              </w:rPr>
              <w:t>114,961(22)</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0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52,500(23)</w:t>
            </w:r>
          </w:p>
        </w:tc>
        <w:tc>
          <w:tcPr>
            <w:tcW w:w="0" w:type="dxa"/>
            <w:vAlign w:val="bottom"/>
          </w:tcPr>
          <w:p>
            <w:pPr>
              <w:spacing w:after="0"/>
              <w:rPr>
                <w:sz w:val="1"/>
                <w:szCs w:val="1"/>
                <w:color w:val="auto"/>
              </w:rPr>
            </w:pPr>
          </w:p>
        </w:tc>
      </w:tr>
      <w:tr>
        <w:trPr>
          <w:trHeight w:val="163"/>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Chief Operating Officer</w:t>
            </w: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1998</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103,750</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020" w:type="dxa"/>
            <w:vAlign w:val="bottom"/>
          </w:tcPr>
          <w:p>
            <w:pPr>
              <w:spacing w:after="0"/>
              <w:rPr>
                <w:sz w:val="14"/>
                <w:szCs w:val="14"/>
                <w:color w:val="auto"/>
              </w:rPr>
            </w:pP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w w:val="95"/>
              </w:rPr>
              <w:t>1997</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100,000(14)</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(25)</w:t>
            </w:r>
          </w:p>
        </w:tc>
        <w:tc>
          <w:tcPr>
            <w:tcW w:w="16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225,000(26)</w:t>
            </w:r>
          </w:p>
        </w:tc>
        <w:tc>
          <w:tcPr>
            <w:tcW w:w="0" w:type="dxa"/>
            <w:vAlign w:val="bottom"/>
          </w:tcPr>
          <w:p>
            <w:pPr>
              <w:spacing w:after="0"/>
              <w:rPr>
                <w:sz w:val="1"/>
                <w:szCs w:val="1"/>
                <w:color w:val="auto"/>
              </w:rPr>
            </w:pPr>
          </w:p>
        </w:tc>
      </w:tr>
      <w:tr>
        <w:trPr>
          <w:trHeight w:val="252"/>
        </w:trPr>
        <w:tc>
          <w:tcPr>
            <w:tcW w:w="3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7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Long-Term Compensation</w:t>
            </w:r>
          </w:p>
        </w:tc>
        <w:tc>
          <w:tcPr>
            <w:tcW w:w="16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20" w:type="dxa"/>
            <w:vAlign w:val="bottom"/>
            <w:gridSpan w:val="3"/>
          </w:tcPr>
          <w:p>
            <w:pPr>
              <w:jc w:val="right"/>
              <w:ind w:right="12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60" w:type="dxa"/>
            <w:vAlign w:val="bottom"/>
            <w:gridSpan w:val="2"/>
          </w:tcPr>
          <w:p>
            <w:pPr>
              <w:jc w:val="right"/>
              <w:ind w:right="909"/>
              <w:spacing w:after="0"/>
              <w:rPr>
                <w:sz w:val="20"/>
                <w:szCs w:val="20"/>
                <w:color w:val="auto"/>
              </w:rPr>
            </w:pPr>
            <w:r>
              <w:rPr>
                <w:rFonts w:ascii="Courier New" w:cs="Courier New" w:eastAsia="Courier New" w:hAnsi="Courier New"/>
                <w:sz w:val="14"/>
                <w:szCs w:val="14"/>
                <w:color w:val="auto"/>
              </w:rPr>
              <w:t>Payouts</w:t>
            </w:r>
          </w:p>
        </w:tc>
        <w:tc>
          <w:tcPr>
            <w:tcW w:w="1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20" w:type="dxa"/>
            <w:vAlign w:val="bottom"/>
            <w:vMerge w:val="restart"/>
          </w:tcPr>
          <w:p>
            <w:pPr>
              <w:jc w:val="center"/>
              <w:ind w:right="390"/>
              <w:spacing w:after="0"/>
              <w:rPr>
                <w:sz w:val="20"/>
                <w:szCs w:val="20"/>
                <w:color w:val="auto"/>
              </w:rPr>
            </w:pPr>
            <w:r>
              <w:rPr>
                <w:rFonts w:ascii="Courier New" w:cs="Courier New" w:eastAsia="Courier New" w:hAnsi="Courier New"/>
                <w:sz w:val="14"/>
                <w:szCs w:val="14"/>
                <w:color w:val="auto"/>
              </w:rPr>
              <w:t>Name and</w:t>
            </w:r>
          </w:p>
        </w:tc>
        <w:tc>
          <w:tcPr>
            <w:tcW w:w="540" w:type="dxa"/>
            <w:vAlign w:val="bottom"/>
          </w:tcPr>
          <w:p>
            <w:pPr>
              <w:spacing w:after="0"/>
              <w:rPr>
                <w:sz w:val="20"/>
                <w:szCs w:val="20"/>
                <w:color w:val="auto"/>
              </w:rPr>
            </w:pPr>
          </w:p>
        </w:tc>
        <w:tc>
          <w:tcPr>
            <w:tcW w:w="4420" w:type="dxa"/>
            <w:vAlign w:val="bottom"/>
            <w:gridSpan w:val="3"/>
          </w:tcPr>
          <w:p>
            <w:pPr>
              <w:jc w:val="right"/>
              <w:ind w:right="12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30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540" w:type="dxa"/>
            <w:vAlign w:val="bottom"/>
            <w:vMerge w:val="restart"/>
          </w:tcPr>
          <w:p>
            <w:pPr>
              <w:jc w:val="right"/>
              <w:ind w:right="869"/>
              <w:spacing w:after="0"/>
              <w:rPr>
                <w:sz w:val="20"/>
                <w:szCs w:val="20"/>
                <w:color w:val="auto"/>
              </w:rPr>
            </w:pPr>
            <w:r>
              <w:rPr>
                <w:rFonts w:ascii="Courier New" w:cs="Courier New" w:eastAsia="Courier New" w:hAnsi="Courier New"/>
                <w:sz w:val="14"/>
                <w:szCs w:val="14"/>
                <w:color w:val="auto"/>
              </w:rPr>
              <w:t>LTIP</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All Other</w:t>
            </w:r>
          </w:p>
        </w:tc>
        <w:tc>
          <w:tcPr>
            <w:tcW w:w="16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020" w:type="dxa"/>
            <w:vAlign w:val="bottom"/>
            <w:vMerge w:val="restart"/>
          </w:tcPr>
          <w:p>
            <w:pPr>
              <w:jc w:val="center"/>
              <w:ind w:right="390"/>
              <w:spacing w:after="0"/>
              <w:rPr>
                <w:sz w:val="20"/>
                <w:szCs w:val="20"/>
                <w:color w:val="auto"/>
              </w:rPr>
            </w:pPr>
            <w:r>
              <w:rPr>
                <w:rFonts w:ascii="Courier New" w:cs="Courier New" w:eastAsia="Courier New" w:hAnsi="Courier New"/>
                <w:sz w:val="12"/>
                <w:szCs w:val="12"/>
                <w:color w:val="auto"/>
                <w:w w:val="74"/>
              </w:rPr>
              <w:t>Principal</w:t>
            </w:r>
            <w:r>
              <w:rPr>
                <w:rFonts w:ascii="Courier New" w:cs="Courier New" w:eastAsia="Courier New" w:hAnsi="Courier New"/>
                <w:sz w:val="23"/>
                <w:szCs w:val="23"/>
                <w:color w:val="auto"/>
                <w:w w:val="74"/>
                <w:vertAlign w:val="superscript"/>
              </w:rPr>
              <w:t>---------</w:t>
            </w:r>
            <w:r>
              <w:rPr>
                <w:rFonts w:ascii="Courier New" w:cs="Courier New" w:eastAsia="Courier New" w:hAnsi="Courier New"/>
                <w:sz w:val="12"/>
                <w:szCs w:val="12"/>
                <w:color w:val="auto"/>
                <w:w w:val="74"/>
              </w:rPr>
              <w:t>Position</w:t>
            </w:r>
          </w:p>
        </w:tc>
        <w:tc>
          <w:tcPr>
            <w:tcW w:w="5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9"/>
              </w:rPr>
              <w:t>Payouts ($)</w:t>
            </w:r>
          </w:p>
        </w:tc>
        <w:tc>
          <w:tcPr>
            <w:tcW w:w="2880" w:type="dxa"/>
            <w:vAlign w:val="bottom"/>
            <w:gridSpan w:val="2"/>
          </w:tcPr>
          <w:p>
            <w:pPr>
              <w:jc w:val="right"/>
              <w:ind w:right="1289"/>
              <w:spacing w:after="0"/>
              <w:rPr>
                <w:sz w:val="20"/>
                <w:szCs w:val="20"/>
                <w:color w:val="auto"/>
              </w:rPr>
            </w:pPr>
            <w:r>
              <w:rPr>
                <w:rFonts w:ascii="Courier New" w:cs="Courier New" w:eastAsia="Courier New" w:hAnsi="Courier New"/>
                <w:sz w:val="14"/>
                <w:szCs w:val="14"/>
                <w:color w:val="auto"/>
              </w:rPr>
              <w:t>Compensation ($)</w:t>
            </w: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20" w:type="dxa"/>
            <w:vAlign w:val="bottom"/>
          </w:tcPr>
          <w:p>
            <w:pPr>
              <w:jc w:val="center"/>
              <w:ind w:right="39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20"/>
                <w:szCs w:val="20"/>
                <w:color w:val="auto"/>
              </w:rPr>
            </w:pPr>
          </w:p>
        </w:tc>
        <w:tc>
          <w:tcPr>
            <w:tcW w:w="154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9"/>
              </w:rPr>
              <w:t>-----------</w:t>
            </w:r>
          </w:p>
        </w:tc>
        <w:tc>
          <w:tcPr>
            <w:tcW w:w="2880" w:type="dxa"/>
            <w:vAlign w:val="bottom"/>
            <w:gridSpan w:val="2"/>
          </w:tcPr>
          <w:p>
            <w:pPr>
              <w:jc w:val="right"/>
              <w:ind w:right="1289"/>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20" w:type="dxa"/>
            <w:vAlign w:val="bottom"/>
          </w:tcPr>
          <w:p>
            <w:pPr>
              <w:spacing w:after="0"/>
              <w:rPr>
                <w:sz w:val="20"/>
                <w:szCs w:val="20"/>
                <w:color w:val="auto"/>
              </w:rPr>
            </w:pPr>
            <w:r>
              <w:rPr>
                <w:rFonts w:ascii="Courier New" w:cs="Courier New" w:eastAsia="Courier New" w:hAnsi="Courier New"/>
                <w:sz w:val="14"/>
                <w:szCs w:val="14"/>
                <w:color w:val="auto"/>
              </w:rPr>
              <w:t>Doctor R. Crants.................</w:t>
            </w:r>
          </w:p>
        </w:tc>
        <w:tc>
          <w:tcPr>
            <w:tcW w:w="540" w:type="dxa"/>
            <w:vAlign w:val="bottom"/>
          </w:tcPr>
          <w:p>
            <w:pPr>
              <w:spacing w:after="0"/>
              <w:rPr>
                <w:sz w:val="21"/>
                <w:szCs w:val="21"/>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Chief Executive Officer</w:t>
            </w:r>
          </w:p>
        </w:tc>
        <w:tc>
          <w:tcPr>
            <w:tcW w:w="54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1369"/>
              <w:spacing w:after="0"/>
              <w:rPr>
                <w:sz w:val="20"/>
                <w:szCs w:val="20"/>
                <w:color w:val="auto"/>
              </w:rPr>
            </w:pPr>
            <w:r>
              <w:rPr>
                <w:rFonts w:ascii="Courier New" w:cs="Courier New" w:eastAsia="Courier New" w:hAnsi="Courier New"/>
                <w:sz w:val="14"/>
                <w:szCs w:val="14"/>
                <w:color w:val="auto"/>
              </w:rPr>
              <w:t>$  7,450(7)</w:t>
            </w: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20" w:type="dxa"/>
            <w:vAlign w:val="bottom"/>
            <w:vMerge w:val="restart"/>
          </w:tcPr>
          <w:p>
            <w:pPr>
              <w:spacing w:after="0"/>
              <w:rPr>
                <w:sz w:val="20"/>
                <w:szCs w:val="20"/>
                <w:color w:val="auto"/>
              </w:rPr>
            </w:pPr>
            <w:r>
              <w:rPr>
                <w:rFonts w:ascii="Courier New" w:cs="Courier New" w:eastAsia="Courier New" w:hAnsi="Courier New"/>
                <w:sz w:val="14"/>
                <w:szCs w:val="14"/>
                <w:color w:val="auto"/>
              </w:rPr>
              <w:t>J. Michael Quinlan...............</w:t>
            </w:r>
          </w:p>
        </w:tc>
        <w:tc>
          <w:tcPr>
            <w:tcW w:w="54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1289"/>
              <w:spacing w:after="0"/>
              <w:rPr>
                <w:sz w:val="20"/>
                <w:szCs w:val="20"/>
                <w:color w:val="auto"/>
              </w:rPr>
            </w:pPr>
            <w:r>
              <w:rPr>
                <w:rFonts w:ascii="Courier New" w:cs="Courier New" w:eastAsia="Courier New" w:hAnsi="Courier New"/>
                <w:sz w:val="14"/>
                <w:szCs w:val="14"/>
                <w:color w:val="auto"/>
              </w:rPr>
              <w:t>7,450(10)</w:t>
            </w: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President</w:t>
            </w:r>
          </w:p>
        </w:tc>
        <w:tc>
          <w:tcPr>
            <w:tcW w:w="54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1289"/>
              <w:spacing w:after="0"/>
              <w:rPr>
                <w:sz w:val="20"/>
                <w:szCs w:val="20"/>
                <w:color w:val="auto"/>
              </w:rPr>
            </w:pPr>
            <w:r>
              <w:rPr>
                <w:rFonts w:ascii="Courier New" w:cs="Courier New" w:eastAsia="Courier New" w:hAnsi="Courier New"/>
                <w:sz w:val="14"/>
                <w:szCs w:val="14"/>
                <w:color w:val="auto"/>
              </w:rPr>
              <w:t>5,000(13)</w:t>
            </w: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20" w:type="dxa"/>
            <w:vAlign w:val="bottom"/>
            <w:vMerge w:val="restart"/>
          </w:tcPr>
          <w:p>
            <w:pPr>
              <w:spacing w:after="0"/>
              <w:rPr>
                <w:sz w:val="20"/>
                <w:szCs w:val="20"/>
                <w:color w:val="auto"/>
              </w:rPr>
            </w:pPr>
            <w:r>
              <w:rPr>
                <w:rFonts w:ascii="Courier New" w:cs="Courier New" w:eastAsia="Courier New" w:hAnsi="Courier New"/>
                <w:sz w:val="14"/>
                <w:szCs w:val="14"/>
                <w:color w:val="auto"/>
              </w:rPr>
              <w:t>Vida H. Carroll..................</w:t>
            </w:r>
          </w:p>
        </w:tc>
        <w:tc>
          <w:tcPr>
            <w:tcW w:w="54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1289"/>
              <w:spacing w:after="0"/>
              <w:rPr>
                <w:sz w:val="20"/>
                <w:szCs w:val="20"/>
                <w:color w:val="auto"/>
              </w:rPr>
            </w:pPr>
            <w:r>
              <w:rPr>
                <w:rFonts w:ascii="Courier New" w:cs="Courier New" w:eastAsia="Courier New" w:hAnsi="Courier New"/>
                <w:sz w:val="14"/>
                <w:szCs w:val="14"/>
                <w:color w:val="auto"/>
              </w:rPr>
              <w:t>42,500(19)</w:t>
            </w: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20" w:type="dxa"/>
            <w:vAlign w:val="bottom"/>
          </w:tcPr>
          <w:p>
            <w:pPr>
              <w:ind w:left="340"/>
              <w:spacing w:after="0"/>
              <w:rPr>
                <w:sz w:val="20"/>
                <w:szCs w:val="20"/>
                <w:color w:val="auto"/>
              </w:rPr>
            </w:pPr>
            <w:r>
              <w:rPr>
                <w:rFonts w:ascii="Courier New" w:cs="Courier New" w:eastAsia="Courier New" w:hAnsi="Courier New"/>
                <w:sz w:val="14"/>
                <w:szCs w:val="14"/>
                <w:color w:val="auto"/>
              </w:rPr>
              <w:t>Chief Financial Officer</w:t>
            </w:r>
          </w:p>
        </w:tc>
        <w:tc>
          <w:tcPr>
            <w:tcW w:w="54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1289"/>
              <w:spacing w:after="0"/>
              <w:rPr>
                <w:sz w:val="20"/>
                <w:szCs w:val="20"/>
                <w:color w:val="auto"/>
              </w:rPr>
            </w:pPr>
            <w:r>
              <w:rPr>
                <w:rFonts w:ascii="Courier New" w:cs="Courier New" w:eastAsia="Courier New" w:hAnsi="Courier New"/>
                <w:sz w:val="14"/>
                <w:szCs w:val="14"/>
                <w:color w:val="auto"/>
              </w:rPr>
              <w:t>3,000(13)</w:t>
            </w: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20" w:type="dxa"/>
            <w:vAlign w:val="bottom"/>
          </w:tcPr>
          <w:p>
            <w:pPr>
              <w:ind w:left="340"/>
              <w:spacing w:after="0"/>
              <w:rPr>
                <w:sz w:val="20"/>
                <w:szCs w:val="20"/>
                <w:color w:val="auto"/>
              </w:rPr>
            </w:pPr>
            <w:r>
              <w:rPr>
                <w:rFonts w:ascii="Courier New" w:cs="Courier New" w:eastAsia="Courier New" w:hAnsi="Courier New"/>
                <w:sz w:val="14"/>
                <w:szCs w:val="14"/>
                <w:color w:val="auto"/>
              </w:rPr>
              <w:t>Secretary and Treasurer</w:t>
            </w:r>
          </w:p>
        </w:tc>
        <w:tc>
          <w:tcPr>
            <w:tcW w:w="540" w:type="dxa"/>
            <w:vAlign w:val="bottom"/>
          </w:tcPr>
          <w:p>
            <w:pPr>
              <w:spacing w:after="0"/>
              <w:rPr>
                <w:sz w:val="20"/>
                <w:szCs w:val="20"/>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020" w:type="dxa"/>
            <w:vAlign w:val="bottom"/>
          </w:tcPr>
          <w:p>
            <w:pPr>
              <w:spacing w:after="0"/>
              <w:rPr>
                <w:sz w:val="20"/>
                <w:szCs w:val="20"/>
                <w:color w:val="auto"/>
              </w:rPr>
            </w:pPr>
            <w:r>
              <w:rPr>
                <w:rFonts w:ascii="Courier New" w:cs="Courier New" w:eastAsia="Courier New" w:hAnsi="Courier New"/>
                <w:sz w:val="14"/>
                <w:szCs w:val="14"/>
                <w:color w:val="auto"/>
              </w:rPr>
              <w:t>D. Robert Crants, III............</w:t>
            </w:r>
          </w:p>
        </w:tc>
        <w:tc>
          <w:tcPr>
            <w:tcW w:w="540" w:type="dxa"/>
            <w:vAlign w:val="bottom"/>
          </w:tcPr>
          <w:p>
            <w:pPr>
              <w:spacing w:after="0"/>
              <w:rPr>
                <w:sz w:val="21"/>
                <w:szCs w:val="21"/>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1289"/>
              <w:spacing w:after="0"/>
              <w:rPr>
                <w:sz w:val="20"/>
                <w:szCs w:val="20"/>
                <w:color w:val="auto"/>
              </w:rPr>
            </w:pPr>
            <w:r>
              <w:rPr>
                <w:rFonts w:ascii="Courier New" w:cs="Courier New" w:eastAsia="Courier New" w:hAnsi="Courier New"/>
                <w:sz w:val="14"/>
                <w:szCs w:val="14"/>
                <w:color w:val="auto"/>
              </w:rPr>
              <w:t>238,750(24)</w:t>
            </w:r>
          </w:p>
        </w:tc>
        <w:tc>
          <w:tcPr>
            <w:tcW w:w="2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President</w:t>
            </w:r>
          </w:p>
        </w:tc>
        <w:tc>
          <w:tcPr>
            <w:tcW w:w="54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1289"/>
              <w:spacing w:after="0"/>
              <w:rPr>
                <w:sz w:val="20"/>
                <w:szCs w:val="20"/>
                <w:color w:val="auto"/>
              </w:rPr>
            </w:pPr>
            <w:r>
              <w:rPr>
                <w:rFonts w:ascii="Courier New" w:cs="Courier New" w:eastAsia="Courier New" w:hAnsi="Courier New"/>
                <w:sz w:val="14"/>
                <w:szCs w:val="14"/>
                <w:color w:val="auto"/>
              </w:rPr>
              <w:t>5,000(13)</w:t>
            </w: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20" w:type="dxa"/>
            <w:vAlign w:val="bottom"/>
          </w:tcPr>
          <w:p>
            <w:pPr>
              <w:spacing w:after="0"/>
              <w:rPr>
                <w:sz w:val="20"/>
                <w:szCs w:val="20"/>
                <w:color w:val="auto"/>
              </w:rPr>
            </w:pPr>
            <w:r>
              <w:rPr>
                <w:rFonts w:ascii="Courier New" w:cs="Courier New" w:eastAsia="Courier New" w:hAnsi="Courier New"/>
                <w:sz w:val="14"/>
                <w:szCs w:val="14"/>
                <w:color w:val="auto"/>
              </w:rPr>
              <w:t>Michael W. Devlin................</w:t>
            </w:r>
          </w:p>
        </w:tc>
        <w:tc>
          <w:tcPr>
            <w:tcW w:w="540" w:type="dxa"/>
            <w:vAlign w:val="bottom"/>
          </w:tcPr>
          <w:p>
            <w:pPr>
              <w:spacing w:after="0"/>
              <w:rPr>
                <w:sz w:val="21"/>
                <w:szCs w:val="21"/>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1289"/>
              <w:spacing w:after="0"/>
              <w:rPr>
                <w:sz w:val="20"/>
                <w:szCs w:val="20"/>
                <w:color w:val="auto"/>
              </w:rPr>
            </w:pPr>
            <w:r>
              <w:rPr>
                <w:rFonts w:ascii="Courier New" w:cs="Courier New" w:eastAsia="Courier New" w:hAnsi="Courier New"/>
                <w:sz w:val="14"/>
                <w:szCs w:val="14"/>
                <w:color w:val="auto"/>
              </w:rPr>
              <w:t>238,750(24)</w:t>
            </w:r>
          </w:p>
        </w:tc>
        <w:tc>
          <w:tcPr>
            <w:tcW w:w="2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Chief Operating Officer</w:t>
            </w:r>
          </w:p>
        </w:tc>
        <w:tc>
          <w:tcPr>
            <w:tcW w:w="54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1289"/>
              <w:spacing w:after="0"/>
              <w:rPr>
                <w:sz w:val="20"/>
                <w:szCs w:val="20"/>
                <w:color w:val="auto"/>
              </w:rPr>
            </w:pPr>
            <w:r>
              <w:rPr>
                <w:rFonts w:ascii="Courier New" w:cs="Courier New" w:eastAsia="Courier New" w:hAnsi="Courier New"/>
                <w:sz w:val="14"/>
                <w:szCs w:val="14"/>
                <w:color w:val="auto"/>
              </w:rPr>
              <w:t>5,000(13)</w:t>
            </w: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780" w:right="4680" w:hanging="773"/>
        <w:spacing w:after="0" w:line="27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Mr. Crants' base salary as Chief Executive Officer and Chairman of the board of directors of the Company during 1999. Mr. Crants has resigned from his position as Chairman of the board of directors of the Company but continues to serve as Chief Executive Officer of the Company.</w:t>
      </w:r>
    </w:p>
    <w:p>
      <w:pPr>
        <w:spacing w:after="0" w:line="66" w:lineRule="exact"/>
        <w:rPr>
          <w:rFonts w:ascii="Courier New" w:cs="Courier New" w:eastAsia="Courier New" w:hAnsi="Courier New"/>
          <w:sz w:val="14"/>
          <w:szCs w:val="14"/>
          <w:color w:val="auto"/>
        </w:rPr>
      </w:pPr>
    </w:p>
    <w:p>
      <w:pPr>
        <w:ind w:left="780" w:right="4340" w:hanging="773"/>
        <w:spacing w:after="0" w:line="257"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Crants was awarded 1,687 restricted shares of the Company's Common Stock on March 4, 1999 pursuant to the Company's 1997 Employee Share Incentive Plan, which was assumed by the Company in the 1999 Merger. Pursuant to the terms of a Restricted Stock Agreement between the Company and Mr. Crants, these shares of the Company's Common Stock were vested immediately upon the award of such shares to Mr. Crants. The value of these shares on the date of award was $34,488, based on the average of the high and low sales prices of the Company's Common Stock on the NYSE on March 3, 1999, $20.44. As of December 31, 1999, the closing market price of the Company's Common Stock on the NYSE was $5.06 per share, reducing the aggregate value of the shares awarded to Mr. Crants to $8,536.</w:t>
      </w:r>
    </w:p>
    <w:p>
      <w:pPr>
        <w:spacing w:after="0" w:line="82" w:lineRule="exact"/>
        <w:rPr>
          <w:rFonts w:ascii="Courier New" w:cs="Courier New" w:eastAsia="Courier New" w:hAnsi="Courier New"/>
          <w:sz w:val="14"/>
          <w:szCs w:val="14"/>
          <w:color w:val="auto"/>
        </w:rPr>
      </w:pPr>
    </w:p>
    <w:p>
      <w:pPr>
        <w:ind w:left="780" w:right="4340" w:hanging="773"/>
        <w:spacing w:after="0" w:line="30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Crants was awarded 5,063 restricted shares of the Company's Common Stock on March 4, 1999 pursuant to the Company's 1997 Employee Share Incentive Plan. Pursuant to the terms of a Restricted Stock Agreement</w:t>
      </w:r>
    </w:p>
    <w:p>
      <w:pPr>
        <w:sectPr>
          <w:pgSz w:w="11900" w:h="16838" w:orient="portrait"/>
          <w:cols w:equalWidth="0" w:num="1">
            <w:col w:w="11040"/>
          </w:cols>
          <w:pgMar w:left="300" w:top="256" w:right="559" w:bottom="81" w:gutter="0" w:footer="0" w:header="0"/>
        </w:sectPr>
      </w:pPr>
    </w:p>
    <w:bookmarkStart w:id="91" w:name="page92"/>
    <w:bookmarkEnd w:id="91"/>
    <w:p>
      <w:pPr>
        <w:ind w:left="2180"/>
        <w:spacing w:after="0"/>
        <w:rPr>
          <w:sz w:val="20"/>
          <w:szCs w:val="20"/>
          <w:color w:val="auto"/>
        </w:rPr>
      </w:pPr>
      <w:r>
        <w:rPr>
          <w:rFonts w:ascii="Courier New" w:cs="Courier New" w:eastAsia="Courier New" w:hAnsi="Courier New"/>
          <w:sz w:val="13"/>
          <w:szCs w:val="13"/>
          <w:color w:val="auto"/>
        </w:rPr>
        <w:t>87</w:t>
      </w:r>
    </w:p>
    <w:p>
      <w:pPr>
        <w:sectPr>
          <w:pgSz w:w="11900" w:h="16838" w:orient="portrait"/>
          <w:cols w:equalWidth="0" w:num="1">
            <w:col w:w="9019"/>
          </w:cols>
          <w:pgMar w:left="1440" w:top="115" w:right="1440" w:bottom="1440" w:gutter="0" w:footer="0" w:header="0"/>
        </w:sectPr>
      </w:pPr>
    </w:p>
    <w:bookmarkStart w:id="92" w:name="page93"/>
    <w:bookmarkEnd w:id="92"/>
    <w:p>
      <w:pPr>
        <w:ind w:left="253"/>
        <w:spacing w:after="0"/>
        <w:rPr>
          <w:sz w:val="20"/>
          <w:szCs w:val="20"/>
          <w:color w:val="auto"/>
        </w:rPr>
      </w:pPr>
      <w:r>
        <w:rPr>
          <w:rFonts w:ascii="Courier New" w:cs="Courier New" w:eastAsia="Courier New" w:hAnsi="Courier New"/>
          <w:sz w:val="14"/>
          <w:szCs w:val="14"/>
          <w:color w:val="auto"/>
        </w:rPr>
        <w:t>92</w:t>
      </w:r>
    </w:p>
    <w:p>
      <w:pPr>
        <w:spacing w:after="0" w:line="168" w:lineRule="exact"/>
        <w:rPr>
          <w:sz w:val="20"/>
          <w:szCs w:val="20"/>
          <w:color w:val="auto"/>
        </w:rPr>
      </w:pPr>
    </w:p>
    <w:p>
      <w:pPr>
        <w:ind w:left="773" w:right="3459"/>
        <w:spacing w:after="0" w:line="263" w:lineRule="auto"/>
        <w:rPr>
          <w:sz w:val="20"/>
          <w:szCs w:val="20"/>
          <w:color w:val="auto"/>
        </w:rPr>
      </w:pPr>
      <w:r>
        <w:rPr>
          <w:rFonts w:ascii="Courier New" w:cs="Courier New" w:eastAsia="Courier New" w:hAnsi="Courier New"/>
          <w:sz w:val="14"/>
          <w:szCs w:val="14"/>
          <w:color w:val="auto"/>
        </w:rPr>
        <w:t>between the Company and Mr. Crants, such restricted shares vest ratably on each of the first three anniversaries of the date of such award. The value of these shares on the date of award was $103,465, based on the average of the high and low sales prices of the Company's Common Stock on the NYSE on March 3, 1999, $20.44. As of December 31, 1999, the closing market price of the Company's Common Stock on the NYSE was $5.06 per share, reducing the aggregate value of the shares awarded to Mr. Crants to $25,619.</w:t>
      </w:r>
    </w:p>
    <w:p>
      <w:pPr>
        <w:spacing w:after="0" w:line="77" w:lineRule="exact"/>
        <w:rPr>
          <w:sz w:val="20"/>
          <w:szCs w:val="20"/>
          <w:color w:val="auto"/>
        </w:rPr>
      </w:pPr>
    </w:p>
    <w:p>
      <w:pPr>
        <w:ind w:left="773" w:right="3619" w:hanging="773"/>
        <w:spacing w:after="0" w:line="266" w:lineRule="auto"/>
        <w:tabs>
          <w:tab w:leader="none" w:pos="77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Company's 1997 Employee Share Incentive Plan, these options to purchase shares of the Company's Common Stock vest in 25% increments over a three-year period, with the first such increment having vested on March 4, 1999, and are exercisable at a price of $19.94 per share, the closing market price on the NYSE of the Company's Common Stock on March 4, 1999, the date of grant of these options.</w:t>
      </w:r>
    </w:p>
    <w:p>
      <w:pPr>
        <w:spacing w:after="0" w:line="74" w:lineRule="exact"/>
        <w:rPr>
          <w:rFonts w:ascii="Courier New" w:cs="Courier New" w:eastAsia="Courier New" w:hAnsi="Courier New"/>
          <w:sz w:val="14"/>
          <w:szCs w:val="14"/>
          <w:color w:val="auto"/>
        </w:rPr>
      </w:pPr>
    </w:p>
    <w:p>
      <w:pPr>
        <w:ind w:left="773" w:right="3459" w:hanging="773"/>
        <w:spacing w:after="0" w:line="306" w:lineRule="auto"/>
        <w:tabs>
          <w:tab w:leader="none" w:pos="77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compensation paid by Old CCA, the Company's predecessor, to such individual for the fiscal year ended December 31, 1999.</w:t>
      </w:r>
    </w:p>
    <w:p>
      <w:pPr>
        <w:spacing w:after="0" w:line="45" w:lineRule="exact"/>
        <w:rPr>
          <w:rFonts w:ascii="Courier New" w:cs="Courier New" w:eastAsia="Courier New" w:hAnsi="Courier New"/>
          <w:sz w:val="14"/>
          <w:szCs w:val="14"/>
          <w:color w:val="auto"/>
        </w:rPr>
      </w:pPr>
    </w:p>
    <w:p>
      <w:pPr>
        <w:ind w:left="773" w:right="3539" w:hanging="773"/>
        <w:spacing w:after="0" w:line="270" w:lineRule="auto"/>
        <w:tabs>
          <w:tab w:leader="none" w:pos="77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by Old CCA under Old CCA's 1995 Stock Incentive Plan. In connection with the 1999 Merger, the Company assumed all of the options outstanding under the 1995 Stock Incentive Plan, with all of such options being converted into options exercisable for shares of the Company's Common Stock, based on the exchange ratio in the 1999 Merger.</w:t>
      </w:r>
    </w:p>
    <w:p>
      <w:pPr>
        <w:spacing w:after="0" w:line="71" w:lineRule="exact"/>
        <w:rPr>
          <w:rFonts w:ascii="Courier New" w:cs="Courier New" w:eastAsia="Courier New" w:hAnsi="Courier New"/>
          <w:sz w:val="14"/>
          <w:szCs w:val="14"/>
          <w:color w:val="auto"/>
        </w:rPr>
      </w:pPr>
    </w:p>
    <w:p>
      <w:pPr>
        <w:ind w:left="773" w:right="3619" w:hanging="773"/>
        <w:spacing w:after="0" w:line="286" w:lineRule="auto"/>
        <w:tabs>
          <w:tab w:leader="none" w:pos="77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contribution by Old CCA, the Company's predecessor, to Old CCA's Amended and Restated Employee Stock Option Plan (the "Old CCA ESOP") during the fiscal year ended December 31, 1998.</w:t>
      </w:r>
    </w:p>
    <w:p>
      <w:pPr>
        <w:spacing w:after="0" w:line="59" w:lineRule="exact"/>
        <w:rPr>
          <w:rFonts w:ascii="Courier New" w:cs="Courier New" w:eastAsia="Courier New" w:hAnsi="Courier New"/>
          <w:sz w:val="14"/>
          <w:szCs w:val="14"/>
          <w:color w:val="auto"/>
        </w:rPr>
      </w:pPr>
    </w:p>
    <w:p>
      <w:pPr>
        <w:ind w:left="773" w:right="3459" w:hanging="773"/>
        <w:spacing w:after="0" w:line="306" w:lineRule="auto"/>
        <w:tabs>
          <w:tab w:leader="none" w:pos="77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compensation paid by Old CCA, the Company's predecessor, to such individual for the fiscal year ended December 31, 1997.</w:t>
      </w:r>
    </w:p>
    <w:p>
      <w:pPr>
        <w:spacing w:after="0" w:line="45" w:lineRule="exact"/>
        <w:rPr>
          <w:rFonts w:ascii="Courier New" w:cs="Courier New" w:eastAsia="Courier New" w:hAnsi="Courier New"/>
          <w:sz w:val="14"/>
          <w:szCs w:val="14"/>
          <w:color w:val="auto"/>
        </w:rPr>
      </w:pPr>
    </w:p>
    <w:p>
      <w:pPr>
        <w:ind w:left="773" w:right="3539" w:hanging="773"/>
        <w:spacing w:after="0" w:line="258" w:lineRule="auto"/>
        <w:tabs>
          <w:tab w:leader="none" w:pos="77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13,125 of the options were granted by Old CCA under Old CCA's 1995 Stock Incentive Plan. The balance of the options, which vest in 25% increments over a three-year period, with the first such increment having vested on July 15, 1997, were granted by Old Prison Realty under Old Prison Realty's 1997 Employee Share Incentive Plan. In connection with the 1999 Merger, the Company assumed all of the options outstanding under Old CCA's 1995 Stock Incentive Plan and Old Prison Realty's 1997 Employee Share Incentive Plan, with all of such options being converted into options exercisable for shares of the Company's Common Stock, based on the exchange ratio in the 1999 Merger.</w:t>
      </w:r>
    </w:p>
    <w:p>
      <w:pPr>
        <w:spacing w:after="0" w:line="81" w:lineRule="exact"/>
        <w:rPr>
          <w:rFonts w:ascii="Courier New" w:cs="Courier New" w:eastAsia="Courier New" w:hAnsi="Courier New"/>
          <w:sz w:val="14"/>
          <w:szCs w:val="14"/>
          <w:color w:val="auto"/>
        </w:rPr>
      </w:pPr>
    </w:p>
    <w:p>
      <w:pPr>
        <w:ind w:left="773" w:right="3459" w:hanging="773"/>
        <w:spacing w:after="0" w:line="306" w:lineRule="auto"/>
        <w:tabs>
          <w:tab w:leader="none" w:pos="77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contribution by Old CCA, the Company's predecessor, to the Old CCA ESOP during the fiscal year ended December 31, 1997.</w:t>
      </w:r>
    </w:p>
    <w:p>
      <w:pPr>
        <w:spacing w:after="0" w:line="45" w:lineRule="exact"/>
        <w:rPr>
          <w:rFonts w:ascii="Courier New" w:cs="Courier New" w:eastAsia="Courier New" w:hAnsi="Courier New"/>
          <w:sz w:val="14"/>
          <w:szCs w:val="14"/>
          <w:color w:val="auto"/>
        </w:rPr>
      </w:pPr>
    </w:p>
    <w:p>
      <w:pPr>
        <w:ind w:left="773" w:right="3619" w:hanging="773"/>
        <w:spacing w:after="0" w:line="266" w:lineRule="auto"/>
        <w:tabs>
          <w:tab w:leader="none" w:pos="77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January 1, 1999 until May 11, 1999, Mr. Quinlan served as Vice-Chairman of the Company's board of directors. From May 11, 1999 until June 28, 1999, Mr. Quinlan served as the Company's Vice-President, Special Projects. On June 28, 1999, Mr. Quinlan resigned from all positions with the Company to become President and Chief Operating Officer of CCA. Mr. Quinlan became President of the Company, effective upon the resignation of D. Robert Crants, III.</w:t>
      </w:r>
    </w:p>
    <w:p>
      <w:pPr>
        <w:spacing w:after="0" w:line="74" w:lineRule="exact"/>
        <w:rPr>
          <w:rFonts w:ascii="Courier New" w:cs="Courier New" w:eastAsia="Courier New" w:hAnsi="Courier New"/>
          <w:sz w:val="14"/>
          <w:szCs w:val="14"/>
          <w:color w:val="auto"/>
        </w:rPr>
      </w:pPr>
    </w:p>
    <w:p>
      <w:pPr>
        <w:ind w:left="773" w:right="3539" w:hanging="773"/>
        <w:spacing w:after="0" w:line="260" w:lineRule="auto"/>
        <w:tabs>
          <w:tab w:leader="none" w:pos="77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Company's 1997 Employee Share Incentive Plan, these options to purchase shares of the Company's Common Stock initially were to vest in 25% increments over a three-year period, with the first such increment having vested on March 4, 1999. Upon Mr. Quinlan's resignation from all positions with the Company on June 28, 1999, all outstanding unvested options held by Mr. Quinlan became fully vested upon action by the Company's board of directors. These options are exercisable at a price of $19.94 per share, the closing market price on the NYSE of the Company's Common Stock on March 4, 1999, the date of grant of these options.</w:t>
      </w:r>
    </w:p>
    <w:p>
      <w:pPr>
        <w:spacing w:after="0" w:line="239"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152"/>
          </w:cols>
          <w:pgMar w:left="307" w:top="257" w:right="1440" w:bottom="1440" w:gutter="0" w:footer="0" w:header="0"/>
        </w:sectPr>
      </w:pPr>
    </w:p>
    <w:bookmarkStart w:id="93" w:name="page94"/>
    <w:bookmarkEnd w:id="93"/>
    <w:p>
      <w:pPr>
        <w:ind w:left="253"/>
        <w:spacing w:after="0"/>
        <w:rPr>
          <w:sz w:val="20"/>
          <w:szCs w:val="20"/>
          <w:color w:val="auto"/>
        </w:rPr>
      </w:pPr>
      <w:r>
        <w:rPr>
          <w:rFonts w:ascii="Courier New" w:cs="Courier New" w:eastAsia="Courier New" w:hAnsi="Courier New"/>
          <w:sz w:val="14"/>
          <w:szCs w:val="14"/>
          <w:color w:val="auto"/>
        </w:rPr>
        <w:t>93</w:t>
      </w:r>
    </w:p>
    <w:p>
      <w:pPr>
        <w:spacing w:after="0" w:line="168" w:lineRule="exact"/>
        <w:rPr>
          <w:sz w:val="20"/>
          <w:szCs w:val="20"/>
          <w:color w:val="auto"/>
        </w:rPr>
      </w:pPr>
    </w:p>
    <w:p>
      <w:pPr>
        <w:ind w:left="773" w:right="3459" w:hanging="773"/>
        <w:spacing w:after="0" w:line="306" w:lineRule="auto"/>
        <w:tabs>
          <w:tab w:leader="none" w:pos="77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contribution by Old Prison Realty, the Company's predecessor, to Old Prison Realty's Amended and Restated Employee Share Ownership Plan for the fiscal year ended December 31, 1998.</w:t>
      </w:r>
    </w:p>
    <w:p>
      <w:pPr>
        <w:spacing w:after="0" w:line="45" w:lineRule="exact"/>
        <w:rPr>
          <w:rFonts w:ascii="Courier New" w:cs="Courier New" w:eastAsia="Courier New" w:hAnsi="Courier New"/>
          <w:sz w:val="14"/>
          <w:szCs w:val="14"/>
          <w:color w:val="auto"/>
        </w:rPr>
      </w:pPr>
    </w:p>
    <w:p>
      <w:pPr>
        <w:ind w:left="773" w:right="3459" w:hanging="773"/>
        <w:spacing w:after="0" w:line="366" w:lineRule="auto"/>
        <w:tabs>
          <w:tab w:leader="none" w:pos="77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are annualized salaries for the fiscal year ended December 31, 1997.</w:t>
      </w:r>
    </w:p>
    <w:p>
      <w:pPr>
        <w:spacing w:after="0" w:line="5" w:lineRule="exact"/>
        <w:rPr>
          <w:rFonts w:ascii="Courier New" w:cs="Courier New" w:eastAsia="Courier New" w:hAnsi="Courier New"/>
          <w:sz w:val="14"/>
          <w:szCs w:val="14"/>
          <w:color w:val="auto"/>
        </w:rPr>
      </w:pPr>
    </w:p>
    <w:p>
      <w:pPr>
        <w:ind w:left="773" w:right="3459" w:hanging="773"/>
        <w:spacing w:after="0" w:line="255" w:lineRule="auto"/>
        <w:tabs>
          <w:tab w:leader="none" w:pos="77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but 25,000 of these options to purchase the Company's Common Stock initially vested in 25% increments over a three-year period with the first such increment having vested on July 15, 1997. The balance of these options initially vested in 25% increments over a three-year period, with the first such increment having vested on December 2, 1997. All of these options were granted under Old Prison Realty's 1997 Employee Share Incentive Plan. In connection with the 1999 Merger, the Company assumed all of the options outstanding under Old Prison Realty's 1997 Employee Share Incentive Plan, with all of such options being converted into options exercisable for shares of the Company's Common Stock, based on the exchange ratio in the 1999 Merger. Upon Mr. Quinlan's resignation from all positions with the Company on June 28, 1999, all outstanding unvested options held by Mr. Quinlan became fully vested upon action by the Company's board of directors.</w:t>
      </w:r>
    </w:p>
    <w:p>
      <w:pPr>
        <w:spacing w:after="0" w:line="87" w:lineRule="exact"/>
        <w:rPr>
          <w:rFonts w:ascii="Courier New" w:cs="Courier New" w:eastAsia="Courier New" w:hAnsi="Courier New"/>
          <w:sz w:val="14"/>
          <w:szCs w:val="14"/>
          <w:color w:val="auto"/>
        </w:rPr>
      </w:pPr>
    </w:p>
    <w:p>
      <w:pPr>
        <w:ind w:left="773" w:right="3459" w:hanging="773"/>
        <w:spacing w:after="0" w:line="258" w:lineRule="auto"/>
        <w:tabs>
          <w:tab w:leader="none" w:pos="77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Ms. Carroll was awarded 312 restricted shares of the Company's Common Stock on March 4, 1999 pursuant to the Company's 1997 Employee Share Incentive Plan. Pursuant to the terms of a Restricted Stock Agreement between the Company and Ms. Carroll, these shares were vested immediately upon the award of such shares. The value of these shares on the date of award was $6,387, based on the average of the high and low sales prices of the Company's Common Stock on the NYSE on March 3, 1999, $20.44. As of December 31, 1999, the closing market price of the Company's Common Stock on the NYSE was $5.06 per share, reducing the aggregate value of the shares awarded to $1,579. Ms. Carroll also received a cash bonus of $75,000 in March 1999.</w:t>
      </w:r>
    </w:p>
    <w:p>
      <w:pPr>
        <w:spacing w:after="0" w:line="81" w:lineRule="exact"/>
        <w:rPr>
          <w:rFonts w:ascii="Courier New" w:cs="Courier New" w:eastAsia="Courier New" w:hAnsi="Courier New"/>
          <w:sz w:val="14"/>
          <w:szCs w:val="14"/>
          <w:color w:val="auto"/>
        </w:rPr>
      </w:pPr>
    </w:p>
    <w:p>
      <w:pPr>
        <w:ind w:left="773" w:right="3459" w:hanging="773"/>
        <w:spacing w:after="0" w:line="258" w:lineRule="auto"/>
        <w:tabs>
          <w:tab w:leader="none" w:pos="77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Ms. Carroll was awarded 938 restricted shares of the Company's Common Stock on March 4, 1999 pursuant to the Company's 1997 Employee Share Incentive Plan. Pursuant to the terms of a Restricted Stock Agreement between the Company and Ms. Carroll, such restricted shares vest ratably on each of the first three anniversaries of the date of such award. The value of these shares on the date of award was $19,160, based on the average of the high and low sales prices of the Company's Common Stock on the NYSE on March 3, 1999, $20.44. As of December 31, 1999, the closing market price of the Company's Common Stock on the NYSE was $5.06 per share, reducing the aggregate value of the shares awarded to $4,746.</w:t>
      </w:r>
    </w:p>
    <w:p>
      <w:pPr>
        <w:spacing w:after="0" w:line="81" w:lineRule="exact"/>
        <w:rPr>
          <w:rFonts w:ascii="Courier New" w:cs="Courier New" w:eastAsia="Courier New" w:hAnsi="Courier New"/>
          <w:sz w:val="14"/>
          <w:szCs w:val="14"/>
          <w:color w:val="auto"/>
        </w:rPr>
      </w:pPr>
    </w:p>
    <w:p>
      <w:pPr>
        <w:ind w:left="773" w:right="3619" w:hanging="773"/>
        <w:spacing w:after="0" w:line="266" w:lineRule="auto"/>
        <w:tabs>
          <w:tab w:leader="none" w:pos="77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Company's 1997 Employee Share Incentive Plan, these options to purchase shares of the Company's Common Stock vest in 25% increments over a three-year period, with the first such increment having vested on March 4, 1999, and are exerciseable at a price of $19.94 per share, the closing market price on the NYSE of the Company's Common Stock on March 4, 1999, the date of grant of these options.</w:t>
      </w:r>
    </w:p>
    <w:p>
      <w:pPr>
        <w:spacing w:after="0" w:line="74" w:lineRule="exact"/>
        <w:rPr>
          <w:rFonts w:ascii="Courier New" w:cs="Courier New" w:eastAsia="Courier New" w:hAnsi="Courier New"/>
          <w:sz w:val="14"/>
          <w:szCs w:val="14"/>
          <w:color w:val="auto"/>
        </w:rPr>
      </w:pPr>
    </w:p>
    <w:p>
      <w:pPr>
        <w:ind w:left="773" w:right="3459" w:hanging="773"/>
        <w:spacing w:after="0" w:line="286" w:lineRule="auto"/>
        <w:tabs>
          <w:tab w:leader="none" w:pos="77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three-months' severance of $37,500 paid in advance to Ms. Carroll and a contribution of $5,000 by the Company to the Prison Realty Trust, Inc. 401(k) Savings and Retirement Plan on Ms. Carroll's behalf during the fiscal year ended December 31, 1999.</w:t>
      </w:r>
    </w:p>
    <w:p>
      <w:pPr>
        <w:spacing w:after="0" w:line="59" w:lineRule="exact"/>
        <w:rPr>
          <w:rFonts w:ascii="Courier New" w:cs="Courier New" w:eastAsia="Courier New" w:hAnsi="Courier New"/>
          <w:sz w:val="14"/>
          <w:szCs w:val="14"/>
          <w:color w:val="auto"/>
        </w:rPr>
      </w:pPr>
    </w:p>
    <w:p>
      <w:pPr>
        <w:ind w:left="773" w:right="3459" w:hanging="773"/>
        <w:spacing w:after="0" w:line="258" w:lineRule="auto"/>
        <w:tabs>
          <w:tab w:leader="none" w:pos="77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but 15,000 of these options to purchase the Company's Common Stock vest in 25% increments over a three- year period with the first such increment having vested on July 15, 1997. The balance of the options vest in 25% increments over a three-year period with the first such increment having vested on December 2, 1997. All of these options were granted under Old Prison Realty's 1997 Employee Share Incentive Plan. In connection with the 1999 Merger, the Company assumed all of the options outstanding under Old Prison Realty's 1997 Employee Share Incentive Plan, with all of such options being converted into options exerciseable for shares of the Company's Common Stock, based on the exchange ratio in the 1999 Merger.</w:t>
      </w:r>
    </w:p>
    <w:p>
      <w:pPr>
        <w:spacing w:after="0" w:line="81" w:lineRule="exact"/>
        <w:rPr>
          <w:rFonts w:ascii="Courier New" w:cs="Courier New" w:eastAsia="Courier New" w:hAnsi="Courier New"/>
          <w:sz w:val="14"/>
          <w:szCs w:val="14"/>
          <w:color w:val="auto"/>
        </w:rPr>
      </w:pPr>
    </w:p>
    <w:p>
      <w:pPr>
        <w:ind w:left="773" w:right="3539" w:hanging="773"/>
        <w:spacing w:after="0" w:line="306" w:lineRule="auto"/>
        <w:tabs>
          <w:tab w:leader="none" w:pos="77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individual was awarded 1,875 restricted shares of the Company's Common Stock on March 4, 1999 pursuant to the Company's 1997 Employee Share Incentive Plan. Pursuant to the terms of a Restricted Stock</w:t>
      </w:r>
    </w:p>
    <w:p>
      <w:pPr>
        <w:spacing w:after="0" w:line="209"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152"/>
          </w:cols>
          <w:pgMar w:left="307" w:top="257" w:right="1440" w:bottom="1440" w:gutter="0" w:footer="0" w:header="0"/>
        </w:sectPr>
      </w:pPr>
    </w:p>
    <w:bookmarkStart w:id="94" w:name="page95"/>
    <w:bookmarkEnd w:id="94"/>
    <w:p>
      <w:pPr>
        <w:ind w:left="253"/>
        <w:spacing w:after="0"/>
        <w:rPr>
          <w:sz w:val="20"/>
          <w:szCs w:val="20"/>
          <w:color w:val="auto"/>
        </w:rPr>
      </w:pPr>
      <w:r>
        <w:rPr>
          <w:rFonts w:ascii="Courier New" w:cs="Courier New" w:eastAsia="Courier New" w:hAnsi="Courier New"/>
          <w:sz w:val="14"/>
          <w:szCs w:val="14"/>
          <w:color w:val="auto"/>
        </w:rPr>
        <w:t>94</w:t>
      </w:r>
    </w:p>
    <w:p>
      <w:pPr>
        <w:spacing w:after="0" w:line="168" w:lineRule="exact"/>
        <w:rPr>
          <w:sz w:val="20"/>
          <w:szCs w:val="20"/>
          <w:color w:val="auto"/>
        </w:rPr>
      </w:pPr>
    </w:p>
    <w:p>
      <w:pPr>
        <w:ind w:left="773" w:right="3459"/>
        <w:spacing w:after="0" w:line="263" w:lineRule="auto"/>
        <w:rPr>
          <w:sz w:val="20"/>
          <w:szCs w:val="20"/>
          <w:color w:val="auto"/>
        </w:rPr>
      </w:pPr>
      <w:r>
        <w:rPr>
          <w:rFonts w:ascii="Courier New" w:cs="Courier New" w:eastAsia="Courier New" w:hAnsi="Courier New"/>
          <w:sz w:val="14"/>
          <w:szCs w:val="14"/>
          <w:color w:val="auto"/>
        </w:rPr>
        <w:t>Agreement between the Company and such individual, these shares were vested immediately upon the award of such shares. The value of those shares on the date of award was $38,320, based on the average of the high and low sales prices of the Company's Common Stock on the NYSE on March 3, 1999, $20.44. As of December 31, 1999, the closing market price of the Company's Common Stock on the NYSE was $5.06 per share, reducing the aggregate value of the shares awarded to $9,488. This individual also received a cash bonus of $75,000 in March 1999.</w:t>
      </w:r>
    </w:p>
    <w:p>
      <w:pPr>
        <w:spacing w:after="0" w:line="77" w:lineRule="exact"/>
        <w:rPr>
          <w:sz w:val="20"/>
          <w:szCs w:val="20"/>
          <w:color w:val="auto"/>
        </w:rPr>
      </w:pPr>
    </w:p>
    <w:p>
      <w:pPr>
        <w:ind w:left="773" w:right="3539" w:hanging="773"/>
        <w:spacing w:after="0" w:line="255" w:lineRule="auto"/>
        <w:tabs>
          <w:tab w:leader="none" w:pos="773"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individual was awarded 5,625 restricted shares of the Company's Common Stock on March 4, 1999 pursuant to the Company's 1997 Employee Share Incentive Plan. Pursuant to the terms of a Restricted Stock Agreement between the Company and the individual, such restricted shares were to vest ratably on each of the first three anniversaries of the date of such award. The value of these shares on the date of award was $114,961, based on the average of the high and low sales prices of the Company's Common Stock on the NYSE on March 3, 1999, $20.44. As of December 31, 1999, the closing market price of the Company's Common Stock on the NYSE was $5.06 per share, reducing the aggregate value of the shares awarded to such individual to $28,463. In connection with the individual's resignation from all positions with the Company on December 31, 1999, these shares were forfeited by such individual.</w:t>
      </w:r>
    </w:p>
    <w:p>
      <w:pPr>
        <w:spacing w:after="0" w:line="87" w:lineRule="exact"/>
        <w:rPr>
          <w:rFonts w:ascii="Courier New" w:cs="Courier New" w:eastAsia="Courier New" w:hAnsi="Courier New"/>
          <w:sz w:val="14"/>
          <w:szCs w:val="14"/>
          <w:color w:val="auto"/>
        </w:rPr>
      </w:pPr>
    </w:p>
    <w:p>
      <w:pPr>
        <w:ind w:left="773" w:right="3459" w:hanging="773"/>
        <w:spacing w:after="0" w:line="261" w:lineRule="auto"/>
        <w:tabs>
          <w:tab w:leader="none" w:pos="773"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Company's 1997 Employee Share Incentive Plan, these options to purchase shares of the Company's Common Stock vested in 25% increments over a three-year period, with the first such increment having vested on March 4, 1999, and were exercisable at a price of $19.94 per share, the closing marked price on the NYSE of the Company's Common Stock on March 4, 1999, the date of grant of these options. In connection with the individual's resignation from all positions with the Company on December 31, 1999, these options were forfeited by such individual.</w:t>
      </w:r>
    </w:p>
    <w:p>
      <w:pPr>
        <w:spacing w:after="0" w:line="78" w:lineRule="exact"/>
        <w:rPr>
          <w:rFonts w:ascii="Courier New" w:cs="Courier New" w:eastAsia="Courier New" w:hAnsi="Courier New"/>
          <w:sz w:val="14"/>
          <w:szCs w:val="14"/>
          <w:color w:val="auto"/>
        </w:rPr>
      </w:pPr>
    </w:p>
    <w:p>
      <w:pPr>
        <w:ind w:left="773" w:right="3459" w:hanging="773"/>
        <w:spacing w:after="0" w:line="263" w:lineRule="auto"/>
        <w:tabs>
          <w:tab w:leader="none" w:pos="773"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individual's resignation from all positions with the Company on December 31, 1999, the Company made a cash payment of $233,750 to the individual, which represented the outstanding amount of the Company's obligations under such individual's employment agreement with the Company. See "-- Employment and Severance Agreements." The Company also contributed $5,000 to the Prison Realty Trust, Inc. 401(k) Savings and Retirement Plan on the individual's behalf during the fiscal year ended December 31, 1999.</w:t>
      </w:r>
    </w:p>
    <w:p>
      <w:pPr>
        <w:spacing w:after="0" w:line="77" w:lineRule="exact"/>
        <w:rPr>
          <w:rFonts w:ascii="Courier New" w:cs="Courier New" w:eastAsia="Courier New" w:hAnsi="Courier New"/>
          <w:sz w:val="14"/>
          <w:szCs w:val="14"/>
          <w:color w:val="auto"/>
        </w:rPr>
      </w:pPr>
    </w:p>
    <w:p>
      <w:pPr>
        <w:ind w:left="773" w:right="3459" w:hanging="773"/>
        <w:spacing w:after="0" w:line="270" w:lineRule="auto"/>
        <w:tabs>
          <w:tab w:leader="none" w:pos="773"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individual was awarded 150,000 common shares of Old Prison Realty issued as a development fee and as reimbursement for actual costs incurred with the promotion and formation of Old Prison Realty, the consummation of Old Prison Realty's initial public offering of common shares and Old Prison Realty's purchase of nine correctional and detention facilities from Old CCA.</w:t>
      </w:r>
    </w:p>
    <w:p>
      <w:pPr>
        <w:spacing w:after="0" w:line="71" w:lineRule="exact"/>
        <w:rPr>
          <w:rFonts w:ascii="Courier New" w:cs="Courier New" w:eastAsia="Courier New" w:hAnsi="Courier New"/>
          <w:sz w:val="14"/>
          <w:szCs w:val="14"/>
          <w:color w:val="auto"/>
        </w:rPr>
      </w:pPr>
    </w:p>
    <w:p>
      <w:pPr>
        <w:ind w:left="773" w:right="3459" w:hanging="773"/>
        <w:spacing w:after="0" w:line="257" w:lineRule="auto"/>
        <w:tabs>
          <w:tab w:leader="none" w:pos="773"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but 25,000 of the options initially vested in 25% increments over a three-year period with the first increment having vested on July 15, 1997. The balance of the options initially vested in 25% increments over a three-year period with the first increment having vested on December 2, 1997. All of these options were granted under Old Prison Realty's 1997 Employee Share Incentive Plan. In connection with the 1999 Merger, the Company assumed all of the options outstanding under Old Prison Realty's 1997 Employee Share Incentive Plan, with all of such options being converted into options exercisable for shares of the Company's Common Stock, based on the exchange ratio in the 1999 Merger. All of these options were forfeited upon the individual's resignation from all positions with the Company on December 31, 1999.</w:t>
      </w:r>
    </w:p>
    <w:p>
      <w:pPr>
        <w:spacing w:after="0" w:line="245"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152"/>
          </w:cols>
          <w:pgMar w:left="307" w:top="257"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95</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OPTION/SAR GRANTS IN LAST FISCAL YEAR</w:t>
      </w:r>
    </w:p>
    <w:p>
      <w:pPr>
        <w:spacing w:after="0" w:line="168" w:lineRule="exact"/>
        <w:rPr>
          <w:sz w:val="20"/>
          <w:szCs w:val="20"/>
          <w:color w:val="auto"/>
        </w:rPr>
      </w:pPr>
    </w:p>
    <w:p>
      <w:pPr>
        <w:jc w:val="both"/>
        <w:ind w:right="1540" w:firstLine="763"/>
        <w:spacing w:after="0" w:line="306" w:lineRule="auto"/>
        <w:rPr>
          <w:sz w:val="20"/>
          <w:szCs w:val="20"/>
          <w:color w:val="auto"/>
        </w:rPr>
      </w:pPr>
      <w:r>
        <w:rPr>
          <w:rFonts w:ascii="Courier New" w:cs="Courier New" w:eastAsia="Courier New" w:hAnsi="Courier New"/>
          <w:sz w:val="14"/>
          <w:szCs w:val="14"/>
          <w:color w:val="auto"/>
        </w:rPr>
        <w:t>The following table sets forth the options granted with respect to the fiscal year ended December 31, 1999 to the Chief Executive Officer and each of the Company's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Individual Grants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56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Number of</w:t>
            </w:r>
          </w:p>
        </w:tc>
        <w:tc>
          <w:tcPr>
            <w:tcW w:w="224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Percentage of Total</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Securities</w:t>
            </w:r>
          </w:p>
        </w:tc>
        <w:tc>
          <w:tcPr>
            <w:tcW w:w="224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Underlying</w:t>
            </w:r>
          </w:p>
        </w:tc>
        <w:tc>
          <w:tcPr>
            <w:tcW w:w="2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Options Granted to</w:t>
            </w:r>
          </w:p>
        </w:tc>
        <w:tc>
          <w:tcPr>
            <w:tcW w:w="9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Exercise</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Expiration</w:t>
            </w:r>
          </w:p>
        </w:tc>
        <w:tc>
          <w:tcPr>
            <w:tcW w:w="0" w:type="dxa"/>
            <w:vAlign w:val="bottom"/>
          </w:tcPr>
          <w:p>
            <w:pPr>
              <w:spacing w:after="0"/>
              <w:rPr>
                <w:sz w:val="1"/>
                <w:szCs w:val="1"/>
                <w:color w:val="auto"/>
              </w:rPr>
            </w:pPr>
          </w:p>
        </w:tc>
      </w:tr>
      <w:tr>
        <w:trPr>
          <w:trHeight w:val="163"/>
        </w:trPr>
        <w:tc>
          <w:tcPr>
            <w:tcW w:w="264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360" w:type="dxa"/>
            <w:vAlign w:val="bottom"/>
          </w:tcPr>
          <w:p>
            <w:pPr>
              <w:ind w:left="340"/>
              <w:spacing w:after="0"/>
              <w:rPr>
                <w:sz w:val="20"/>
                <w:szCs w:val="20"/>
                <w:color w:val="auto"/>
              </w:rPr>
            </w:pPr>
            <w:r>
              <w:rPr>
                <w:rFonts w:ascii="Courier New" w:cs="Courier New" w:eastAsia="Courier New" w:hAnsi="Courier New"/>
                <w:sz w:val="14"/>
                <w:szCs w:val="14"/>
                <w:color w:val="auto"/>
              </w:rPr>
              <w:t>Options</w:t>
            </w:r>
          </w:p>
        </w:tc>
        <w:tc>
          <w:tcPr>
            <w:tcW w:w="2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Employees in Fiscal</w:t>
            </w:r>
          </w:p>
        </w:tc>
        <w:tc>
          <w:tcPr>
            <w:tcW w:w="9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vMerge w:val="continue"/>
          </w:tcPr>
          <w:p>
            <w:pPr>
              <w:spacing w:after="0"/>
              <w:rPr>
                <w:sz w:val="14"/>
                <w:szCs w:val="14"/>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Granted(#)</w:t>
            </w:r>
          </w:p>
        </w:tc>
        <w:tc>
          <w:tcPr>
            <w:tcW w:w="224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Year(2)</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Price(3)</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Date</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9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2640" w:type="dxa"/>
            <w:vAlign w:val="bottom"/>
          </w:tcPr>
          <w:p>
            <w:pPr>
              <w:spacing w:after="0"/>
              <w:rPr>
                <w:sz w:val="20"/>
                <w:szCs w:val="20"/>
                <w:color w:val="auto"/>
              </w:rPr>
            </w:pPr>
            <w:r>
              <w:rPr>
                <w:rFonts w:ascii="Courier New" w:cs="Courier New" w:eastAsia="Courier New" w:hAnsi="Courier New"/>
                <w:sz w:val="14"/>
                <w:szCs w:val="14"/>
                <w:color w:val="auto"/>
              </w:rPr>
              <w:t>Doctor R. Crants.............</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113,750(4)</w:t>
            </w:r>
          </w:p>
        </w:tc>
        <w:tc>
          <w:tcPr>
            <w:tcW w:w="224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35.8%</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$ 19.94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03/04/09</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J. Michael Quinlan...........</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10,000(5)</w:t>
            </w:r>
          </w:p>
        </w:tc>
        <w:tc>
          <w:tcPr>
            <w:tcW w:w="224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3.1%</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$ 19.94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03/04/09</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Vida H. Carroll..............</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26,250(4)</w:t>
            </w:r>
          </w:p>
        </w:tc>
        <w:tc>
          <w:tcPr>
            <w:tcW w:w="224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8.3%</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$ 19.94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03/04/09</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D. Robert Crants, III........</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52,500(6)</w:t>
            </w:r>
          </w:p>
        </w:tc>
        <w:tc>
          <w:tcPr>
            <w:tcW w:w="224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16.5%</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$ 19.94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03/04/09</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r>
              <w:rPr>
                <w:rFonts w:ascii="Courier New" w:cs="Courier New" w:eastAsia="Courier New" w:hAnsi="Courier New"/>
                <w:sz w:val="14"/>
                <w:szCs w:val="14"/>
                <w:color w:val="auto"/>
              </w:rPr>
              <w:t>Michael W. Devlin............</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52,500(6)</w:t>
            </w:r>
          </w:p>
        </w:tc>
        <w:tc>
          <w:tcPr>
            <w:tcW w:w="224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16.5%</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$ 19.94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03/04/09</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780" w:right="1620" w:hanging="773"/>
        <w:spacing w:after="0" w:line="256"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amounts under these columns are the result of calculations at the 5% and 10% rates set by the Commission and therefore are not intended to forecast future appreciation, if any, of the price of the Company's Common Stock.</w:t>
      </w:r>
    </w:p>
    <w:p>
      <w:pPr>
        <w:spacing w:after="0" w:line="1" w:lineRule="exact"/>
        <w:rPr>
          <w:rFonts w:ascii="Courier New" w:cs="Courier New" w:eastAsia="Courier New" w:hAnsi="Courier New"/>
          <w:sz w:val="14"/>
          <w:szCs w:val="14"/>
          <w:color w:val="auto"/>
        </w:rPr>
      </w:pPr>
    </w:p>
    <w:p>
      <w:pPr>
        <w:ind w:left="780" w:right="1540" w:hanging="773"/>
        <w:spacing w:after="0" w:line="246"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 of total stock options granted to the Chief Executive Officer and each Named Executive Officer is based on the total number of options to purchase the Company's Common Stock granted during 1999, which amounted to options to purchase 317,500 shares.</w:t>
      </w:r>
    </w:p>
    <w:p>
      <w:pPr>
        <w:spacing w:after="0" w:line="2" w:lineRule="exact"/>
        <w:rPr>
          <w:rFonts w:ascii="Courier New" w:cs="Courier New" w:eastAsia="Courier New" w:hAnsi="Courier New"/>
          <w:sz w:val="14"/>
          <w:szCs w:val="14"/>
          <w:color w:val="auto"/>
        </w:rPr>
      </w:pPr>
    </w:p>
    <w:p>
      <w:pPr>
        <w:ind w:left="780" w:right="1540" w:hanging="773"/>
        <w:spacing w:after="0" w:line="246"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options to purchase the Company's Common Stock granted to Named Executive Officers in 1999 have exercise prices equal to the fair market value (closing price per share of the Company's Common Stock on the NYSE) on the date of grant, March 4, 1999.</w:t>
      </w:r>
    </w:p>
    <w:p>
      <w:pPr>
        <w:spacing w:after="0" w:line="2" w:lineRule="exact"/>
        <w:rPr>
          <w:rFonts w:ascii="Courier New" w:cs="Courier New" w:eastAsia="Courier New" w:hAnsi="Courier New"/>
          <w:sz w:val="14"/>
          <w:szCs w:val="14"/>
          <w:color w:val="auto"/>
        </w:rPr>
      </w:pPr>
    </w:p>
    <w:p>
      <w:pPr>
        <w:ind w:left="780" w:right="1540" w:hanging="773"/>
        <w:spacing w:after="0" w:line="246"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 of the options vested on March 4, 1999, the date of grant, and the remainder of the options will vest in equal 25% installments on each of the first three anniversaries of the date of grant.</w:t>
      </w:r>
    </w:p>
    <w:p>
      <w:pPr>
        <w:spacing w:after="0" w:line="1" w:lineRule="exact"/>
        <w:rPr>
          <w:rFonts w:ascii="Courier New" w:cs="Courier New" w:eastAsia="Courier New" w:hAnsi="Courier New"/>
          <w:sz w:val="14"/>
          <w:szCs w:val="14"/>
          <w:color w:val="auto"/>
        </w:rPr>
      </w:pPr>
    </w:p>
    <w:p>
      <w:pPr>
        <w:ind w:left="780" w:right="1540" w:hanging="773"/>
        <w:spacing w:after="0" w:line="246"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Mr. Quinlan's resignation from all positions with the Company on June 28, 1999, all of these options became fully vested upon action by the Company's board of directors.</w:t>
      </w:r>
    </w:p>
    <w:p>
      <w:pPr>
        <w:spacing w:after="0" w:line="1" w:lineRule="exact"/>
        <w:rPr>
          <w:rFonts w:ascii="Courier New" w:cs="Courier New" w:eastAsia="Courier New" w:hAnsi="Courier New"/>
          <w:sz w:val="14"/>
          <w:szCs w:val="14"/>
          <w:color w:val="auto"/>
        </w:rPr>
      </w:pPr>
    </w:p>
    <w:p>
      <w:pPr>
        <w:ind w:left="780" w:right="1700" w:hanging="773"/>
        <w:spacing w:after="0" w:line="246"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which were terminated in connection with the resignation of each of D. Robert Crants, III and Michael W. Devlin from all positions with the Company on December 31, 1999, initially were subject to the following vesting schedule: 25% of the options vested on March 4, 1999, the date of grant, and the remainder of the options were to vest in equal 25% installments on each of the first three anniversaries of the date of grant.</w:t>
      </w:r>
    </w:p>
    <w:p>
      <w:pPr>
        <w:spacing w:after="0" w:line="3" w:lineRule="exact"/>
        <w:rPr>
          <w:rFonts w:ascii="Courier New" w:cs="Courier New" w:eastAsia="Courier New" w:hAnsi="Courier New"/>
          <w:sz w:val="14"/>
          <w:szCs w:val="14"/>
          <w:color w:val="auto"/>
        </w:rPr>
      </w:pPr>
    </w:p>
    <w:p>
      <w:pPr>
        <w:ind w:left="780" w:right="1540" w:hanging="773"/>
        <w:spacing w:after="0" w:line="266"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options held by each of D. Robert Crants, III and Michael W. Devlin terminated upon the resignation of Messrs. Crants, III and Devlin from all positions with the Company on December 31, 1999. For a more complete description of their severance agreements, see "--Employment and Severance Agreements"</w:t>
      </w:r>
    </w:p>
    <w:p>
      <w:pPr>
        <w:spacing w:after="0" w:line="23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80"/>
        <w:spacing w:after="0" w:line="259" w:lineRule="auto"/>
        <w:rPr>
          <w:sz w:val="20"/>
          <w:szCs w:val="20"/>
          <w:color w:val="auto"/>
        </w:rPr>
      </w:pPr>
      <w:r>
        <w:rPr>
          <w:rFonts w:ascii="Courier New" w:cs="Courier New" w:eastAsia="Courier New" w:hAnsi="Courier New"/>
          <w:sz w:val="14"/>
          <w:szCs w:val="14"/>
          <w:color w:val="auto"/>
        </w:rPr>
        <w:t>Potential Realizable Value at Assumed Rates of Stock Price Appreciation</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for Option Term(1)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w:t>
            </w:r>
          </w:p>
        </w:tc>
      </w:tr>
      <w:tr>
        <w:trPr>
          <w:trHeight w:val="238"/>
        </w:trPr>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252"/>
        </w:trPr>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$1,428,950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$3,606,398</w:t>
            </w:r>
          </w:p>
        </w:tc>
      </w:tr>
      <w:tr>
        <w:trPr>
          <w:trHeight w:val="163"/>
        </w:trPr>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125,622</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317,046</w:t>
            </w:r>
          </w:p>
        </w:tc>
      </w:tr>
      <w:tr>
        <w:trPr>
          <w:trHeight w:val="163"/>
        </w:trPr>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329,758</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832,245</w:t>
            </w:r>
          </w:p>
        </w:tc>
      </w:tr>
      <w:tr>
        <w:trPr>
          <w:trHeight w:val="163"/>
        </w:trPr>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238"/>
        </w:trPr>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bl>
    <w:p>
      <w:pPr>
        <w:sectPr>
          <w:pgSz w:w="11900" w:h="16838" w:orient="portrait"/>
          <w:cols w:equalWidth="0" w:num="2">
            <w:col w:w="8240" w:space="500"/>
            <w:col w:w="2380"/>
          </w:cols>
          <w:pgMar w:left="300" w:top="257" w:right="479"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96</w:t>
      </w:r>
    </w:p>
    <w:p>
      <w:pPr>
        <w:spacing w:after="0" w:line="331" w:lineRule="exact"/>
        <w:rPr>
          <w:sz w:val="20"/>
          <w:szCs w:val="20"/>
          <w:color w:val="auto"/>
        </w:rPr>
      </w:pPr>
    </w:p>
    <w:p>
      <w:pPr>
        <w:ind w:right="1100"/>
        <w:spacing w:after="0" w:line="366" w:lineRule="auto"/>
        <w:rPr>
          <w:sz w:val="20"/>
          <w:szCs w:val="20"/>
          <w:color w:val="auto"/>
        </w:rPr>
      </w:pPr>
      <w:r>
        <w:rPr>
          <w:rFonts w:ascii="Courier New" w:cs="Courier New" w:eastAsia="Courier New" w:hAnsi="Courier New"/>
          <w:sz w:val="14"/>
          <w:szCs w:val="14"/>
          <w:color w:val="auto"/>
        </w:rPr>
        <w:t>AGGREGATED OPTION/SAR EXERCISES IN THE LAST FISCAL YEAR AND FISCAL YEAR-END OPTION/SAR VALUES</w:t>
      </w:r>
    </w:p>
    <w:p>
      <w:pPr>
        <w:spacing w:after="0" w:line="6" w:lineRule="exact"/>
        <w:rPr>
          <w:sz w:val="20"/>
          <w:szCs w:val="20"/>
          <w:color w:val="auto"/>
        </w:rPr>
      </w:pPr>
    </w:p>
    <w:p>
      <w:pPr>
        <w:ind w:right="760" w:firstLine="763"/>
        <w:spacing w:after="0" w:line="306" w:lineRule="auto"/>
        <w:rPr>
          <w:sz w:val="20"/>
          <w:szCs w:val="20"/>
          <w:color w:val="auto"/>
        </w:rPr>
      </w:pPr>
      <w:r>
        <w:rPr>
          <w:rFonts w:ascii="Courier New" w:cs="Courier New" w:eastAsia="Courier New" w:hAnsi="Courier New"/>
          <w:sz w:val="14"/>
          <w:szCs w:val="14"/>
          <w:color w:val="auto"/>
        </w:rPr>
        <w:t>The following table sets forth information with respect to the value of unexercised options to purchase the Company's Common Stock held by the Named Executive Officers on December 31, 1999.</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22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NAME</w:t>
            </w:r>
          </w:p>
        </w:tc>
        <w:tc>
          <w:tcPr>
            <w:tcW w:w="1640" w:type="dxa"/>
            <w:vAlign w:val="bottom"/>
          </w:tcPr>
          <w:p>
            <w:pPr>
              <w:spacing w:after="0"/>
              <w:rPr>
                <w:sz w:val="14"/>
                <w:szCs w:val="14"/>
                <w:color w:val="auto"/>
              </w:rPr>
            </w:pPr>
          </w:p>
        </w:tc>
        <w:tc>
          <w:tcPr>
            <w:tcW w:w="120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VALUE</w:t>
            </w:r>
          </w:p>
        </w:tc>
        <w:tc>
          <w:tcPr>
            <w:tcW w:w="2400" w:type="dxa"/>
            <w:vAlign w:val="bottom"/>
            <w:gridSpan w:val="2"/>
          </w:tcPr>
          <w:p>
            <w:pPr>
              <w:jc w:val="right"/>
              <w:ind w:right="249"/>
              <w:spacing w:after="0"/>
              <w:rPr>
                <w:sz w:val="20"/>
                <w:szCs w:val="20"/>
                <w:color w:val="auto"/>
              </w:rPr>
            </w:pPr>
            <w:r>
              <w:rPr>
                <w:rFonts w:ascii="Courier New" w:cs="Courier New" w:eastAsia="Courier New" w:hAnsi="Courier New"/>
                <w:sz w:val="14"/>
                <w:szCs w:val="14"/>
                <w:color w:val="auto"/>
              </w:rPr>
              <w:t>NUMBER OF SECURITIES</w:t>
            </w:r>
          </w:p>
        </w:tc>
        <w:tc>
          <w:tcPr>
            <w:tcW w:w="0" w:type="dxa"/>
            <w:vAlign w:val="bottom"/>
          </w:tcPr>
          <w:p>
            <w:pPr>
              <w:spacing w:after="0"/>
              <w:rPr>
                <w:sz w:val="1"/>
                <w:szCs w:val="1"/>
                <w:color w:val="auto"/>
              </w:rPr>
            </w:pPr>
          </w:p>
        </w:tc>
      </w:tr>
      <w:tr>
        <w:trPr>
          <w:trHeight w:val="163"/>
        </w:trPr>
        <w:tc>
          <w:tcPr>
            <w:tcW w:w="2220" w:type="dxa"/>
            <w:vAlign w:val="bottom"/>
            <w:vMerge w:val="continue"/>
          </w:tcPr>
          <w:p>
            <w:pPr>
              <w:spacing w:after="0"/>
              <w:rPr>
                <w:sz w:val="14"/>
                <w:szCs w:val="14"/>
                <w:color w:val="auto"/>
              </w:rPr>
            </w:pPr>
          </w:p>
        </w:tc>
        <w:tc>
          <w:tcPr>
            <w:tcW w:w="16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SHARES ACQUIRED</w:t>
            </w:r>
          </w:p>
        </w:tc>
        <w:tc>
          <w:tcPr>
            <w:tcW w:w="1200" w:type="dxa"/>
            <w:vAlign w:val="bottom"/>
            <w:vMerge w:val="continue"/>
          </w:tcPr>
          <w:p>
            <w:pPr>
              <w:spacing w:after="0"/>
              <w:rPr>
                <w:sz w:val="14"/>
                <w:szCs w:val="14"/>
                <w:color w:val="auto"/>
              </w:rPr>
            </w:pPr>
          </w:p>
        </w:tc>
        <w:tc>
          <w:tcPr>
            <w:tcW w:w="24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UNDERLYING UNEXERCISED</w:t>
            </w:r>
          </w:p>
        </w:tc>
        <w:tc>
          <w:tcPr>
            <w:tcW w:w="0" w:type="dxa"/>
            <w:vAlign w:val="bottom"/>
          </w:tcPr>
          <w:p>
            <w:pPr>
              <w:spacing w:after="0"/>
              <w:rPr>
                <w:sz w:val="1"/>
                <w:szCs w:val="1"/>
                <w:color w:val="auto"/>
              </w:rPr>
            </w:pPr>
          </w:p>
        </w:tc>
      </w:tr>
      <w:tr>
        <w:trPr>
          <w:trHeight w:val="163"/>
        </w:trPr>
        <w:tc>
          <w:tcPr>
            <w:tcW w:w="22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40" w:type="dxa"/>
            <w:vAlign w:val="bottom"/>
            <w:vMerge w:val="continue"/>
          </w:tcPr>
          <w:p>
            <w:pPr>
              <w:spacing w:after="0"/>
              <w:rPr>
                <w:sz w:val="14"/>
                <w:szCs w:val="14"/>
                <w:color w:val="auto"/>
              </w:rPr>
            </w:pP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OPTIONS HELD AT</w:t>
            </w:r>
          </w:p>
        </w:tc>
        <w:tc>
          <w:tcPr>
            <w:tcW w:w="0" w:type="dxa"/>
            <w:vAlign w:val="bottom"/>
          </w:tcPr>
          <w:p>
            <w:pPr>
              <w:spacing w:after="0"/>
              <w:rPr>
                <w:sz w:val="1"/>
                <w:szCs w:val="1"/>
                <w:color w:val="auto"/>
              </w:rPr>
            </w:pPr>
          </w:p>
        </w:tc>
      </w:tr>
      <w:tr>
        <w:trPr>
          <w:trHeight w:val="163"/>
        </w:trPr>
        <w:tc>
          <w:tcPr>
            <w:tcW w:w="2220" w:type="dxa"/>
            <w:vAlign w:val="bottom"/>
          </w:tcPr>
          <w:p>
            <w:pPr>
              <w:spacing w:after="0"/>
              <w:rPr>
                <w:sz w:val="14"/>
                <w:szCs w:val="14"/>
                <w:color w:val="auto"/>
              </w:rPr>
            </w:pPr>
          </w:p>
        </w:tc>
        <w:tc>
          <w:tcPr>
            <w:tcW w:w="1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ON EXERCISE (#)</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REALIZED(1)</w:t>
            </w:r>
          </w:p>
        </w:tc>
        <w:tc>
          <w:tcPr>
            <w:tcW w:w="240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DECEMBER 31, 1999</w:t>
            </w:r>
          </w:p>
        </w:tc>
        <w:tc>
          <w:tcPr>
            <w:tcW w:w="0" w:type="dxa"/>
            <w:vAlign w:val="bottom"/>
          </w:tcPr>
          <w:p>
            <w:pPr>
              <w:spacing w:after="0"/>
              <w:rPr>
                <w:sz w:val="1"/>
                <w:szCs w:val="1"/>
                <w:color w:val="auto"/>
              </w:rPr>
            </w:pPr>
          </w:p>
        </w:tc>
      </w:tr>
      <w:tr>
        <w:trPr>
          <w:trHeight w:val="163"/>
        </w:trPr>
        <w:tc>
          <w:tcPr>
            <w:tcW w:w="2220" w:type="dxa"/>
            <w:vAlign w:val="bottom"/>
          </w:tcPr>
          <w:p>
            <w:pPr>
              <w:spacing w:after="0"/>
              <w:rPr>
                <w:sz w:val="14"/>
                <w:szCs w:val="14"/>
                <w:color w:val="auto"/>
              </w:rPr>
            </w:pPr>
          </w:p>
        </w:tc>
        <w:tc>
          <w:tcPr>
            <w:tcW w:w="1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EXERCISABLE</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UNEXERCISABLE</w:t>
            </w: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2220" w:type="dxa"/>
            <w:vAlign w:val="bottom"/>
          </w:tcPr>
          <w:p>
            <w:pPr>
              <w:spacing w:after="0"/>
              <w:rPr>
                <w:sz w:val="20"/>
                <w:szCs w:val="20"/>
                <w:color w:val="auto"/>
              </w:rPr>
            </w:pPr>
            <w:r>
              <w:rPr>
                <w:rFonts w:ascii="Courier New" w:cs="Courier New" w:eastAsia="Courier New" w:hAnsi="Courier New"/>
                <w:sz w:val="14"/>
                <w:szCs w:val="14"/>
                <w:color w:val="auto"/>
              </w:rPr>
              <w:t>Doctor R. Crants</w:t>
            </w:r>
          </w:p>
        </w:tc>
        <w:tc>
          <w:tcPr>
            <w:tcW w:w="16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52,500</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$435,908</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296,563</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135,313</w:t>
            </w:r>
          </w:p>
        </w:tc>
        <w:tc>
          <w:tcPr>
            <w:tcW w:w="0" w:type="dxa"/>
            <w:vAlign w:val="bottom"/>
          </w:tcPr>
          <w:p>
            <w:pPr>
              <w:spacing w:after="0"/>
              <w:rPr>
                <w:sz w:val="1"/>
                <w:szCs w:val="1"/>
                <w:color w:val="auto"/>
              </w:rPr>
            </w:pP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J. Michael Quinlan(3)</w:t>
            </w:r>
          </w:p>
        </w:tc>
        <w:tc>
          <w:tcPr>
            <w:tcW w:w="16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393,750</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Vida H. Carroll</w:t>
            </w:r>
          </w:p>
        </w:tc>
        <w:tc>
          <w:tcPr>
            <w:tcW w:w="16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55,312</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35,938</w:t>
            </w:r>
          </w:p>
        </w:tc>
        <w:tc>
          <w:tcPr>
            <w:tcW w:w="0" w:type="dxa"/>
            <w:vAlign w:val="bottom"/>
          </w:tcPr>
          <w:p>
            <w:pPr>
              <w:spacing w:after="0"/>
              <w:rPr>
                <w:sz w:val="1"/>
                <w:szCs w:val="1"/>
                <w:color w:val="auto"/>
              </w:rPr>
            </w:pP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D. Robert Crants, III(4)</w:t>
            </w:r>
          </w:p>
        </w:tc>
        <w:tc>
          <w:tcPr>
            <w:tcW w:w="16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r>
              <w:rPr>
                <w:rFonts w:ascii="Courier New" w:cs="Courier New" w:eastAsia="Courier New" w:hAnsi="Courier New"/>
                <w:sz w:val="14"/>
                <w:szCs w:val="14"/>
                <w:color w:val="auto"/>
              </w:rPr>
              <w:t>Michael W. Devlin(5)</w:t>
            </w:r>
          </w:p>
        </w:tc>
        <w:tc>
          <w:tcPr>
            <w:tcW w:w="16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0" w:lineRule="exact"/>
        <w:rPr>
          <w:sz w:val="20"/>
          <w:szCs w:val="20"/>
          <w:color w:val="auto"/>
        </w:rPr>
      </w:pPr>
    </w:p>
    <w:p>
      <w:pPr>
        <w:ind w:left="780" w:right="840" w:hanging="773"/>
        <w:spacing w:after="0" w:line="246" w:lineRule="auto"/>
        <w:tabs>
          <w:tab w:leader="none" w:pos="7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market value of the underlying shares of the Company's Common Stock on the date of exercise, less the applicable exercise price.</w:t>
      </w:r>
    </w:p>
    <w:p>
      <w:pPr>
        <w:spacing w:after="0" w:line="1" w:lineRule="exact"/>
        <w:rPr>
          <w:rFonts w:ascii="Courier New" w:cs="Courier New" w:eastAsia="Courier New" w:hAnsi="Courier New"/>
          <w:sz w:val="14"/>
          <w:szCs w:val="14"/>
          <w:color w:val="auto"/>
        </w:rPr>
      </w:pPr>
    </w:p>
    <w:p>
      <w:pPr>
        <w:ind w:left="780" w:right="1000" w:hanging="773"/>
        <w:spacing w:after="0" w:line="246" w:lineRule="auto"/>
        <w:tabs>
          <w:tab w:leader="none" w:pos="7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1999 (the last trading date in 1999) the market price of the Company's Common Stock (the closing price per share of Common Stock on the NYSE) was $5.06 per share. As a result, none of the unexercised options to purchase the Company's Common Stock were in-the-money at December 31, 1999.</w:t>
      </w:r>
    </w:p>
    <w:p>
      <w:pPr>
        <w:spacing w:after="0" w:line="2" w:lineRule="exact"/>
        <w:rPr>
          <w:rFonts w:ascii="Courier New" w:cs="Courier New" w:eastAsia="Courier New" w:hAnsi="Courier New"/>
          <w:sz w:val="14"/>
          <w:szCs w:val="14"/>
          <w:color w:val="auto"/>
        </w:rPr>
      </w:pPr>
    </w:p>
    <w:p>
      <w:pPr>
        <w:ind w:left="780" w:right="760" w:hanging="773"/>
        <w:spacing w:after="0" w:line="246" w:lineRule="auto"/>
        <w:tabs>
          <w:tab w:leader="none" w:pos="7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Mr. Quinlan's resignation from all positions with the Company on June 28, 1999, the Compensation Committee of the board of directors of the Company accelerated the date of exercise of all of Mr. Quinlan's outstanding options to purchase shares of the Company's Common Stock. Mr. Quinlan was later appointed President of the Company, effective upon the resignation of D. Robert Crants, III.</w:t>
      </w:r>
    </w:p>
    <w:p>
      <w:pPr>
        <w:spacing w:after="0" w:line="3" w:lineRule="exact"/>
        <w:rPr>
          <w:rFonts w:ascii="Courier New" w:cs="Courier New" w:eastAsia="Courier New" w:hAnsi="Courier New"/>
          <w:sz w:val="14"/>
          <w:szCs w:val="14"/>
          <w:color w:val="auto"/>
        </w:rPr>
      </w:pPr>
    </w:p>
    <w:p>
      <w:pPr>
        <w:ind w:left="780" w:right="760" w:hanging="773"/>
        <w:spacing w:after="0" w:line="246" w:lineRule="auto"/>
        <w:tabs>
          <w:tab w:leader="none" w:pos="7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resignation of D. Robert Crants, III, all of his outstanding options to purchase the Company's Common Stock were terminated. For a more complete description of the severance agreement entered into in connection with this resignation, see "--Employment and Severance Agreements."</w:t>
      </w:r>
    </w:p>
    <w:p>
      <w:pPr>
        <w:spacing w:after="0" w:line="2" w:lineRule="exact"/>
        <w:rPr>
          <w:rFonts w:ascii="Courier New" w:cs="Courier New" w:eastAsia="Courier New" w:hAnsi="Courier New"/>
          <w:sz w:val="14"/>
          <w:szCs w:val="14"/>
          <w:color w:val="auto"/>
        </w:rPr>
      </w:pPr>
    </w:p>
    <w:p>
      <w:pPr>
        <w:ind w:left="780" w:right="760" w:hanging="773"/>
        <w:spacing w:after="0" w:line="266" w:lineRule="auto"/>
        <w:tabs>
          <w:tab w:leader="none" w:pos="7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resignation of Michael W. Devlin, all of his outstanding options to purchase the Company's Common Stock were terminated. For a more complete description of the severance agreement entered into in connection with this resignation, see "--Employment and Severance Agreements."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AND SEVERANCE AGREEMENTS</w:t>
      </w:r>
    </w:p>
    <w:p>
      <w:pPr>
        <w:spacing w:after="0" w:line="168" w:lineRule="exact"/>
        <w:rPr>
          <w:sz w:val="20"/>
          <w:szCs w:val="20"/>
          <w:color w:val="auto"/>
        </w:rPr>
      </w:pPr>
    </w:p>
    <w:p>
      <w:pPr>
        <w:ind w:right="760" w:firstLine="763"/>
        <w:spacing w:after="0" w:line="255" w:lineRule="auto"/>
        <w:rPr>
          <w:sz w:val="20"/>
          <w:szCs w:val="20"/>
          <w:color w:val="auto"/>
        </w:rPr>
      </w:pPr>
      <w:r>
        <w:rPr>
          <w:rFonts w:ascii="Courier New" w:cs="Courier New" w:eastAsia="Courier New" w:hAnsi="Courier New"/>
          <w:sz w:val="14"/>
          <w:szCs w:val="14"/>
          <w:color w:val="auto"/>
        </w:rPr>
        <w:t>On January 1, 1999, the Company entered into an employment agreement with Doctor R. Crants which provided for a term of three years with an additional three year renewal option. The agreement provided for annual compensation and incentive compensation as determined by the Company's Compensation Committee and also provided for certain non-cash benefits such as life and health insurance. Doctor R. Crants has since resigned from his position as Chairman of the Company board and, following the successful completion of the Restructuring, Mr. Crants will resign as the Chief Executive Officer of the Company. In connection with such resignation, Doctor R. Crants will receive a severance payment and/or benefits in an amount as yet to be determined by the Company's board. Mr. Crants will continue to serve as the Vice-Chairman of the Company. The provisions of Doctor R. Crants' employment agreement prohibit him from competing with the Company for a period of one year after termination of his employment.</w:t>
      </w:r>
    </w:p>
    <w:p>
      <w:pPr>
        <w:spacing w:after="0" w:line="87" w:lineRule="exact"/>
        <w:rPr>
          <w:sz w:val="20"/>
          <w:szCs w:val="20"/>
          <w:color w:val="auto"/>
        </w:rPr>
      </w:pPr>
    </w:p>
    <w:p>
      <w:pPr>
        <w:ind w:right="760" w:firstLine="763"/>
        <w:spacing w:after="0" w:line="266" w:lineRule="auto"/>
        <w:rPr>
          <w:sz w:val="20"/>
          <w:szCs w:val="20"/>
          <w:color w:val="auto"/>
        </w:rPr>
      </w:pPr>
      <w:r>
        <w:rPr>
          <w:rFonts w:ascii="Courier New" w:cs="Courier New" w:eastAsia="Courier New" w:hAnsi="Courier New"/>
          <w:sz w:val="14"/>
          <w:szCs w:val="14"/>
          <w:color w:val="auto"/>
        </w:rPr>
        <w:t>Vida H. Carroll has resigned from her positions as Chief Financial Officer, Secretary and Treasurer of the Company, effective as of June 30, 2000. In connection with Ms. Carroll's resignation, Ms. Carroll received an advance severance payment of $37,500. Upon Ms. Carroll's resignation, Ms. Carroll will forfeit all of her outstanding options to purchase the Company's Common Stock and all unvested restricted shares of the Company's Common Stock previously awarded to Ms. Carroll.</w:t>
      </w:r>
    </w:p>
    <w:p>
      <w:pPr>
        <w:spacing w:after="0" w:line="74" w:lineRule="exact"/>
        <w:rPr>
          <w:sz w:val="20"/>
          <w:szCs w:val="20"/>
          <w:color w:val="auto"/>
        </w:rPr>
      </w:pPr>
    </w:p>
    <w:p>
      <w:pPr>
        <w:jc w:val="both"/>
        <w:ind w:right="920" w:firstLine="763"/>
        <w:spacing w:after="0" w:line="286" w:lineRule="auto"/>
        <w:rPr>
          <w:sz w:val="20"/>
          <w:szCs w:val="20"/>
          <w:color w:val="auto"/>
        </w:rPr>
      </w:pPr>
      <w:r>
        <w:rPr>
          <w:rFonts w:ascii="Courier New" w:cs="Courier New" w:eastAsia="Courier New" w:hAnsi="Courier New"/>
          <w:sz w:val="14"/>
          <w:szCs w:val="14"/>
          <w:color w:val="auto"/>
        </w:rPr>
        <w:t>In connection with the resignation of D. Robert Crants, III from his position as President of the Company and as a member of the Company's board, and the resignation of Michael W. Devlin from his position as Chief Operating Officer of the</w:t>
      </w:r>
    </w:p>
    <w:p>
      <w:pPr>
        <w:spacing w:after="0" w:line="22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760" w:type="dxa"/>
            <w:vAlign w:val="bottom"/>
          </w:tcPr>
          <w:p>
            <w:pPr>
              <w:spacing w:after="0"/>
              <w:rPr>
                <w:sz w:val="20"/>
                <w:szCs w:val="20"/>
                <w:color w:val="auto"/>
              </w:rPr>
            </w:pPr>
            <w:r>
              <w:rPr>
                <w:rFonts w:ascii="Courier New" w:cs="Courier New" w:eastAsia="Courier New" w:hAnsi="Courier New"/>
                <w:sz w:val="14"/>
                <w:szCs w:val="14"/>
                <w:color w:val="auto"/>
              </w:rPr>
              <w:t>VALUE OF</w:t>
            </w: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UNEXERCISED IN-THE-MONEY</w:t>
            </w:r>
          </w:p>
        </w:tc>
      </w:tr>
      <w:tr>
        <w:trPr>
          <w:trHeight w:val="163"/>
        </w:trPr>
        <w:tc>
          <w:tcPr>
            <w:tcW w:w="280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OPTIONS AT DECEMBER 31, 1999(2)</w:t>
            </w:r>
          </w:p>
        </w:tc>
      </w:tr>
      <w:tr>
        <w:trPr>
          <w:trHeight w:val="163"/>
        </w:trPr>
        <w:tc>
          <w:tcPr>
            <w:tcW w:w="280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EXERCISABLE</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UNEXERCISABLE</w:t>
            </w:r>
          </w:p>
        </w:tc>
      </w:tr>
      <w:tr>
        <w:trPr>
          <w:trHeight w:val="238"/>
        </w:trPr>
        <w:tc>
          <w:tcPr>
            <w:tcW w:w="1400" w:type="dxa"/>
            <w:vAlign w:val="bottom"/>
            <w:gridSpan w:val="2"/>
          </w:tcPr>
          <w:p>
            <w:pPr>
              <w:jc w:val="center"/>
              <w:ind w:right="49"/>
              <w:spacing w:after="0"/>
              <w:rPr>
                <w:sz w:val="20"/>
                <w:szCs w:val="20"/>
                <w:color w:val="auto"/>
              </w:rPr>
            </w:pPr>
            <w:r>
              <w:rPr>
                <w:rFonts w:ascii="Courier New" w:cs="Courier New" w:eastAsia="Courier New" w:hAnsi="Courier New"/>
                <w:sz w:val="14"/>
                <w:szCs w:val="14"/>
                <w:color w:val="auto"/>
                <w:w w:val="99"/>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2"/>
        </w:trPr>
        <w:tc>
          <w:tcPr>
            <w:tcW w:w="760" w:type="dxa"/>
            <w:vAlign w:val="bottom"/>
          </w:tcPr>
          <w:p>
            <w:pPr>
              <w:jc w:val="center"/>
              <w:ind w:left="449"/>
              <w:spacing w:after="0"/>
              <w:rPr>
                <w:sz w:val="20"/>
                <w:szCs w:val="20"/>
                <w:color w:val="auto"/>
              </w:rPr>
            </w:pPr>
            <w:r>
              <w:rPr>
                <w:rFonts w:ascii="Courier New" w:cs="Courier New" w:eastAsia="Courier New" w:hAnsi="Courier New"/>
                <w:sz w:val="14"/>
                <w:szCs w:val="14"/>
                <w:color w:val="auto"/>
                <w:w w:val="94"/>
              </w:rPr>
              <w:t>0</w:t>
            </w:r>
          </w:p>
        </w:tc>
        <w:tc>
          <w:tcPr>
            <w:tcW w:w="640" w:type="dxa"/>
            <w:vAlign w:val="bottom"/>
          </w:tcPr>
          <w:p>
            <w:pPr>
              <w:spacing w:after="0"/>
              <w:rPr>
                <w:sz w:val="21"/>
                <w:szCs w:val="21"/>
                <w:color w:val="auto"/>
              </w:rPr>
            </w:pP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0</w:t>
            </w:r>
          </w:p>
        </w:tc>
      </w:tr>
      <w:tr>
        <w:trPr>
          <w:trHeight w:val="163"/>
        </w:trPr>
        <w:tc>
          <w:tcPr>
            <w:tcW w:w="760" w:type="dxa"/>
            <w:vAlign w:val="bottom"/>
          </w:tcPr>
          <w:p>
            <w:pPr>
              <w:jc w:val="center"/>
              <w:ind w:left="449"/>
              <w:spacing w:after="0"/>
              <w:rPr>
                <w:sz w:val="20"/>
                <w:szCs w:val="20"/>
                <w:color w:val="auto"/>
              </w:rPr>
            </w:pPr>
            <w:r>
              <w:rPr>
                <w:rFonts w:ascii="Courier New" w:cs="Courier New" w:eastAsia="Courier New" w:hAnsi="Courier New"/>
                <w:sz w:val="14"/>
                <w:szCs w:val="14"/>
                <w:color w:val="auto"/>
                <w:w w:val="94"/>
              </w:rPr>
              <w:t>0</w:t>
            </w:r>
          </w:p>
        </w:tc>
        <w:tc>
          <w:tcPr>
            <w:tcW w:w="640" w:type="dxa"/>
            <w:vAlign w:val="bottom"/>
          </w:tcPr>
          <w:p>
            <w:pPr>
              <w:spacing w:after="0"/>
              <w:rPr>
                <w:sz w:val="14"/>
                <w:szCs w:val="14"/>
                <w:color w:val="auto"/>
              </w:rPr>
            </w:pP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0</w:t>
            </w:r>
          </w:p>
        </w:tc>
      </w:tr>
      <w:tr>
        <w:trPr>
          <w:trHeight w:val="163"/>
        </w:trPr>
        <w:tc>
          <w:tcPr>
            <w:tcW w:w="760" w:type="dxa"/>
            <w:vAlign w:val="bottom"/>
          </w:tcPr>
          <w:p>
            <w:pPr>
              <w:jc w:val="center"/>
              <w:ind w:left="449"/>
              <w:spacing w:after="0"/>
              <w:rPr>
                <w:sz w:val="20"/>
                <w:szCs w:val="20"/>
                <w:color w:val="auto"/>
              </w:rPr>
            </w:pPr>
            <w:r>
              <w:rPr>
                <w:rFonts w:ascii="Courier New" w:cs="Courier New" w:eastAsia="Courier New" w:hAnsi="Courier New"/>
                <w:sz w:val="14"/>
                <w:szCs w:val="14"/>
                <w:color w:val="auto"/>
                <w:w w:val="94"/>
              </w:rPr>
              <w:t>0</w:t>
            </w:r>
          </w:p>
        </w:tc>
        <w:tc>
          <w:tcPr>
            <w:tcW w:w="640" w:type="dxa"/>
            <w:vAlign w:val="bottom"/>
          </w:tcPr>
          <w:p>
            <w:pPr>
              <w:spacing w:after="0"/>
              <w:rPr>
                <w:sz w:val="14"/>
                <w:szCs w:val="14"/>
                <w:color w:val="auto"/>
              </w:rPr>
            </w:pP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0</w:t>
            </w:r>
          </w:p>
        </w:tc>
      </w:tr>
      <w:tr>
        <w:trPr>
          <w:trHeight w:val="163"/>
        </w:trPr>
        <w:tc>
          <w:tcPr>
            <w:tcW w:w="760" w:type="dxa"/>
            <w:vAlign w:val="bottom"/>
          </w:tcPr>
          <w:p>
            <w:pPr>
              <w:jc w:val="center"/>
              <w:ind w:left="449"/>
              <w:spacing w:after="0"/>
              <w:rPr>
                <w:sz w:val="20"/>
                <w:szCs w:val="20"/>
                <w:color w:val="auto"/>
              </w:rPr>
            </w:pPr>
            <w:r>
              <w:rPr>
                <w:rFonts w:ascii="Courier New" w:cs="Courier New" w:eastAsia="Courier New" w:hAnsi="Courier New"/>
                <w:sz w:val="14"/>
                <w:szCs w:val="14"/>
                <w:color w:val="auto"/>
                <w:w w:val="94"/>
              </w:rPr>
              <w:t>0</w:t>
            </w:r>
          </w:p>
        </w:tc>
        <w:tc>
          <w:tcPr>
            <w:tcW w:w="640" w:type="dxa"/>
            <w:vAlign w:val="bottom"/>
          </w:tcPr>
          <w:p>
            <w:pPr>
              <w:spacing w:after="0"/>
              <w:rPr>
                <w:sz w:val="14"/>
                <w:szCs w:val="14"/>
                <w:color w:val="auto"/>
              </w:rPr>
            </w:pP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0</w:t>
            </w:r>
          </w:p>
        </w:tc>
      </w:tr>
      <w:tr>
        <w:trPr>
          <w:trHeight w:val="238"/>
        </w:trPr>
        <w:tc>
          <w:tcPr>
            <w:tcW w:w="760" w:type="dxa"/>
            <w:vAlign w:val="bottom"/>
          </w:tcPr>
          <w:p>
            <w:pPr>
              <w:jc w:val="center"/>
              <w:ind w:left="449"/>
              <w:spacing w:after="0"/>
              <w:rPr>
                <w:sz w:val="20"/>
                <w:szCs w:val="20"/>
                <w:color w:val="auto"/>
              </w:rPr>
            </w:pPr>
            <w:r>
              <w:rPr>
                <w:rFonts w:ascii="Courier New" w:cs="Courier New" w:eastAsia="Courier New" w:hAnsi="Courier New"/>
                <w:sz w:val="14"/>
                <w:szCs w:val="14"/>
                <w:color w:val="auto"/>
                <w:w w:val="94"/>
              </w:rPr>
              <w:t>0</w:t>
            </w:r>
          </w:p>
        </w:tc>
        <w:tc>
          <w:tcPr>
            <w:tcW w:w="640" w:type="dxa"/>
            <w:vAlign w:val="bottom"/>
          </w:tcPr>
          <w:p>
            <w:pPr>
              <w:spacing w:after="0"/>
              <w:rPr>
                <w:sz w:val="20"/>
                <w:szCs w:val="20"/>
                <w:color w:val="auto"/>
              </w:rPr>
            </w:pP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0</w:t>
            </w:r>
          </w:p>
        </w:tc>
      </w:tr>
    </w:tbl>
    <w:p>
      <w:pPr>
        <w:sectPr>
          <w:pgSz w:w="11900" w:h="16838" w:orient="portrait"/>
          <w:cols w:equalWidth="0" w:num="2">
            <w:col w:w="7460" w:space="600"/>
            <w:col w:w="2800"/>
          </w:cols>
          <w:pgMar w:left="300" w:top="257" w:right="739"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97</w:t>
      </w:r>
    </w:p>
    <w:p>
      <w:pPr>
        <w:spacing w:after="0" w:line="16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Company and as a member of the Company's board, the employment agreements previously entered into between the Company and each executive have been terminated. The Company and CCA have entered into a severance agreement with each executive pursuant to which payments shall be made to each executive totaling approximately $633,750. Among the payments to be made to each executive pursuant to the terms of the severance agreements are (i) a payment of $233,750, which represents amounts that were payable to each executive pursuant to the terms of his employment agreement, and (ii) payments made to each executive in exchange for shares of CCA common stock owned by such executive. See "Certain Relationship and Related Transactions." All payments will be applied to reduce the outstanding principal amount of a loan granted to each executive in the principal amount of $1.0 million under the Prison Realty Trust, Inc. Executive Equity Loan Plan. See "-- Report of the Compensation Committee." Additionally, any stock options or similar rights which have not been exercised by each executive, and any other awards of stock or equity interests in which each executive has not become vested, have been terminated or forfeited to the Company.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OF CONTROL PROVISIONS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STOCK AGREEMENTS</w:t>
      </w:r>
    </w:p>
    <w:p>
      <w:pPr>
        <w:spacing w:after="0" w:line="168" w:lineRule="exact"/>
        <w:rPr>
          <w:sz w:val="20"/>
          <w:szCs w:val="20"/>
          <w:color w:val="auto"/>
        </w:rPr>
      </w:pPr>
    </w:p>
    <w:p>
      <w:pPr>
        <w:ind w:right="3459" w:firstLine="763"/>
        <w:spacing w:after="0" w:line="256" w:lineRule="auto"/>
        <w:rPr>
          <w:sz w:val="20"/>
          <w:szCs w:val="20"/>
          <w:color w:val="auto"/>
        </w:rPr>
      </w:pPr>
      <w:r>
        <w:rPr>
          <w:rFonts w:ascii="Courier New" w:cs="Courier New" w:eastAsia="Courier New" w:hAnsi="Courier New"/>
          <w:sz w:val="14"/>
          <w:szCs w:val="14"/>
          <w:color w:val="auto"/>
        </w:rPr>
        <w:t>Certain executive officers of the Company and CCA, including Doctor R. Crants, the Chief Executive Officer of the Company and CCA, were granted an aggregate of 294,897 deferred shares of the Company's Common Stock under the Corrections Corporation of America 1989 Stock Bonus Plan in order to offer long-term incentives to the Company's officers. Under the terms of the 1989 Stock Bonus Plan and the deferred stock agreements, the deferred shares awarded do not vest until the earliest of the following events: (i) 10 years after the date the deferred shares were awarded; (ii) the death or disability of the recipient; or (iii) a change of control of Prison Realty (as defined in the deferred stock agreements). It is likely that the Restructuring and related transactions and the resulting changes in the structure of the Company will constitute a change in control of the Company which will result in the deferred shares of each holder, including Doctor R. Crants, becoming immediately vested.</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THE COMPENSATION COMMITTEE</w:t>
      </w:r>
    </w:p>
    <w:p>
      <w:pPr>
        <w:spacing w:after="0" w:line="168" w:lineRule="exact"/>
        <w:rPr>
          <w:sz w:val="20"/>
          <w:szCs w:val="20"/>
          <w:color w:val="auto"/>
        </w:rPr>
      </w:pPr>
    </w:p>
    <w:p>
      <w:pPr>
        <w:ind w:right="3459" w:firstLine="763"/>
        <w:spacing w:after="0" w:line="276" w:lineRule="auto"/>
        <w:rPr>
          <w:sz w:val="20"/>
          <w:szCs w:val="20"/>
          <w:color w:val="auto"/>
        </w:rPr>
      </w:pPr>
      <w:r>
        <w:rPr>
          <w:rFonts w:ascii="Courier New" w:cs="Courier New" w:eastAsia="Courier New" w:hAnsi="Courier New"/>
          <w:sz w:val="14"/>
          <w:szCs w:val="14"/>
          <w:color w:val="auto"/>
        </w:rPr>
        <w:t>The Company's Compensation Committee is comprised of Jackson W. Moore, C. Ray Bell and Joseph V. Russell, with Mr. Moore serving as its Chairman. Each of the members of the Compensation Committee, with the exception of Mr. Bell, are Independent Directors. The following report relates to the policies adopted and actions taken by the Company's Compensation Committee in 1999.</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OBJECTIVES OF EXECUTIVE COMPENSATION</w:t>
      </w:r>
    </w:p>
    <w:p>
      <w:pPr>
        <w:spacing w:after="0" w:line="168" w:lineRule="exact"/>
        <w:rPr>
          <w:sz w:val="20"/>
          <w:szCs w:val="20"/>
          <w:color w:val="auto"/>
        </w:rPr>
      </w:pPr>
    </w:p>
    <w:p>
      <w:pPr>
        <w:ind w:right="3459" w:firstLine="763"/>
        <w:spacing w:after="0" w:line="261" w:lineRule="auto"/>
        <w:rPr>
          <w:sz w:val="20"/>
          <w:szCs w:val="20"/>
          <w:color w:val="auto"/>
        </w:rPr>
      </w:pPr>
      <w:r>
        <w:rPr>
          <w:rFonts w:ascii="Courier New" w:cs="Courier New" w:eastAsia="Courier New" w:hAnsi="Courier New"/>
          <w:sz w:val="14"/>
          <w:szCs w:val="14"/>
          <w:color w:val="auto"/>
        </w:rPr>
        <w:t>The Company's executive compensation program is intended to attract, motivate and retain key executives who are capable of leading the Company effectively and continuing its long-term growth. The compensation program for its executives is comprised of base salary, annual incentives and long-term incentive awards. Base salary is targeted to be within a reasonable range of compensation for comparable companies and for comparable levels of expertise by executives. Annual incentives are based upon the achievement of one or more performance goals. The Company uses stock options and other equity based compensation in its long-term incentive programs.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PROCEDURES</w:t>
      </w:r>
    </w:p>
    <w:p>
      <w:pPr>
        <w:spacing w:after="0" w:line="168" w:lineRule="exact"/>
        <w:rPr>
          <w:sz w:val="20"/>
          <w:szCs w:val="20"/>
          <w:color w:val="auto"/>
        </w:rPr>
      </w:pPr>
    </w:p>
    <w:p>
      <w:pPr>
        <w:ind w:right="3539" w:firstLine="763"/>
        <w:spacing w:after="0" w:line="260" w:lineRule="auto"/>
        <w:rPr>
          <w:sz w:val="20"/>
          <w:szCs w:val="20"/>
          <w:color w:val="auto"/>
        </w:rPr>
      </w:pPr>
      <w:r>
        <w:rPr>
          <w:rFonts w:ascii="Courier New" w:cs="Courier New" w:eastAsia="Courier New" w:hAnsi="Courier New"/>
          <w:sz w:val="14"/>
          <w:szCs w:val="14"/>
          <w:color w:val="auto"/>
        </w:rPr>
        <w:t>The Compensation Committee establishes the Company's general compensation policies and is responsible for the implementation and monitoring of its compensation and incentive plans and policies. Final compensation determinations for each fiscal year are generally made after preliminary financial statements for the fiscal year become available and upon a review of the salaries of the executive officers of comparable REITs as disclosed in available SNL Executive Compensation Reviews and publicly filed documents. At that time, annual incentives, if any, are determined for the past year's performance, base salaries for the following fiscal year are set and long-term incentives, if any, are granted.</w:t>
      </w:r>
    </w:p>
    <w:p>
      <w:pPr>
        <w:spacing w:after="0" w:line="23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159"/>
          </w:cols>
          <w:pgMar w:left="300" w:top="257"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98</w:t>
      </w:r>
    </w:p>
    <w:p>
      <w:pPr>
        <w:spacing w:after="0" w:line="200" w:lineRule="exact"/>
        <w:rPr>
          <w:sz w:val="20"/>
          <w:szCs w:val="20"/>
          <w:color w:val="auto"/>
        </w:rPr>
      </w:pPr>
    </w:p>
    <w:p>
      <w:pPr>
        <w:spacing w:after="0" w:line="294" w:lineRule="exact"/>
        <w:rPr>
          <w:sz w:val="20"/>
          <w:szCs w:val="20"/>
          <w:color w:val="auto"/>
        </w:rPr>
      </w:pPr>
    </w:p>
    <w:p>
      <w:pPr>
        <w:ind w:right="3459" w:firstLine="763"/>
        <w:spacing w:after="0" w:line="254" w:lineRule="auto"/>
        <w:rPr>
          <w:sz w:val="20"/>
          <w:szCs w:val="20"/>
          <w:color w:val="auto"/>
        </w:rPr>
      </w:pPr>
      <w:r>
        <w:rPr>
          <w:rFonts w:ascii="Courier New" w:cs="Courier New" w:eastAsia="Courier New" w:hAnsi="Courier New"/>
          <w:sz w:val="14"/>
          <w:szCs w:val="14"/>
          <w:color w:val="auto"/>
        </w:rPr>
        <w:t>In determining the executive officers' base salaries and the performance-based incentives granted to the executive officers for the end of the fiscal year ended December 31, 1999, the Compensation Committee took into consideration the above-referenced factors and examined comparable executive compensation paid by a peer group of REITs of similar size, makeup and performance as reported in the SNL Executive Compensation Review 1999 -- REITS. While the companies included in the SNL Review may not be identical to the companies used to calculate the NAREIT Index to which the Company's share performance is compared in the performance graph on page [65] herein, the Compensation Committee believes that the compensation information in the SNL Review was comparable because it contained data pertaining to REITs of similar size, makeup and performance to that of the Company. Members of the Compensation Committee consult periodically by telephone prior to their meetings at which compensation decisions are made. The Compensation Committee exercises its independent discretion in determining the compensation of the Company's executive officers.</w:t>
      </w:r>
    </w:p>
    <w:p>
      <w:pPr>
        <w:spacing w:after="0" w:line="87" w:lineRule="exact"/>
        <w:rPr>
          <w:sz w:val="20"/>
          <w:szCs w:val="20"/>
          <w:color w:val="auto"/>
        </w:rPr>
      </w:pPr>
    </w:p>
    <w:p>
      <w:pPr>
        <w:ind w:right="3619" w:firstLine="763"/>
        <w:spacing w:after="0" w:line="366" w:lineRule="auto"/>
        <w:rPr>
          <w:sz w:val="20"/>
          <w:szCs w:val="20"/>
          <w:color w:val="auto"/>
        </w:rPr>
      </w:pPr>
      <w:r>
        <w:rPr>
          <w:rFonts w:ascii="Courier New" w:cs="Courier New" w:eastAsia="Courier New" w:hAnsi="Courier New"/>
          <w:sz w:val="14"/>
          <w:szCs w:val="14"/>
          <w:color w:val="auto"/>
        </w:rPr>
        <w:t>Each element of the Company's executive compensation, as well as the compensation of the Chief Executive Officer, is discussed below.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168" w:lineRule="exact"/>
        <w:rPr>
          <w:sz w:val="20"/>
          <w:szCs w:val="20"/>
          <w:color w:val="auto"/>
        </w:rPr>
      </w:pPr>
    </w:p>
    <w:p>
      <w:pPr>
        <w:ind w:right="3459" w:firstLine="763"/>
        <w:spacing w:after="0" w:line="260" w:lineRule="auto"/>
        <w:rPr>
          <w:sz w:val="20"/>
          <w:szCs w:val="20"/>
          <w:color w:val="auto"/>
        </w:rPr>
      </w:pPr>
      <w:r>
        <w:rPr>
          <w:rFonts w:ascii="Courier New" w:cs="Courier New" w:eastAsia="Courier New" w:hAnsi="Courier New"/>
          <w:sz w:val="14"/>
          <w:szCs w:val="14"/>
          <w:color w:val="auto"/>
        </w:rPr>
        <w:t>Base salaries are a fixed component of total compensation and do not relate to the performance of the Company. Base salaries are determined by the Compensation Committee after reviewing salaries paid by companies of similar size and performance. For the year ended December 31, 1999, the Company's executive officers, other than its Chief Executive Officer, who is discussed separately below, received the following base salaries, which were fixed by the Compensation Committee on March 4, 1999: D. Robert Crants, III (President) - $165,000; Michael W. Devlin (Chief Operating Officer) - $165,000; Vida H. Carroll (Chief Financial Officer) - $150,000; and J. Michael Quinlan (Vice-Chairman of the board of directors) - $160,000.</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INCENTIVES</w:t>
      </w:r>
    </w:p>
    <w:p>
      <w:pPr>
        <w:spacing w:after="0" w:line="168" w:lineRule="exact"/>
        <w:rPr>
          <w:sz w:val="20"/>
          <w:szCs w:val="20"/>
          <w:color w:val="auto"/>
        </w:rPr>
      </w:pPr>
    </w:p>
    <w:p>
      <w:pPr>
        <w:ind w:right="3459" w:firstLine="763"/>
        <w:spacing w:after="0" w:line="261" w:lineRule="auto"/>
        <w:rPr>
          <w:sz w:val="20"/>
          <w:szCs w:val="20"/>
          <w:color w:val="auto"/>
        </w:rPr>
      </w:pPr>
      <w:r>
        <w:rPr>
          <w:rFonts w:ascii="Courier New" w:cs="Courier New" w:eastAsia="Courier New" w:hAnsi="Courier New"/>
          <w:sz w:val="14"/>
          <w:szCs w:val="14"/>
          <w:color w:val="auto"/>
        </w:rPr>
        <w:t>Annual incentives are provided in the form of cash bonuses. Annual incentives are designed to reward executives and management for the annual growth and achievement of the Company and are therefore tied to its performance. The Compensation Committee awards cash bonuses to those executives who meet established goals. The amount of the award is based upon each executive's base salary and the level to which such executive's performance met and exceeded the established goal. D. Robert Crants, III, Michael W. Devlin and Vida H. Carroll were each paid annual cash incentives of $75,000 in 1999 for services provided to the Company in connection with the 1999 Merger.</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INCENTIVES</w:t>
      </w:r>
    </w:p>
    <w:p>
      <w:pPr>
        <w:spacing w:after="0" w:line="168" w:lineRule="exact"/>
        <w:rPr>
          <w:sz w:val="20"/>
          <w:szCs w:val="20"/>
          <w:color w:val="auto"/>
        </w:rPr>
      </w:pPr>
    </w:p>
    <w:p>
      <w:pPr>
        <w:ind w:right="3619" w:firstLine="763"/>
        <w:spacing w:after="0" w:line="261" w:lineRule="auto"/>
        <w:rPr>
          <w:sz w:val="20"/>
          <w:szCs w:val="20"/>
          <w:color w:val="auto"/>
        </w:rPr>
      </w:pPr>
      <w:r>
        <w:rPr>
          <w:rFonts w:ascii="Courier New" w:cs="Courier New" w:eastAsia="Courier New" w:hAnsi="Courier New"/>
          <w:sz w:val="14"/>
          <w:szCs w:val="14"/>
          <w:color w:val="auto"/>
        </w:rPr>
        <w:t>Long-term incentives are provided through the grant of stock options and restricted stock awards under the Company's 1997 Share Incentive Plan. These grants are designed to align executives' interests with the long-term goals of the Company and the interests of the Company's shareholders and encourage high levels of stock ownership among executives. The Compensation Committee granted 141,250 options to executive officers other than Doctor R. Crants in 1999. In addition, the Compensation Committee awarded 16,250 restricted shares of the Company's Common Stock to executive officers other than Doctor R. Crants in 1999.</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EQUITY LOAN PLAN</w:t>
      </w:r>
    </w:p>
    <w:p>
      <w:pPr>
        <w:spacing w:after="0" w:line="168" w:lineRule="exact"/>
        <w:rPr>
          <w:sz w:val="20"/>
          <w:szCs w:val="20"/>
          <w:color w:val="auto"/>
        </w:rPr>
      </w:pPr>
    </w:p>
    <w:p>
      <w:pPr>
        <w:ind w:right="3459" w:firstLine="763"/>
        <w:spacing w:after="0" w:line="261" w:lineRule="auto"/>
        <w:rPr>
          <w:sz w:val="20"/>
          <w:szCs w:val="20"/>
          <w:color w:val="auto"/>
        </w:rPr>
      </w:pPr>
      <w:r>
        <w:rPr>
          <w:rFonts w:ascii="Courier New" w:cs="Courier New" w:eastAsia="Courier New" w:hAnsi="Courier New"/>
          <w:sz w:val="14"/>
          <w:szCs w:val="14"/>
          <w:color w:val="auto"/>
        </w:rPr>
        <w:t>On May 10, 1999, the Compensation Committee approved, and the Company adopted, the Prison Realty Trust, Inc. Executive Equity Loan Plan (the "Loan Plan"), pursuant to which the Company may grant loans to its officers and other key employees for the purpose of purchasing shares of the Company's Common Stock. The Company adopted the Loan Plan so as to align the interests of the Company's management and shareholders. Under the Loan Plan, the Company granted an aggregate of $2.0 million in loans in 1999 to certain of its executive officers other than Doctor R. Crants in 1999, which were to be used for the purposes of purchasing shares of the Company's Common Stock.</w:t>
      </w:r>
    </w:p>
    <w:p>
      <w:pPr>
        <w:spacing w:after="0" w:line="24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10159"/>
          </w:cols>
          <w:pgMar w:left="300" w:top="257"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99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CHIEF EXECUTIVE OFFICER IN 1999</w:t>
      </w:r>
    </w:p>
    <w:p>
      <w:pPr>
        <w:spacing w:after="0" w:line="168" w:lineRule="exact"/>
        <w:rPr>
          <w:sz w:val="20"/>
          <w:szCs w:val="20"/>
          <w:color w:val="auto"/>
        </w:rPr>
      </w:pPr>
    </w:p>
    <w:p>
      <w:pPr>
        <w:ind w:right="3459" w:firstLine="763"/>
        <w:spacing w:after="0" w:line="257" w:lineRule="auto"/>
        <w:rPr>
          <w:sz w:val="20"/>
          <w:szCs w:val="20"/>
          <w:color w:val="auto"/>
        </w:rPr>
      </w:pPr>
      <w:r>
        <w:rPr>
          <w:rFonts w:ascii="Courier New" w:cs="Courier New" w:eastAsia="Courier New" w:hAnsi="Courier New"/>
          <w:sz w:val="14"/>
          <w:szCs w:val="14"/>
          <w:color w:val="auto"/>
        </w:rPr>
        <w:t>In March 1999, the Compensation Committee set the 1999 base salary for the Company's Chief Executive Officer, Doctor R. Crants, in accordance with the policies and considerations stated above. For the year ended December 31, 1999, Mr. Crants received a base salary of $175,000. During the fiscal year ended December 31, 1999, the Compensation Committee awarded options to purchase 113,750 shares of the Company's Common Stock to Mr. Crants. The Company also awarded a total of 6,750 restricted shares of the Company's Common Stock to Mr. Crants pursuant to the 1997 Employee Share Incentive Plan, which vest in 25% increments over a three-year period, with the first such increment vesting immediately upon the date of the award. In addition, under the terms of the Company's Loan Plan, Mr. Crants obtained a loan in the principal amount of $1.0 million for the purpose of purchasing shares of the Company's Common Stock.</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DEDUCTIBILITY OF COMPENSATION</w:t>
      </w:r>
    </w:p>
    <w:p>
      <w:pPr>
        <w:spacing w:after="0" w:line="168" w:lineRule="exact"/>
        <w:rPr>
          <w:sz w:val="20"/>
          <w:szCs w:val="20"/>
          <w:color w:val="auto"/>
        </w:rPr>
      </w:pPr>
    </w:p>
    <w:p>
      <w:pPr>
        <w:ind w:right="3619" w:firstLine="763"/>
        <w:spacing w:after="0" w:line="261" w:lineRule="auto"/>
        <w:rPr>
          <w:sz w:val="20"/>
          <w:szCs w:val="20"/>
          <w:color w:val="auto"/>
        </w:rPr>
      </w:pPr>
      <w:r>
        <w:rPr>
          <w:rFonts w:ascii="Courier New" w:cs="Courier New" w:eastAsia="Courier New" w:hAnsi="Courier New"/>
          <w:sz w:val="14"/>
          <w:szCs w:val="14"/>
          <w:color w:val="auto"/>
        </w:rPr>
        <w:t>Section 162(m) of the Code limits the deductibility on the Company's tax return of compensation over $1.0 million to either the Chief Executive Officer or any of the Named Executive Officers of the Company unless, in general, the compensation is paid pursuant to a plan which is performance-related, non-discretionary and has been approved by the Company's shareholders. The Compensation Committee's policy with respect to Section 162(m) is to make every reasonable effort to ensure that compensation is deductible to the extent permitted while simultaneously providing the Company executives with appropriate rewards for their performance.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Compensation Committee of the Company's board of directors: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Jackson W. Moore, Chairman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Ray Bell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V. Russell</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GRAPH</w:t>
      </w:r>
    </w:p>
    <w:p>
      <w:pPr>
        <w:spacing w:after="0" w:line="168" w:lineRule="exact"/>
        <w:rPr>
          <w:sz w:val="20"/>
          <w:szCs w:val="20"/>
          <w:color w:val="auto"/>
        </w:rPr>
      </w:pPr>
    </w:p>
    <w:p>
      <w:pPr>
        <w:ind w:right="3459" w:firstLine="763"/>
        <w:spacing w:after="0" w:line="260" w:lineRule="auto"/>
        <w:rPr>
          <w:sz w:val="20"/>
          <w:szCs w:val="20"/>
          <w:color w:val="auto"/>
        </w:rPr>
      </w:pPr>
      <w:r>
        <w:rPr>
          <w:rFonts w:ascii="Courier New" w:cs="Courier New" w:eastAsia="Courier New" w:hAnsi="Courier New"/>
          <w:sz w:val="14"/>
          <w:szCs w:val="14"/>
          <w:color w:val="auto"/>
        </w:rPr>
        <w:t>The Common Stock is traded on the NYSE under the symbol "PZN." On March 15, 2000, the last reported sales price of the Common Stock was $4.06 per share. The Common Stock, however, did not begin trading on the NYSE until January 4, 1999, after the completion of the 1999 Merger. As such, the information provided below relating to shareholder returns for the periods indicated relates to the Company since the Common Stock began trading on January 4, 1999, as well as each of Old Prison Realty and Old CCA prior to January 1, 1999. In the 1999 Merger, each Old Prison Realty common share was converted into one share of Common Stock and each share of Old CCA common stock was converted into the right to receive 0.875 share of Common Stock.</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68" w:lineRule="exact"/>
        <w:rPr>
          <w:sz w:val="20"/>
          <w:szCs w:val="20"/>
          <w:color w:val="auto"/>
        </w:rPr>
      </w:pPr>
    </w:p>
    <w:p>
      <w:pPr>
        <w:ind w:right="3619" w:firstLine="763"/>
        <w:spacing w:after="0" w:line="258" w:lineRule="auto"/>
        <w:rPr>
          <w:sz w:val="20"/>
          <w:szCs w:val="20"/>
          <w:color w:val="auto"/>
        </w:rPr>
      </w:pPr>
      <w:r>
        <w:rPr>
          <w:rFonts w:ascii="Courier New" w:cs="Courier New" w:eastAsia="Courier New" w:hAnsi="Courier New"/>
          <w:sz w:val="14"/>
          <w:szCs w:val="14"/>
          <w:color w:val="auto"/>
        </w:rPr>
        <w:t>The following graph provides a comparison of the cumulative total shareholder return on Prison Realty's Common Stock compared to the cumulative total return of the Standard &amp; Poor's 500 Index (the "S&amp;P 500 Index") and the National Association of Real Estate Investment Trusts ("NAREIT") Total Return Equity Index (the "NAREIT Index") for the year ended December 31, 1999. The graph assumes an investment of $100 on January 4, 1999, a reinvestment of distributions and/or dividends and actual increase of the market value of Prison Realty's Common Stock relative to the initial investment of $100. The comparisons in this table are required by the Commission and are not intended to forecast or be indicative of possible future performance of the Company's Common Stock.</w:t>
      </w:r>
    </w:p>
    <w:p>
      <w:pPr>
        <w:spacing w:after="0" w:line="82"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[GRAPH]</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10159"/>
          </w:cols>
          <w:pgMar w:left="300" w:top="257"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2800" w:type="dxa"/>
            <w:vAlign w:val="bottom"/>
          </w:tcPr>
          <w:p>
            <w:pPr>
              <w:jc w:val="right"/>
              <w:ind w:right="2209"/>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78"/>
        </w:trPr>
        <w:tc>
          <w:tcPr>
            <w:tcW w:w="2800" w:type="dxa"/>
            <w:vAlign w:val="bottom"/>
          </w:tcPr>
          <w:p>
            <w:pPr>
              <w:spacing w:after="0"/>
              <w:rPr>
                <w:sz w:val="24"/>
                <w:szCs w:val="24"/>
                <w:color w:val="auto"/>
              </w:rPr>
            </w:pPr>
          </w:p>
        </w:tc>
        <w:tc>
          <w:tcPr>
            <w:tcW w:w="1920" w:type="dxa"/>
            <w:vAlign w:val="bottom"/>
          </w:tcPr>
          <w:p>
            <w:pPr>
              <w:ind w:left="680"/>
              <w:spacing w:after="0"/>
              <w:rPr>
                <w:sz w:val="20"/>
                <w:szCs w:val="20"/>
                <w:color w:val="auto"/>
              </w:rPr>
            </w:pPr>
            <w:r>
              <w:rPr>
                <w:rFonts w:ascii="Courier New" w:cs="Courier New" w:eastAsia="Courier New" w:hAnsi="Courier New"/>
                <w:sz w:val="14"/>
                <w:szCs w:val="14"/>
                <w:color w:val="auto"/>
              </w:rPr>
              <w:t>1/4/99*</w:t>
            </w:r>
          </w:p>
        </w:tc>
        <w:tc>
          <w:tcPr>
            <w:tcW w:w="1300" w:type="dxa"/>
            <w:vAlign w:val="bottom"/>
            <w:gridSpan w:val="2"/>
          </w:tcPr>
          <w:p>
            <w:pPr>
              <w:ind w:left="620"/>
              <w:spacing w:after="0"/>
              <w:rPr>
                <w:sz w:val="20"/>
                <w:szCs w:val="20"/>
                <w:color w:val="auto"/>
              </w:rPr>
            </w:pPr>
            <w:r>
              <w:rPr>
                <w:rFonts w:ascii="Courier New" w:cs="Courier New" w:eastAsia="Courier New" w:hAnsi="Courier New"/>
                <w:sz w:val="14"/>
                <w:szCs w:val="14"/>
                <w:color w:val="auto"/>
                <w:w w:val="98"/>
              </w:rPr>
              <w:t>12/31/99</w:t>
            </w:r>
          </w:p>
        </w:tc>
      </w:tr>
      <w:tr>
        <w:trPr>
          <w:trHeight w:val="238"/>
        </w:trPr>
        <w:tc>
          <w:tcPr>
            <w:tcW w:w="2800" w:type="dxa"/>
            <w:vAlign w:val="bottom"/>
          </w:tcPr>
          <w:p>
            <w:pPr>
              <w:spacing w:after="0"/>
              <w:rPr>
                <w:sz w:val="20"/>
                <w:szCs w:val="20"/>
                <w:color w:val="auto"/>
              </w:rPr>
            </w:pPr>
          </w:p>
        </w:tc>
        <w:tc>
          <w:tcPr>
            <w:tcW w:w="192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620"/>
              <w:spacing w:after="0"/>
              <w:rPr>
                <w:sz w:val="20"/>
                <w:szCs w:val="20"/>
                <w:color w:val="auto"/>
              </w:rPr>
            </w:pPr>
            <w:r>
              <w:rPr>
                <w:rFonts w:ascii="Courier New" w:cs="Courier New" w:eastAsia="Courier New" w:hAnsi="Courier New"/>
                <w:sz w:val="14"/>
                <w:szCs w:val="14"/>
                <w:color w:val="auto"/>
                <w:w w:val="98"/>
              </w:rPr>
              <w:t>--------</w:t>
            </w:r>
          </w:p>
        </w:tc>
      </w:tr>
      <w:tr>
        <w:trPr>
          <w:trHeight w:val="32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Prison Realty Trust, Inc.</w:t>
            </w:r>
          </w:p>
        </w:tc>
        <w:tc>
          <w:tcPr>
            <w:tcW w:w="1920" w:type="dxa"/>
            <w:vAlign w:val="bottom"/>
          </w:tcPr>
          <w:p>
            <w:pPr>
              <w:ind w:left="680"/>
              <w:spacing w:after="0"/>
              <w:rPr>
                <w:sz w:val="20"/>
                <w:szCs w:val="20"/>
                <w:color w:val="auto"/>
              </w:rPr>
            </w:pPr>
            <w:r>
              <w:rPr>
                <w:rFonts w:ascii="Courier New" w:cs="Courier New" w:eastAsia="Courier New" w:hAnsi="Courier New"/>
                <w:sz w:val="14"/>
                <w:szCs w:val="14"/>
                <w:color w:val="auto"/>
              </w:rPr>
              <w:t>$100(1)</w:t>
            </w:r>
          </w:p>
        </w:tc>
        <w:tc>
          <w:tcPr>
            <w:tcW w:w="720" w:type="dxa"/>
            <w:vAlign w:val="bottom"/>
          </w:tcPr>
          <w:p>
            <w:pPr>
              <w:ind w:left="620"/>
              <w:spacing w:after="0"/>
              <w:rPr>
                <w:sz w:val="20"/>
                <w:szCs w:val="20"/>
                <w:color w:val="auto"/>
              </w:rPr>
            </w:pPr>
            <w:r>
              <w:rPr>
                <w:rFonts w:ascii="Courier New" w:cs="Courier New" w:eastAsia="Courier New" w:hAnsi="Courier New"/>
                <w:sz w:val="14"/>
                <w:szCs w:val="14"/>
                <w:color w:val="auto"/>
                <w:w w:val="94"/>
              </w:rPr>
              <w:t>$</w:t>
            </w:r>
          </w:p>
        </w:tc>
        <w:tc>
          <w:tcPr>
            <w:tcW w:w="5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25.22</w:t>
            </w:r>
          </w:p>
        </w:tc>
      </w:tr>
      <w:tr>
        <w:trPr>
          <w:trHeight w:val="32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NAREIT Index</w:t>
            </w:r>
          </w:p>
        </w:tc>
        <w:tc>
          <w:tcPr>
            <w:tcW w:w="1920" w:type="dxa"/>
            <w:vAlign w:val="bottom"/>
          </w:tcPr>
          <w:p>
            <w:pPr>
              <w:ind w:left="680"/>
              <w:spacing w:after="0"/>
              <w:rPr>
                <w:sz w:val="20"/>
                <w:szCs w:val="20"/>
                <w:color w:val="auto"/>
              </w:rPr>
            </w:pPr>
            <w:r>
              <w:rPr>
                <w:rFonts w:ascii="Courier New" w:cs="Courier New" w:eastAsia="Courier New" w:hAnsi="Courier New"/>
                <w:sz w:val="14"/>
                <w:szCs w:val="14"/>
                <w:color w:val="auto"/>
              </w:rPr>
              <w:t>$100</w:t>
            </w:r>
          </w:p>
        </w:tc>
        <w:tc>
          <w:tcPr>
            <w:tcW w:w="720" w:type="dxa"/>
            <w:vAlign w:val="bottom"/>
          </w:tcPr>
          <w:p>
            <w:pPr>
              <w:ind w:left="620"/>
              <w:spacing w:after="0"/>
              <w:rPr>
                <w:sz w:val="20"/>
                <w:szCs w:val="20"/>
                <w:color w:val="auto"/>
              </w:rPr>
            </w:pPr>
            <w:r>
              <w:rPr>
                <w:rFonts w:ascii="Courier New" w:cs="Courier New" w:eastAsia="Courier New" w:hAnsi="Courier New"/>
                <w:sz w:val="14"/>
                <w:szCs w:val="14"/>
                <w:color w:val="auto"/>
                <w:w w:val="94"/>
              </w:rPr>
              <w:t>$</w:t>
            </w:r>
          </w:p>
        </w:tc>
        <w:tc>
          <w:tcPr>
            <w:tcW w:w="5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92.18</w:t>
            </w:r>
          </w:p>
        </w:tc>
      </w:tr>
      <w:tr>
        <w:trPr>
          <w:trHeight w:val="32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S&amp;P 500 Index</w:t>
            </w:r>
          </w:p>
        </w:tc>
        <w:tc>
          <w:tcPr>
            <w:tcW w:w="1920" w:type="dxa"/>
            <w:vAlign w:val="bottom"/>
          </w:tcPr>
          <w:p>
            <w:pPr>
              <w:ind w:left="680"/>
              <w:spacing w:after="0"/>
              <w:rPr>
                <w:sz w:val="20"/>
                <w:szCs w:val="20"/>
                <w:color w:val="auto"/>
              </w:rPr>
            </w:pPr>
            <w:r>
              <w:rPr>
                <w:rFonts w:ascii="Courier New" w:cs="Courier New" w:eastAsia="Courier New" w:hAnsi="Courier New"/>
                <w:sz w:val="14"/>
                <w:szCs w:val="14"/>
                <w:color w:val="auto"/>
              </w:rPr>
              <w:t>$100</w:t>
            </w:r>
          </w:p>
        </w:tc>
        <w:tc>
          <w:tcPr>
            <w:tcW w:w="720" w:type="dxa"/>
            <w:vAlign w:val="bottom"/>
          </w:tcPr>
          <w:p>
            <w:pPr>
              <w:ind w:left="620"/>
              <w:spacing w:after="0"/>
              <w:rPr>
                <w:sz w:val="20"/>
                <w:szCs w:val="20"/>
                <w:color w:val="auto"/>
              </w:rPr>
            </w:pPr>
            <w:r>
              <w:rPr>
                <w:rFonts w:ascii="Courier New" w:cs="Courier New" w:eastAsia="Courier New" w:hAnsi="Courier New"/>
                <w:sz w:val="14"/>
                <w:szCs w:val="14"/>
                <w:color w:val="auto"/>
                <w:w w:val="94"/>
              </w:rPr>
              <w:t>$</w:t>
            </w:r>
          </w:p>
        </w:tc>
        <w:tc>
          <w:tcPr>
            <w:tcW w:w="5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121.15</w:t>
            </w: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0" w:lineRule="exact"/>
        <w:rPr>
          <w:sz w:val="20"/>
          <w:szCs w:val="20"/>
          <w:color w:val="auto"/>
        </w:rPr>
      </w:pPr>
    </w:p>
    <w:p>
      <w:pPr>
        <w:ind w:left="780" w:right="3699" w:hanging="773"/>
        <w:spacing w:after="0" w:line="286" w:lineRule="auto"/>
        <w:tabs>
          <w:tab w:leader="none" w:pos="7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Company's Common Stock did not begin trading on the NYSE until January 1, 1999. Accordingly, the table and graph reflect the Company's performance from that date only.</w:t>
      </w: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OLD PRISON REALTY</w:t>
      </w:r>
    </w:p>
    <w:p>
      <w:pPr>
        <w:spacing w:after="0" w:line="168" w:lineRule="exact"/>
        <w:rPr>
          <w:sz w:val="20"/>
          <w:szCs w:val="20"/>
          <w:color w:val="auto"/>
        </w:rPr>
      </w:pPr>
    </w:p>
    <w:p>
      <w:pPr>
        <w:ind w:right="3459" w:firstLine="763"/>
        <w:spacing w:after="0" w:line="266" w:lineRule="auto"/>
        <w:rPr>
          <w:sz w:val="20"/>
          <w:szCs w:val="20"/>
          <w:color w:val="auto"/>
        </w:rPr>
      </w:pPr>
      <w:r>
        <w:rPr>
          <w:rFonts w:ascii="Courier New" w:cs="Courier New" w:eastAsia="Courier New" w:hAnsi="Courier New"/>
          <w:sz w:val="14"/>
          <w:szCs w:val="14"/>
          <w:color w:val="auto"/>
        </w:rPr>
        <w:t>The following graph provides a comparison of the cumulative total shareholder return on Old Prison Realty's common shares compared to the cumulative total return of the S&amp;P 500 Index and the NAREIT Index for the six months ended December 31, 1997 and the year ended December 31, 1998. The graph assumes an investment of $100 on June 30, 1997, a reinvestment of distributions and/or dividends and actual increase of the market value of Old Prison Realty's common shares relative to the initial investment of $100.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1660" w:type="dxa"/>
            <w:vAlign w:val="bottom"/>
          </w:tcPr>
          <w:p>
            <w:pPr>
              <w:ind w:left="720"/>
              <w:spacing w:after="0"/>
              <w:rPr>
                <w:sz w:val="20"/>
                <w:szCs w:val="20"/>
                <w:color w:val="auto"/>
              </w:rPr>
            </w:pPr>
            <w:r>
              <w:rPr>
                <w:rFonts w:ascii="Courier New" w:cs="Courier New" w:eastAsia="Courier New" w:hAnsi="Courier New"/>
                <w:sz w:val="14"/>
                <w:szCs w:val="14"/>
                <w:color w:val="auto"/>
              </w:rPr>
              <w:t>[GRAPH]</w:t>
            </w: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578"/>
        </w:trPr>
        <w:tc>
          <w:tcPr>
            <w:tcW w:w="2340" w:type="dxa"/>
            <w:vAlign w:val="bottom"/>
          </w:tcPr>
          <w:p>
            <w:pPr>
              <w:spacing w:after="0"/>
              <w:rPr>
                <w:sz w:val="24"/>
                <w:szCs w:val="24"/>
                <w:color w:val="auto"/>
              </w:rPr>
            </w:pPr>
          </w:p>
        </w:tc>
        <w:tc>
          <w:tcPr>
            <w:tcW w:w="1660" w:type="dxa"/>
            <w:vAlign w:val="bottom"/>
          </w:tcPr>
          <w:p>
            <w:pPr>
              <w:ind w:left="380"/>
              <w:spacing w:after="0"/>
              <w:rPr>
                <w:sz w:val="20"/>
                <w:szCs w:val="20"/>
                <w:color w:val="auto"/>
              </w:rPr>
            </w:pPr>
            <w:r>
              <w:rPr>
                <w:rFonts w:ascii="Courier New" w:cs="Courier New" w:eastAsia="Courier New" w:hAnsi="Courier New"/>
                <w:sz w:val="14"/>
                <w:szCs w:val="14"/>
                <w:color w:val="auto"/>
              </w:rPr>
              <w:t>6/30/97*</w:t>
            </w:r>
          </w:p>
        </w:tc>
        <w:tc>
          <w:tcPr>
            <w:tcW w:w="1440" w:type="dxa"/>
            <w:vAlign w:val="bottom"/>
          </w:tcPr>
          <w:p>
            <w:pPr>
              <w:ind w:left="340"/>
              <w:spacing w:after="0"/>
              <w:rPr>
                <w:sz w:val="20"/>
                <w:szCs w:val="20"/>
                <w:color w:val="auto"/>
              </w:rPr>
            </w:pPr>
            <w:r>
              <w:rPr>
                <w:rFonts w:ascii="Courier New" w:cs="Courier New" w:eastAsia="Courier New" w:hAnsi="Courier New"/>
                <w:sz w:val="14"/>
                <w:szCs w:val="14"/>
                <w:color w:val="auto"/>
              </w:rPr>
              <w:t>12/31/97</w:t>
            </w:r>
          </w:p>
        </w:tc>
        <w:tc>
          <w:tcPr>
            <w:tcW w:w="110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8"/>
              </w:rPr>
              <w:t>12/31/98</w:t>
            </w:r>
          </w:p>
        </w:tc>
      </w:tr>
      <w:tr>
        <w:trPr>
          <w:trHeight w:val="238"/>
        </w:trPr>
        <w:tc>
          <w:tcPr>
            <w:tcW w:w="2340" w:type="dxa"/>
            <w:vAlign w:val="bottom"/>
          </w:tcPr>
          <w:p>
            <w:pPr>
              <w:spacing w:after="0"/>
              <w:rPr>
                <w:sz w:val="20"/>
                <w:szCs w:val="20"/>
                <w:color w:val="auto"/>
              </w:rPr>
            </w:pPr>
          </w:p>
        </w:tc>
        <w:tc>
          <w:tcPr>
            <w:tcW w:w="16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8"/>
              </w:rPr>
              <w:t>--------</w:t>
            </w:r>
          </w:p>
        </w:tc>
      </w:tr>
      <w:tr>
        <w:trPr>
          <w:trHeight w:val="326"/>
        </w:trPr>
        <w:tc>
          <w:tcPr>
            <w:tcW w:w="2340" w:type="dxa"/>
            <w:vAlign w:val="bottom"/>
          </w:tcPr>
          <w:p>
            <w:pPr>
              <w:spacing w:after="0"/>
              <w:rPr>
                <w:sz w:val="20"/>
                <w:szCs w:val="20"/>
                <w:color w:val="auto"/>
              </w:rPr>
            </w:pPr>
            <w:r>
              <w:rPr>
                <w:rFonts w:ascii="Courier New" w:cs="Courier New" w:eastAsia="Courier New" w:hAnsi="Courier New"/>
                <w:sz w:val="14"/>
                <w:szCs w:val="14"/>
                <w:color w:val="auto"/>
              </w:rPr>
              <w:t>CCA Prison Realty Trust</w:t>
            </w:r>
          </w:p>
        </w:tc>
        <w:tc>
          <w:tcPr>
            <w:tcW w:w="1660" w:type="dxa"/>
            <w:vAlign w:val="bottom"/>
          </w:tcPr>
          <w:p>
            <w:pPr>
              <w:ind w:left="380"/>
              <w:spacing w:after="0"/>
              <w:rPr>
                <w:sz w:val="20"/>
                <w:szCs w:val="20"/>
                <w:color w:val="auto"/>
              </w:rPr>
            </w:pPr>
            <w:r>
              <w:rPr>
                <w:rFonts w:ascii="Courier New" w:cs="Courier New" w:eastAsia="Courier New" w:hAnsi="Courier New"/>
                <w:sz w:val="14"/>
                <w:szCs w:val="14"/>
                <w:color w:val="auto"/>
              </w:rPr>
              <w:t>$100(1)</w:t>
            </w:r>
          </w:p>
        </w:tc>
        <w:tc>
          <w:tcPr>
            <w:tcW w:w="1440" w:type="dxa"/>
            <w:vAlign w:val="bottom"/>
          </w:tcPr>
          <w:p>
            <w:pPr>
              <w:ind w:left="340"/>
              <w:spacing w:after="0"/>
              <w:rPr>
                <w:sz w:val="20"/>
                <w:szCs w:val="20"/>
                <w:color w:val="auto"/>
              </w:rPr>
            </w:pPr>
            <w:r>
              <w:rPr>
                <w:rFonts w:ascii="Courier New" w:cs="Courier New" w:eastAsia="Courier New" w:hAnsi="Courier New"/>
                <w:sz w:val="14"/>
                <w:szCs w:val="14"/>
                <w:color w:val="auto"/>
              </w:rPr>
              <w:t>$216.82</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106.70</w:t>
            </w:r>
          </w:p>
        </w:tc>
      </w:tr>
      <w:tr>
        <w:trPr>
          <w:trHeight w:val="326"/>
        </w:trPr>
        <w:tc>
          <w:tcPr>
            <w:tcW w:w="2340" w:type="dxa"/>
            <w:vAlign w:val="bottom"/>
          </w:tcPr>
          <w:p>
            <w:pPr>
              <w:spacing w:after="0"/>
              <w:rPr>
                <w:sz w:val="20"/>
                <w:szCs w:val="20"/>
                <w:color w:val="auto"/>
              </w:rPr>
            </w:pPr>
            <w:r>
              <w:rPr>
                <w:rFonts w:ascii="Courier New" w:cs="Courier New" w:eastAsia="Courier New" w:hAnsi="Courier New"/>
                <w:sz w:val="14"/>
                <w:szCs w:val="14"/>
                <w:color w:val="auto"/>
              </w:rPr>
              <w:t>NAREIT Index</w:t>
            </w:r>
          </w:p>
        </w:tc>
        <w:tc>
          <w:tcPr>
            <w:tcW w:w="166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440" w:type="dxa"/>
            <w:vAlign w:val="bottom"/>
          </w:tcPr>
          <w:p>
            <w:pPr>
              <w:ind w:left="340"/>
              <w:spacing w:after="0"/>
              <w:rPr>
                <w:sz w:val="20"/>
                <w:szCs w:val="20"/>
                <w:color w:val="auto"/>
              </w:rPr>
            </w:pPr>
            <w:r>
              <w:rPr>
                <w:rFonts w:ascii="Courier New" w:cs="Courier New" w:eastAsia="Courier New" w:hAnsi="Courier New"/>
                <w:sz w:val="14"/>
                <w:szCs w:val="14"/>
                <w:color w:val="auto"/>
              </w:rPr>
              <w:t>$112.17</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91.06</w:t>
            </w:r>
          </w:p>
        </w:tc>
      </w:tr>
      <w:tr>
        <w:trPr>
          <w:trHeight w:val="326"/>
        </w:trPr>
        <w:tc>
          <w:tcPr>
            <w:tcW w:w="2340" w:type="dxa"/>
            <w:vAlign w:val="bottom"/>
          </w:tcPr>
          <w:p>
            <w:pPr>
              <w:spacing w:after="0"/>
              <w:rPr>
                <w:sz w:val="20"/>
                <w:szCs w:val="20"/>
                <w:color w:val="auto"/>
              </w:rPr>
            </w:pPr>
            <w:r>
              <w:rPr>
                <w:rFonts w:ascii="Courier New" w:cs="Courier New" w:eastAsia="Courier New" w:hAnsi="Courier New"/>
                <w:sz w:val="14"/>
                <w:szCs w:val="14"/>
                <w:color w:val="auto"/>
              </w:rPr>
              <w:t>S&amp;P 500 Index</w:t>
            </w:r>
          </w:p>
        </w:tc>
        <w:tc>
          <w:tcPr>
            <w:tcW w:w="166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440" w:type="dxa"/>
            <w:vAlign w:val="bottom"/>
          </w:tcPr>
          <w:p>
            <w:pPr>
              <w:ind w:left="340"/>
              <w:spacing w:after="0"/>
              <w:rPr>
                <w:sz w:val="20"/>
                <w:szCs w:val="20"/>
                <w:color w:val="auto"/>
              </w:rPr>
            </w:pPr>
            <w:r>
              <w:rPr>
                <w:rFonts w:ascii="Courier New" w:cs="Courier New" w:eastAsia="Courier New" w:hAnsi="Courier New"/>
                <w:sz w:val="14"/>
                <w:szCs w:val="14"/>
                <w:color w:val="auto"/>
              </w:rPr>
              <w:t>$110.58</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142.18</w:t>
            </w: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0" w:lineRule="exact"/>
        <w:rPr>
          <w:sz w:val="20"/>
          <w:szCs w:val="20"/>
          <w:color w:val="auto"/>
        </w:rPr>
      </w:pPr>
    </w:p>
    <w:p>
      <w:pPr>
        <w:ind w:left="780" w:right="3699" w:hanging="773"/>
        <w:spacing w:after="0" w:line="286" w:lineRule="auto"/>
        <w:tabs>
          <w:tab w:leader="none" w:pos="7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Old Prison Realty's common shares did not begin trading on the NYSE until July 18, 1997. Accordingly, the table and graph reflect Old Prison Realty's performance from that date only.</w:t>
      </w:r>
    </w:p>
    <w:p>
      <w:pPr>
        <w:spacing w:after="0" w:line="59" w:lineRule="exact"/>
        <w:rPr>
          <w:sz w:val="20"/>
          <w:szCs w:val="20"/>
          <w:color w:val="auto"/>
        </w:rPr>
      </w:pPr>
    </w:p>
    <w:p>
      <w:pPr>
        <w:ind w:left="780" w:right="3459" w:hanging="773"/>
        <w:spacing w:after="0" w:line="257" w:lineRule="auto"/>
        <w:tabs>
          <w:tab w:leader="none" w:pos="7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 purchase price of $21.00 per share, the initial public offering price of Old Prison Realty's common shares on the NYSE on July 18, 1997. The Company believes that the use of the initial offering price better reflects shareholder return rather than the use of the opening purchase price of Old Prison Realty's common shares on such date. If a purchase price of $28.00 were used as the initial investment price (as was done in determining Old Prison Realty's cumulative shareholder return in the performance graph appearing in Old Prison Realty's proxy statement prepared in connection with its 1998 Annual Meeting of Shareholders), the cumulative total shareholder return would be $157.69 and $77.60 for the periods ending December 31, 1997 and December 31, 1998, respectively.</w:t>
      </w:r>
    </w:p>
    <w:p>
      <w:pPr>
        <w:spacing w:after="0" w:line="24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10159"/>
          </w:cols>
          <w:pgMar w:left="300" w:top="257"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101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OLD CCA</w:t>
      </w:r>
    </w:p>
    <w:p>
      <w:pPr>
        <w:spacing w:after="0" w:line="168" w:lineRule="exact"/>
        <w:rPr>
          <w:sz w:val="20"/>
          <w:szCs w:val="20"/>
          <w:color w:val="auto"/>
        </w:rPr>
      </w:pPr>
    </w:p>
    <w:p>
      <w:pPr>
        <w:ind w:right="100" w:firstLine="1526"/>
        <w:spacing w:after="0" w:line="256" w:lineRule="auto"/>
        <w:rPr>
          <w:sz w:val="20"/>
          <w:szCs w:val="20"/>
          <w:color w:val="auto"/>
        </w:rPr>
      </w:pPr>
      <w:r>
        <w:rPr>
          <w:rFonts w:ascii="Courier New" w:cs="Courier New" w:eastAsia="Courier New" w:hAnsi="Courier New"/>
          <w:sz w:val="14"/>
          <w:szCs w:val="14"/>
          <w:color w:val="auto"/>
        </w:rPr>
        <w:t>The following graph provides a comparison, for the period of five years commencing December 31,1993 and ending December 31, 1998, of the yearly percentage change in the cumulative total shareholder return on Old CCA's common stock with the cumulative total return of the S&amp;P 500 Index and an index consisting of companies that were either direct competitors of Old CCA or other regional service organizations with similar market capitalization to Old CCA prior to the 1999 Merger (the "Peer Group Index"). Old CCA believed that the companies included within the Peer Group Index generally possessed assets, liabilities and operations more similar to those of Old CCA than the companies comprising other publicly-available indices. The graph assumes an investment of $100 on December 31, 1993, a reinvestment of dividends and actual increase of the market value of Old CCA's common stock relative to the initial investment of $100.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Courier New" w:cs="Courier New" w:eastAsia="Courier New" w:hAnsi="Courier New"/>
                <w:sz w:val="14"/>
                <w:szCs w:val="14"/>
                <w:color w:val="auto"/>
              </w:rPr>
              <w:t>[GRAPH]</w:t>
            </w: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578"/>
        </w:trPr>
        <w:tc>
          <w:tcPr>
            <w:tcW w:w="174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12/31/93</w:t>
            </w:r>
          </w:p>
        </w:tc>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rPr>
              <w:t>12/31/94</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12/31/95</w:t>
            </w:r>
          </w:p>
        </w:tc>
        <w:tc>
          <w:tcPr>
            <w:tcW w:w="11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12/31/96</w:t>
            </w:r>
          </w:p>
        </w:tc>
      </w:tr>
      <w:tr>
        <w:trPr>
          <w:trHeight w:val="238"/>
        </w:trPr>
        <w:tc>
          <w:tcPr>
            <w:tcW w:w="1740" w:type="dxa"/>
            <w:vAlign w:val="bottom"/>
          </w:tcPr>
          <w:p>
            <w:pPr>
              <w:spacing w:after="0"/>
              <w:rPr>
                <w:sz w:val="20"/>
                <w:szCs w:val="20"/>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26"/>
        </w:trPr>
        <w:tc>
          <w:tcPr>
            <w:tcW w:w="1740" w:type="dxa"/>
            <w:vAlign w:val="bottom"/>
          </w:tcPr>
          <w:p>
            <w:pPr>
              <w:spacing w:after="0"/>
              <w:rPr>
                <w:sz w:val="20"/>
                <w:szCs w:val="20"/>
                <w:color w:val="auto"/>
              </w:rPr>
            </w:pPr>
            <w:r>
              <w:rPr>
                <w:rFonts w:ascii="Courier New" w:cs="Courier New" w:eastAsia="Courier New" w:hAnsi="Courier New"/>
                <w:sz w:val="14"/>
                <w:szCs w:val="14"/>
                <w:color w:val="auto"/>
              </w:rPr>
              <w:t>Corrections Corp.</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$100(1)</w:t>
            </w:r>
          </w:p>
        </w:tc>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rPr>
              <w:t>$179.17</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$825.00</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1355.56</w:t>
            </w:r>
          </w:p>
        </w:tc>
      </w:tr>
      <w:tr>
        <w:trPr>
          <w:trHeight w:val="326"/>
        </w:trPr>
        <w:tc>
          <w:tcPr>
            <w:tcW w:w="1740" w:type="dxa"/>
            <w:vAlign w:val="bottom"/>
          </w:tcPr>
          <w:p>
            <w:pPr>
              <w:spacing w:after="0"/>
              <w:rPr>
                <w:sz w:val="20"/>
                <w:szCs w:val="20"/>
                <w:color w:val="auto"/>
              </w:rPr>
            </w:pPr>
            <w:r>
              <w:rPr>
                <w:rFonts w:ascii="Courier New" w:cs="Courier New" w:eastAsia="Courier New" w:hAnsi="Courier New"/>
                <w:sz w:val="14"/>
                <w:szCs w:val="14"/>
                <w:color w:val="auto"/>
              </w:rPr>
              <w:t>Peer Group*</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rPr>
              <w:t>$108.76</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$179.65</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201.31</w:t>
            </w:r>
          </w:p>
        </w:tc>
      </w:tr>
      <w:tr>
        <w:trPr>
          <w:trHeight w:val="326"/>
        </w:trPr>
        <w:tc>
          <w:tcPr>
            <w:tcW w:w="1740" w:type="dxa"/>
            <w:vAlign w:val="bottom"/>
          </w:tcPr>
          <w:p>
            <w:pPr>
              <w:spacing w:after="0"/>
              <w:rPr>
                <w:sz w:val="20"/>
                <w:szCs w:val="20"/>
                <w:color w:val="auto"/>
              </w:rPr>
            </w:pPr>
            <w:r>
              <w:rPr>
                <w:rFonts w:ascii="Courier New" w:cs="Courier New" w:eastAsia="Courier New" w:hAnsi="Courier New"/>
                <w:sz w:val="14"/>
                <w:szCs w:val="14"/>
                <w:color w:val="auto"/>
              </w:rPr>
              <w:t>S&amp;P 500 Composite</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rPr>
              <w:t>$101.36</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$139.48</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171.48</w:t>
            </w: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780" w:right="340" w:hanging="773"/>
        <w:spacing w:after="0" w:line="254" w:lineRule="auto"/>
        <w:tabs>
          <w:tab w:leader="none" w:pos="7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Peer Group includes AMRESCO, Chattem, Inc., Command Security Corporation, Correctional Services Corp.**, Hospital Staffing Services, Inc., Insituform Technology, Inc., Medalliance, Inc., Nichols Research Corporation, Phycor, Inc., Pinkerton, Inc., REN-Corporation-USA, Republic Automotive Parts, Inc., Saks, Inc.***</w:t>
      </w:r>
    </w:p>
    <w:p>
      <w:pPr>
        <w:spacing w:after="0" w:line="2" w:lineRule="exact"/>
        <w:rPr>
          <w:rFonts w:ascii="Courier New" w:cs="Courier New" w:eastAsia="Courier New" w:hAnsi="Courier New"/>
          <w:sz w:val="14"/>
          <w:szCs w:val="14"/>
          <w:color w:val="auto"/>
        </w:rPr>
      </w:pPr>
    </w:p>
    <w:p>
      <w:pPr>
        <w:ind w:left="780" w:right="100"/>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and Wackenhut Corrections. (Medalliance stopped trading stock on November 19, 1995 and Ren Corp stopped trading stock on November 1, 1995; therefore, they have been deleted from the Peer Group after December 31, 1994. Hospital Staffing Services, Inc. stopped trading stock on March 27, 1998 and Republic Automotive Parts, Inc., stopped trading stock on June 26, 1998; therefore, they have been deleted from the Peer Group after December 31, 1997.)</w:t>
      </w:r>
    </w:p>
    <w:p>
      <w:pPr>
        <w:spacing w:after="0" w:line="76" w:lineRule="exact"/>
        <w:rPr>
          <w:sz w:val="20"/>
          <w:szCs w:val="20"/>
          <w:color w:val="auto"/>
        </w:rPr>
      </w:pPr>
    </w:p>
    <w:p>
      <w:pPr>
        <w:ind w:left="780" w:hanging="773"/>
        <w:spacing w:after="0"/>
        <w:tabs>
          <w:tab w:leader="none" w:pos="7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Correctional Services Corp was formerly known as Esmor Corporation.</w:t>
      </w:r>
    </w:p>
    <w:p>
      <w:pPr>
        <w:spacing w:after="0" w:line="167" w:lineRule="exact"/>
        <w:rPr>
          <w:rFonts w:ascii="Courier New" w:cs="Courier New" w:eastAsia="Courier New" w:hAnsi="Courier New"/>
          <w:sz w:val="14"/>
          <w:szCs w:val="14"/>
          <w:color w:val="auto"/>
        </w:rPr>
      </w:pPr>
    </w:p>
    <w:p>
      <w:pPr>
        <w:ind w:left="780" w:hanging="773"/>
        <w:spacing w:after="0"/>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Proffitts, Inc. merged with Saks, Inc. on September 17, 1998.</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0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8"/>
              </w:rPr>
              <w:t>12/31/97</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w w:val="98"/>
              </w:rPr>
              <w:t>12/31/98</w:t>
            </w:r>
          </w:p>
        </w:tc>
      </w:tr>
      <w:tr>
        <w:trPr>
          <w:trHeight w:val="238"/>
        </w:trPr>
        <w:tc>
          <w:tcPr>
            <w:tcW w:w="10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w w:val="98"/>
              </w:rPr>
              <w:t>--------</w:t>
            </w:r>
          </w:p>
        </w:tc>
      </w:tr>
      <w:tr>
        <w:trPr>
          <w:trHeight w:val="32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8"/>
              </w:rPr>
              <w:t>1647.22</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$783.33</w:t>
            </w:r>
          </w:p>
        </w:tc>
      </w:tr>
      <w:tr>
        <w:trPr>
          <w:trHeight w:val="32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233.38</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$179.57</w:t>
            </w:r>
          </w:p>
        </w:tc>
      </w:tr>
      <w:tr>
        <w:trPr>
          <w:trHeight w:val="32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228.69</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$294.05</w:t>
            </w:r>
          </w:p>
        </w:tc>
      </w:tr>
    </w:tbl>
    <w:p>
      <w:pPr>
        <w:sectPr>
          <w:pgSz w:w="11900" w:h="16838" w:orient="portrait"/>
          <w:cols w:equalWidth="0" w:num="2">
            <w:col w:w="6800" w:space="420"/>
            <w:col w:w="2939"/>
          </w:cols>
          <w:pgMar w:left="300" w:top="257"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102</w:t>
      </w:r>
    </w:p>
    <w:p>
      <w:pPr>
        <w:spacing w:after="0" w:line="168"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THE COMPANY'S COMMON STOCK</w:t>
      </w:r>
    </w:p>
    <w:p>
      <w:pPr>
        <w:spacing w:after="0" w:line="168" w:lineRule="exact"/>
        <w:rPr>
          <w:sz w:val="20"/>
          <w:szCs w:val="20"/>
          <w:color w:val="auto"/>
        </w:rPr>
      </w:pPr>
    </w:p>
    <w:p>
      <w:pPr>
        <w:ind w:right="100" w:firstLine="763"/>
        <w:spacing w:after="0" w:line="257" w:lineRule="auto"/>
        <w:rPr>
          <w:sz w:val="20"/>
          <w:szCs w:val="20"/>
          <w:color w:val="auto"/>
        </w:rPr>
      </w:pPr>
      <w:r>
        <w:rPr>
          <w:rFonts w:ascii="Courier New" w:cs="Courier New" w:eastAsia="Courier New" w:hAnsi="Courier New"/>
          <w:sz w:val="14"/>
          <w:szCs w:val="14"/>
          <w:color w:val="auto"/>
        </w:rPr>
        <w:t>The following table sets forth certain information with respect to the beneficial ownership of shares of the Company's Common Stock as of March 15, 2000, by: (i) each shareholder of the Company that the Company believes currently holds more than a 5% beneficial interest in the Company's Common Stock; (ii) each existing director of the Company; (iii) each of the Company's Named Executive Officers (including D. Robert Crants, III and Michael W. Devlin); and (iv) all directors and executive officers as a group. Except as otherwise indicated, the Company believes that the beneficial owners of the shares of the Company's Common Stock listed below, based on information furnished by such owners and/or from information contained reports filed by the beneficial owner with the Commission pursuant to Section 13 of the Exchange Act, have sole voting and investment power with respect to such shares.</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NUMBER OF SHARES OF COMMON</w:t>
      </w:r>
    </w:p>
    <w:p>
      <w:pPr>
        <w:spacing w:after="0" w:line="30"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STOCK BENEFICIALLY OWNED (1)</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20" w:type="dxa"/>
            <w:vAlign w:val="bottom"/>
          </w:tcPr>
          <w:p>
            <w:pPr>
              <w:spacing w:after="0"/>
              <w:rPr>
                <w:sz w:val="20"/>
                <w:szCs w:val="20"/>
                <w:color w:val="auto"/>
              </w:rPr>
            </w:pPr>
            <w:r>
              <w:rPr>
                <w:rFonts w:ascii="Courier New" w:cs="Courier New" w:eastAsia="Courier New" w:hAnsi="Courier New"/>
                <w:sz w:val="14"/>
                <w:szCs w:val="14"/>
                <w:color w:val="auto"/>
              </w:rPr>
              <w:t>Dreman Value Management, L.L.C..................</w:t>
            </w:r>
          </w:p>
        </w:tc>
        <w:tc>
          <w:tcPr>
            <w:tcW w:w="17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13,324,690(3)</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10 Exchange Place, Suite 2150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Jersey City, New Jersey 07302-3913</w:t>
            </w:r>
          </w:p>
        </w:tc>
        <w:tc>
          <w:tcPr>
            <w:tcW w:w="17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10,459,131(4)</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Sodexho Alliance, S.A...........................</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Port de la Bourdonnais 75007</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Paris, France</w:t>
            </w:r>
          </w:p>
        </w:tc>
        <w:tc>
          <w:tcPr>
            <w:tcW w:w="17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8,923,325(5)</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Scudder Kemper Investments, Inc.................</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345 Park Avenue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New York, New York 10154</w:t>
            </w:r>
          </w:p>
        </w:tc>
        <w:tc>
          <w:tcPr>
            <w:tcW w:w="17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6,802,000(6)</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Gotham Partners, L.P............................</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Gotham Partners III, L.P.</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Gotham International Advisors, L.L.C.</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110 East 42nd Street, 18th Floor</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New York, New York 10017</w:t>
            </w:r>
          </w:p>
        </w:tc>
        <w:tc>
          <w:tcPr>
            <w:tcW w:w="17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2,490,626(7)</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Thomas W. Beasley...............................</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Doctor R. Crants................................</w:t>
            </w:r>
          </w:p>
        </w:tc>
        <w:tc>
          <w:tcPr>
            <w:tcW w:w="17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1,473,858(8)</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J. Michael Quinlan..............................</w:t>
            </w:r>
          </w:p>
        </w:tc>
        <w:tc>
          <w:tcPr>
            <w:tcW w:w="17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427,745(9)</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C. Ray Bell.....................................</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160,161(10)</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Richard W. Cardin...............................</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20,750(11)</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Jean-Pierre Cuny................................</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26,250(12)</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Ted Feldman.....................................</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27,054(11)</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Jackson W. Moore................................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42,259(11)</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Joseph V. Russell...............................</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146,657(13)</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Charles W. Thomas...............................</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71,896(11)</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Vida H. Carroll.................................</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64,006(14)</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D. Robert Crants, III...........................</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641,892(15)</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Courier New" w:cs="Courier New" w:eastAsia="Courier New" w:hAnsi="Courier New"/>
                <w:sz w:val="14"/>
                <w:szCs w:val="14"/>
                <w:color w:val="auto"/>
              </w:rPr>
              <w:t>Michael W. Devlin...............................</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641,892(15)</w:t>
            </w:r>
          </w:p>
        </w:tc>
        <w:tc>
          <w:tcPr>
            <w:tcW w:w="0" w:type="dxa"/>
            <w:vAlign w:val="bottom"/>
          </w:tcPr>
          <w:p>
            <w:pPr>
              <w:spacing w:after="0"/>
              <w:rPr>
                <w:sz w:val="1"/>
                <w:szCs w:val="1"/>
                <w:color w:val="auto"/>
              </w:rPr>
            </w:pPr>
          </w:p>
        </w:tc>
      </w:tr>
      <w:tr>
        <w:trPr>
          <w:trHeight w:val="252"/>
        </w:trPr>
        <w:tc>
          <w:tcPr>
            <w:tcW w:w="4620" w:type="dxa"/>
            <w:vAlign w:val="bottom"/>
          </w:tcPr>
          <w:p>
            <w:pPr>
              <w:spacing w:after="0"/>
              <w:rPr>
                <w:sz w:val="20"/>
                <w:szCs w:val="20"/>
                <w:color w:val="auto"/>
              </w:rPr>
            </w:pPr>
            <w:r>
              <w:rPr>
                <w:rFonts w:ascii="Courier New" w:cs="Courier New" w:eastAsia="Courier New" w:hAnsi="Courier New"/>
                <w:sz w:val="14"/>
                <w:szCs w:val="14"/>
                <w:color w:val="auto"/>
              </w:rPr>
              <w:t>All Named Executive Officers and directors as a</w:t>
            </w:r>
          </w:p>
        </w:tc>
        <w:tc>
          <w:tcPr>
            <w:tcW w:w="1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5,644,910(16)</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Courier New" w:cs="Courier New" w:eastAsia="Courier New" w:hAnsi="Courier New"/>
                <w:sz w:val="14"/>
                <w:szCs w:val="14"/>
                <w:color w:val="auto"/>
              </w:rPr>
              <w:t>group (13 persons)..............................</w:t>
            </w: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180" w:firstLine="7"/>
        <w:spacing w:after="0" w:line="366" w:lineRule="auto"/>
        <w:tabs>
          <w:tab w:leader="none" w:pos="17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beneficial ownership of less than 1% of the outstanding shares of the Company's Common Stock.</w:t>
      </w:r>
    </w:p>
    <w:p>
      <w:pPr>
        <w:spacing w:after="0" w:line="6" w:lineRule="exact"/>
        <w:rPr>
          <w:sz w:val="20"/>
          <w:szCs w:val="20"/>
          <w:color w:val="auto"/>
        </w:rPr>
      </w:pPr>
    </w:p>
    <w:p>
      <w:pPr>
        <w:ind w:right="100" w:firstLine="7"/>
        <w:spacing w:after="0" w:line="259" w:lineRule="auto"/>
        <w:tabs>
          <w:tab w:leader="none" w:pos="33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as to which such person directly or indirectly, through any contract, arrangement, understanding, relationship, or otherwise has or shares voting power and/or investment power as these terms are defined in Rule</w:t>
      </w:r>
    </w:p>
    <w:p>
      <w:pPr>
        <w:spacing w:after="0" w:line="1" w:lineRule="exact"/>
        <w:rPr>
          <w:rFonts w:ascii="Courier New" w:cs="Courier New" w:eastAsia="Courier New" w:hAnsi="Courier New"/>
          <w:sz w:val="14"/>
          <w:szCs w:val="14"/>
          <w:color w:val="auto"/>
        </w:rPr>
      </w:pPr>
    </w:p>
    <w:p>
      <w:pPr>
        <w:ind w:right="100"/>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13d-3(a) of the Exchange Act. Shares of the Company's Common Stock underlying options to purchase shares of the Company's Common Stock, which are exercisable, or become exercisable within 60 days after March 15, 2000, are deemed to be outstanding for the purpose of computing the outstanding shares of the Company's Common Stock owned by the articular person and by the group, but are not deemed outstanding for any other purpose.</w:t>
      </w:r>
    </w:p>
    <w:p>
      <w:pPr>
        <w:spacing w:after="0" w:line="76" w:lineRule="exact"/>
        <w:rPr>
          <w:rFonts w:ascii="Courier New" w:cs="Courier New" w:eastAsia="Courier New" w:hAnsi="Courier New"/>
          <w:sz w:val="14"/>
          <w:szCs w:val="14"/>
          <w:color w:val="auto"/>
        </w:rPr>
      </w:pPr>
    </w:p>
    <w:p>
      <w:pPr>
        <w:ind w:right="680" w:firstLine="7"/>
        <w:spacing w:after="0" w:line="366" w:lineRule="auto"/>
        <w:tabs>
          <w:tab w:leader="none" w:pos="33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118,395,379 shares of the Company's Common Stock issued and outstanding on March 15, 2000.</w:t>
      </w:r>
    </w:p>
    <w:p>
      <w:pPr>
        <w:spacing w:after="0" w:line="1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239"/>
        <w:spacing w:after="0" w:line="266" w:lineRule="auto"/>
        <w:rPr>
          <w:sz w:val="20"/>
          <w:szCs w:val="20"/>
          <w:color w:val="auto"/>
        </w:rPr>
      </w:pPr>
      <w:r>
        <w:rPr>
          <w:rFonts w:ascii="Courier New" w:cs="Courier New" w:eastAsia="Courier New" w:hAnsi="Courier New"/>
          <w:sz w:val="14"/>
          <w:szCs w:val="14"/>
          <w:color w:val="auto"/>
        </w:rPr>
        <w:t>PERCENTAGE OF SHARES OF COMMON STOCK BENEFICIALLY OWNED (2)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6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11.3</w:t>
      </w:r>
    </w:p>
    <w:p>
      <w:pPr>
        <w:spacing w:after="0" w:line="331"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8.8</w:t>
      </w:r>
    </w:p>
    <w:p>
      <w:pPr>
        <w:spacing w:after="0" w:line="331"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7.5</w:t>
      </w:r>
    </w:p>
    <w:p>
      <w:pPr>
        <w:spacing w:after="0" w:line="331"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2.1</w:t>
      </w:r>
    </w:p>
    <w:p>
      <w:pPr>
        <w:spacing w:after="0" w:line="30"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1.2</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w:t>
      </w:r>
    </w:p>
    <w:p>
      <w:pPr>
        <w:spacing w:after="0" w:line="305"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2">
            <w:col w:w="6800" w:space="580"/>
            <w:col w:w="2779"/>
          </w:cols>
          <w:pgMar w:left="300" w:top="256"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103</w:t>
      </w:r>
    </w:p>
    <w:p>
      <w:pPr>
        <w:spacing w:after="0" w:line="200" w:lineRule="exact"/>
        <w:rPr>
          <w:sz w:val="20"/>
          <w:szCs w:val="20"/>
          <w:color w:val="auto"/>
        </w:rPr>
      </w:pPr>
    </w:p>
    <w:p>
      <w:pPr>
        <w:spacing w:after="0" w:line="294" w:lineRule="exact"/>
        <w:rPr>
          <w:sz w:val="20"/>
          <w:szCs w:val="20"/>
          <w:color w:val="auto"/>
        </w:rPr>
      </w:pPr>
    </w:p>
    <w:p>
      <w:pPr>
        <w:ind w:right="3539" w:firstLine="7"/>
        <w:spacing w:after="0" w:line="270" w:lineRule="auto"/>
        <w:tabs>
          <w:tab w:leader="none" w:pos="33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beneficial ownership information was received by the Company from a Schedule 13D filed with the Commission on January 6, 2000. Dreman Value Management, L.L.C. beneficially owns, and has the sole power to dispose or direct the disposition of, 13,324,690 shares of the Company's Common Stock. Of this amount, Dreman Value Management, L.L.C. has the sole power to vote or direct the vote of 12,581,140 shares of the Company's Common Stock.</w:t>
      </w:r>
    </w:p>
    <w:p>
      <w:pPr>
        <w:spacing w:after="0" w:line="71" w:lineRule="exact"/>
        <w:rPr>
          <w:rFonts w:ascii="Courier New" w:cs="Courier New" w:eastAsia="Courier New" w:hAnsi="Courier New"/>
          <w:sz w:val="14"/>
          <w:szCs w:val="14"/>
          <w:color w:val="auto"/>
        </w:rPr>
      </w:pPr>
    </w:p>
    <w:p>
      <w:pPr>
        <w:ind w:right="3459" w:firstLine="7"/>
        <w:spacing w:after="0" w:line="270" w:lineRule="auto"/>
        <w:tabs>
          <w:tab w:leader="none" w:pos="33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10,383,505 shares of the Company's Common Stock held by Sodexho and 75,626 shares of the Company's Common Stock issuable upon the exercise of certain options issued to Jean-Pierre Cuny and transferred by Mr. Cuny to Sodexho. Does not include 26,250 shares of the Company's Common Stock issuable upon the exercise of certain options issued to Jean-Pierre Cuny, which were not transferred by Mr. Cuny to Sodexho.</w:t>
      </w:r>
    </w:p>
    <w:p>
      <w:pPr>
        <w:spacing w:after="0" w:line="71" w:lineRule="exact"/>
        <w:rPr>
          <w:rFonts w:ascii="Courier New" w:cs="Courier New" w:eastAsia="Courier New" w:hAnsi="Courier New"/>
          <w:sz w:val="14"/>
          <w:szCs w:val="14"/>
          <w:color w:val="auto"/>
        </w:rPr>
      </w:pPr>
    </w:p>
    <w:p>
      <w:pPr>
        <w:ind w:right="3619" w:firstLine="7"/>
        <w:spacing w:after="0" w:line="270" w:lineRule="auto"/>
        <w:tabs>
          <w:tab w:leader="none" w:pos="33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beneficial ownership information was received by the Company from a Schedule 13G filed with the Commission on January 28, 2000. Scudder Kemper Investments, Inc. beneficially owns, and has the sole power to dispose or to direct the disposition of, 8,923,325 shares of the Company's Common Stock. Of this amount, Scudder Kemper Investments, Inc. has the sole power to vote or direct the vote of 8,922,100 shares of the Company's Common Stock.</w:t>
      </w:r>
    </w:p>
    <w:p>
      <w:pPr>
        <w:spacing w:after="0" w:line="71" w:lineRule="exact"/>
        <w:rPr>
          <w:rFonts w:ascii="Courier New" w:cs="Courier New" w:eastAsia="Courier New" w:hAnsi="Courier New"/>
          <w:sz w:val="14"/>
          <w:szCs w:val="14"/>
          <w:color w:val="auto"/>
        </w:rPr>
      </w:pPr>
    </w:p>
    <w:p>
      <w:pPr>
        <w:ind w:right="3459" w:firstLine="7"/>
        <w:spacing w:after="0" w:line="255" w:lineRule="auto"/>
        <w:tabs>
          <w:tab w:leader="none" w:pos="33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beneficial ownership information was received by the Company from a Schedule 13D filed with the Commission on February 9, 2000. Gotham Partners, L.P. has sole voting and investment power with respect to 4,507,452 shares of the Company's Common Stock. Gotham Partners III, L.P. has sole voting and investment power with respect to 222,962 shares of the Company's Common Stock. Gotham International Advisors, L.L.C. has sole voting and investment power with respect to 2,071,586 shares of the Company's Common Stock. Section H Partners, L.P. is the sole general partner of Gotham Partners, L.P. and Gotham Partners III, L.P. Karenina Corp., which is wholly owned by William A. Ackman, and DPB Corp., which is wholly owned by David P. Berkowitz, are the sole general partners of Section H Partners, L.P. Messrs. Ackman and Berkowitz are the senior managing members of Gotham International Advisors, L.L.C., which, pursuant to an investment management agreement, has the power to vote and dispose of 2,071,586 shares of the Company's Common Stock owned by Gotham Partners International, Ltd.</w:t>
      </w:r>
    </w:p>
    <w:p>
      <w:pPr>
        <w:spacing w:after="0" w:line="81" w:lineRule="exact"/>
        <w:rPr>
          <w:rFonts w:ascii="Courier New" w:cs="Courier New" w:eastAsia="Courier New" w:hAnsi="Courier New"/>
          <w:sz w:val="14"/>
          <w:szCs w:val="14"/>
          <w:color w:val="auto"/>
        </w:rPr>
      </w:pPr>
    </w:p>
    <w:p>
      <w:pPr>
        <w:ind w:right="3459" w:firstLine="7"/>
        <w:spacing w:after="0" w:line="276" w:lineRule="auto"/>
        <w:tabs>
          <w:tab w:leader="none" w:pos="33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 shares of the Company's Common Stock issuable upon the exercise of vested options, 26,211 shares of the Company's Common Stock held in a 401(k) plan, 19,750 shares of the Company's Common Stock owned by Thomas W. Beasley's spouse, and an aggregate of 14,567 shares of the Company's Common Stock owned by Mr. Beasley's three children.</w:t>
      </w:r>
    </w:p>
    <w:p>
      <w:pPr>
        <w:spacing w:after="0" w:line="66"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325,000 shares of the Company's Common Stock issuable upon the</w:t>
      </w:r>
    </w:p>
    <w:p>
      <w:pPr>
        <w:spacing w:after="0" w:line="30" w:lineRule="exact"/>
        <w:rPr>
          <w:rFonts w:ascii="Courier New" w:cs="Courier New" w:eastAsia="Courier New" w:hAnsi="Courier New"/>
          <w:sz w:val="14"/>
          <w:szCs w:val="14"/>
          <w:color w:val="auto"/>
        </w:rPr>
      </w:pPr>
    </w:p>
    <w:p>
      <w:pPr>
        <w:ind w:right="3459"/>
        <w:spacing w:after="0" w:line="32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vested options and 43,163 shares of the Company's Common Stock held in a 401(k) plan.</w:t>
      </w:r>
    </w:p>
    <w:p>
      <w:pPr>
        <w:spacing w:after="0" w:line="31" w:lineRule="exact"/>
        <w:rPr>
          <w:rFonts w:ascii="Courier New" w:cs="Courier New" w:eastAsia="Courier New" w:hAnsi="Courier New"/>
          <w:sz w:val="14"/>
          <w:szCs w:val="14"/>
          <w:color w:val="auto"/>
        </w:rPr>
      </w:pPr>
    </w:p>
    <w:p>
      <w:pPr>
        <w:ind w:right="3539" w:firstLine="7"/>
        <w:spacing w:after="0" w:line="276" w:lineRule="auto"/>
        <w:tabs>
          <w:tab w:leader="none" w:pos="33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393,750 shares of the Company's Common Stock issuable upon the exercise of vested options, 900 shares of the Company's Common Stock owned by Mr. Quinlan's daughters, 21,000 shares of the Company's Common Stock owned by Mr. Quinlan's spouse and 2,645 shares of the Company's Common Stock held in an Individual Retirement Account.</w:t>
      </w:r>
    </w:p>
    <w:p>
      <w:pPr>
        <w:spacing w:after="0" w:line="66" w:lineRule="exact"/>
        <w:rPr>
          <w:rFonts w:ascii="Courier New" w:cs="Courier New" w:eastAsia="Courier New" w:hAnsi="Courier New"/>
          <w:sz w:val="14"/>
          <w:szCs w:val="14"/>
          <w:color w:val="auto"/>
        </w:rPr>
      </w:pPr>
    </w:p>
    <w:p>
      <w:pPr>
        <w:ind w:right="3459" w:firstLine="7"/>
        <w:spacing w:after="0" w:line="306" w:lineRule="auto"/>
        <w:tabs>
          <w:tab w:leader="none" w:pos="42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15,000 shares of the Company's Common Stock issuable upon the exercise of vested options and 1,000 shares of the Company's Common Stock owned jointly by Mr. Bell and his spouse.</w:t>
      </w:r>
    </w:p>
    <w:p>
      <w:pPr>
        <w:spacing w:after="0" w:line="45" w:lineRule="exact"/>
        <w:rPr>
          <w:rFonts w:ascii="Courier New" w:cs="Courier New" w:eastAsia="Courier New" w:hAnsi="Courier New"/>
          <w:sz w:val="14"/>
          <w:szCs w:val="14"/>
          <w:color w:val="auto"/>
        </w:rPr>
      </w:pPr>
    </w:p>
    <w:p>
      <w:pPr>
        <w:ind w:right="3799" w:firstLine="7"/>
        <w:spacing w:after="0" w:line="366" w:lineRule="auto"/>
        <w:tabs>
          <w:tab w:leader="none" w:pos="42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15,000 shares of the Company's Common Stock issuable upon the exercise of vested options.</w:t>
      </w:r>
    </w:p>
    <w:p>
      <w:pPr>
        <w:spacing w:after="0" w:line="5"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Cuny serves as the Senior Vice-President of The Sodexho Group, an</w:t>
      </w:r>
    </w:p>
    <w:p>
      <w:pPr>
        <w:spacing w:after="0" w:line="30" w:lineRule="exact"/>
        <w:rPr>
          <w:rFonts w:ascii="Courier New" w:cs="Courier New" w:eastAsia="Courier New" w:hAnsi="Courier New"/>
          <w:sz w:val="14"/>
          <w:szCs w:val="14"/>
          <w:color w:val="auto"/>
        </w:rPr>
      </w:pPr>
    </w:p>
    <w:p>
      <w:pPr>
        <w:ind w:right="345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of Sodexho. Mr. Cuny beneficially owns 26,250 shares of the Company's Common Stock issuable upon the exercise of vested options. This number does not include 10,459,131 shares of the Company's Common Stock beneficially owned by Sodexho (including 75,626 shares of the Company's Common Stock issuable upon the exercise of options issued to Mr. Curry and transferred by Mr. Curry to Sodexho), of which Mr. Cuny disclaims beneficial ownership.</w:t>
      </w:r>
    </w:p>
    <w:p>
      <w:pPr>
        <w:spacing w:after="0" w:line="76" w:lineRule="exact"/>
        <w:rPr>
          <w:rFonts w:ascii="Courier New" w:cs="Courier New" w:eastAsia="Courier New" w:hAnsi="Courier New"/>
          <w:sz w:val="14"/>
          <w:szCs w:val="14"/>
          <w:color w:val="auto"/>
        </w:rPr>
      </w:pPr>
    </w:p>
    <w:p>
      <w:pPr>
        <w:ind w:right="3619" w:firstLine="7"/>
        <w:spacing w:after="0" w:line="306" w:lineRule="auto"/>
        <w:tabs>
          <w:tab w:leader="none" w:pos="42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15,000 shares of the Company's Common Stock issuable upon the exercise of vested options and 437 shares of the Company's Common Stock owned jointly by Mr. Russell and his daughter.</w:t>
      </w:r>
    </w:p>
    <w:p>
      <w:pPr>
        <w:spacing w:after="0" w:line="45" w:lineRule="exact"/>
        <w:rPr>
          <w:rFonts w:ascii="Courier New" w:cs="Courier New" w:eastAsia="Courier New" w:hAnsi="Courier New"/>
          <w:sz w:val="14"/>
          <w:szCs w:val="14"/>
          <w:color w:val="auto"/>
        </w:rPr>
      </w:pPr>
    </w:p>
    <w:p>
      <w:pPr>
        <w:ind w:right="3799" w:firstLine="7"/>
        <w:spacing w:after="0" w:line="366" w:lineRule="auto"/>
        <w:tabs>
          <w:tab w:leader="none" w:pos="42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61,875 shares of the Company's Common Stock issuable upon the exercise of vested options.</w:t>
      </w:r>
    </w:p>
    <w:p>
      <w:pPr>
        <w:spacing w:after="0" w:line="5" w:lineRule="exact"/>
        <w:rPr>
          <w:rFonts w:ascii="Courier New" w:cs="Courier New" w:eastAsia="Courier New" w:hAnsi="Courier New"/>
          <w:sz w:val="14"/>
          <w:szCs w:val="14"/>
          <w:color w:val="auto"/>
        </w:rPr>
      </w:pPr>
    </w:p>
    <w:p>
      <w:pPr>
        <w:ind w:right="3539" w:firstLine="7"/>
        <w:spacing w:after="0" w:line="276" w:lineRule="auto"/>
        <w:tabs>
          <w:tab w:leader="none" w:pos="42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592,267 shares of the Company's Common Stock held by a private investment partnership. Each of Michael W. Devlin and D. Robert Crants, III serve as a manager of the general partner of the private investment partnership. Therefore, each are deemed to beneficially own the 592,267 shares of the Company's Common Stock held by the private investment partnership.</w:t>
      </w:r>
    </w:p>
    <w:p>
      <w:pPr>
        <w:spacing w:after="0" w:line="66" w:lineRule="exact"/>
        <w:rPr>
          <w:rFonts w:ascii="Courier New" w:cs="Courier New" w:eastAsia="Courier New" w:hAnsi="Courier New"/>
          <w:sz w:val="14"/>
          <w:szCs w:val="14"/>
          <w:color w:val="auto"/>
        </w:rPr>
      </w:pPr>
    </w:p>
    <w:p>
      <w:pPr>
        <w:ind w:right="3879" w:firstLine="7"/>
        <w:spacing w:after="0" w:line="366" w:lineRule="auto"/>
        <w:tabs>
          <w:tab w:leader="none" w:pos="42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aggregate of 904,006 shares of the Company's Common Stock issuable upon the exercise of vested options.</w:t>
      </w:r>
    </w:p>
    <w:p>
      <w:pPr>
        <w:spacing w:after="0" w:line="1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10159"/>
          </w:cols>
          <w:pgMar w:left="300" w:top="257"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104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THE COMPANY'S SERIES A PREFERRED STOCK</w:t>
      </w:r>
    </w:p>
    <w:p>
      <w:pPr>
        <w:spacing w:after="0" w:line="168" w:lineRule="exact"/>
        <w:rPr>
          <w:sz w:val="20"/>
          <w:szCs w:val="20"/>
          <w:color w:val="auto"/>
        </w:rPr>
      </w:pPr>
    </w:p>
    <w:p>
      <w:pPr>
        <w:ind w:right="760" w:firstLine="1102"/>
        <w:spacing w:after="0" w:line="266" w:lineRule="auto"/>
        <w:rPr>
          <w:sz w:val="20"/>
          <w:szCs w:val="20"/>
          <w:color w:val="auto"/>
        </w:rPr>
      </w:pPr>
      <w:r>
        <w:rPr>
          <w:rFonts w:ascii="Courier New" w:cs="Courier New" w:eastAsia="Courier New" w:hAnsi="Courier New"/>
          <w:sz w:val="14"/>
          <w:szCs w:val="14"/>
          <w:color w:val="auto"/>
        </w:rPr>
        <w:t>The following table sets forth, as of March 15, 2000, certain information with respect to the beneficial ownership of shares of the Company's Series A Preferred Stock by each existing director of the Company and all directors as a group. No Named Executive Officers of the Company, nor the Company's Chief Executive Officer, owned any shares of the Series A Preferred Stock as of March 15, 2000. In addition, the Company is aware of no beneficial holder of more than 5% of the Series A Preferred Stock.</w:t>
      </w:r>
    </w:p>
    <w:p>
      <w:pPr>
        <w:spacing w:after="0" w:line="200" w:lineRule="exact"/>
        <w:rPr>
          <w:sz w:val="20"/>
          <w:szCs w:val="20"/>
          <w:color w:val="auto"/>
        </w:rPr>
      </w:pPr>
    </w:p>
    <w:p>
      <w:pPr>
        <w:spacing w:after="0" w:line="363"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NUMBER OF SHARES OF SERIES A PREFERRED</w:t>
      </w:r>
    </w:p>
    <w:p>
      <w:pPr>
        <w:spacing w:after="0" w:line="30"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STOCK BENEFICIALLY OWNED (1)</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BENEFICIAL OWNER</w:t>
      </w:r>
    </w:p>
    <w:p>
      <w:pPr>
        <w:spacing w:after="0" w:line="168" w:lineRule="exact"/>
        <w:rPr>
          <w:sz w:val="20"/>
          <w:szCs w:val="20"/>
          <w:color w:val="auto"/>
        </w:rPr>
      </w:pPr>
    </w:p>
    <w:p>
      <w:pPr>
        <w:spacing w:after="0"/>
        <w:tabs>
          <w:tab w:leader="none" w:pos="5420" w:val="left"/>
        </w:tabs>
        <w:rPr>
          <w:sz w:val="20"/>
          <w:szCs w:val="20"/>
          <w:color w:val="auto"/>
        </w:rPr>
      </w:pPr>
      <w:r>
        <w:rPr>
          <w:rFonts w:ascii="Courier New" w:cs="Courier New" w:eastAsia="Courier New" w:hAnsi="Courier New"/>
          <w:sz w:val="14"/>
          <w:szCs w:val="14"/>
          <w:color w:val="auto"/>
        </w:rPr>
        <w:t>C. Ray Bell ..................................</w:t>
      </w:r>
      <w:r>
        <w:rPr>
          <w:sz w:val="20"/>
          <w:szCs w:val="20"/>
          <w:color w:val="auto"/>
        </w:rPr>
        <w:tab/>
      </w:r>
      <w:r>
        <w:rPr>
          <w:rFonts w:ascii="Courier New" w:cs="Courier New" w:eastAsia="Courier New" w:hAnsi="Courier New"/>
          <w:sz w:val="14"/>
          <w:szCs w:val="14"/>
          <w:color w:val="auto"/>
        </w:rPr>
        <w:t>5,000</w:t>
      </w:r>
    </w:p>
    <w:p>
      <w:pPr>
        <w:spacing w:after="0" w:line="168" w:lineRule="exact"/>
        <w:rPr>
          <w:sz w:val="20"/>
          <w:szCs w:val="20"/>
          <w:color w:val="auto"/>
        </w:rPr>
      </w:pPr>
    </w:p>
    <w:p>
      <w:pPr>
        <w:spacing w:after="0"/>
        <w:tabs>
          <w:tab w:leader="none" w:pos="5420" w:val="left"/>
        </w:tabs>
        <w:rPr>
          <w:sz w:val="20"/>
          <w:szCs w:val="20"/>
          <w:color w:val="auto"/>
        </w:rPr>
      </w:pPr>
      <w:r>
        <w:rPr>
          <w:rFonts w:ascii="Courier New" w:cs="Courier New" w:eastAsia="Courier New" w:hAnsi="Courier New"/>
          <w:sz w:val="14"/>
          <w:szCs w:val="14"/>
          <w:color w:val="auto"/>
        </w:rPr>
        <w:t>All directors as a group (9 persons) .........</w:t>
      </w:r>
      <w:r>
        <w:rPr>
          <w:sz w:val="20"/>
          <w:szCs w:val="20"/>
          <w:color w:val="auto"/>
        </w:rPr>
        <w:tab/>
      </w:r>
      <w:r>
        <w:rPr>
          <w:rFonts w:ascii="Courier New" w:cs="Courier New" w:eastAsia="Courier New" w:hAnsi="Courier New"/>
          <w:sz w:val="14"/>
          <w:szCs w:val="14"/>
          <w:color w:val="auto"/>
        </w:rPr>
        <w:t>5,000</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780" w:right="1100" w:hanging="773"/>
        <w:spacing w:after="0" w:line="366" w:lineRule="auto"/>
        <w:tabs>
          <w:tab w:leader="none" w:pos="7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beneficial ownership of less than 1% of the outstanding shares of the Series A Preferred Stock.</w:t>
      </w:r>
    </w:p>
    <w:p>
      <w:pPr>
        <w:spacing w:after="0" w:line="6" w:lineRule="exact"/>
        <w:rPr>
          <w:sz w:val="20"/>
          <w:szCs w:val="20"/>
          <w:color w:val="auto"/>
        </w:rPr>
      </w:pPr>
    </w:p>
    <w:p>
      <w:pPr>
        <w:ind w:left="780" w:right="840" w:hanging="773"/>
        <w:spacing w:after="0" w:line="286" w:lineRule="auto"/>
        <w:tabs>
          <w:tab w:leader="none" w:pos="7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as to which such person directly or indirectly, through any contract, arrangement, understanding, relationship, or otherwise has or shares voting power and/or investment power as these terms are defined in Rule 13d-3(a) of the Exchange Act.</w:t>
      </w:r>
    </w:p>
    <w:p>
      <w:pPr>
        <w:spacing w:after="0" w:line="59" w:lineRule="exact"/>
        <w:rPr>
          <w:rFonts w:ascii="Courier New" w:cs="Courier New" w:eastAsia="Courier New" w:hAnsi="Courier New"/>
          <w:sz w:val="14"/>
          <w:szCs w:val="14"/>
          <w:color w:val="auto"/>
        </w:rPr>
      </w:pPr>
    </w:p>
    <w:p>
      <w:pPr>
        <w:ind w:left="780" w:right="920" w:hanging="773"/>
        <w:spacing w:after="0" w:line="366" w:lineRule="auto"/>
        <w:tabs>
          <w:tab w:leader="none" w:pos="7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4,300,000 shares of the Series A Preferred Stock issued and outstanding.</w:t>
      </w:r>
    </w:p>
    <w:p>
      <w:pPr>
        <w:spacing w:after="0" w:line="169"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68" w:lineRule="exact"/>
        <w:rPr>
          <w:sz w:val="20"/>
          <w:szCs w:val="20"/>
          <w:color w:val="auto"/>
        </w:rPr>
      </w:pPr>
    </w:p>
    <w:p>
      <w:pPr>
        <w:ind w:right="760" w:firstLine="763"/>
        <w:spacing w:after="0" w:line="258" w:lineRule="auto"/>
        <w:rPr>
          <w:sz w:val="20"/>
          <w:szCs w:val="20"/>
          <w:color w:val="auto"/>
        </w:rPr>
      </w:pPr>
      <w:r>
        <w:rPr>
          <w:rFonts w:ascii="Courier New" w:cs="Courier New" w:eastAsia="Courier New" w:hAnsi="Courier New"/>
          <w:sz w:val="14"/>
          <w:szCs w:val="14"/>
          <w:color w:val="auto"/>
        </w:rPr>
        <w:t>The Company commenced operations on January 1, 1999 following the 1999 Merger. CCA commenced operations on December 31, 1998 as the result of the contribution and assignment of certain facility management contracts and related assets by Old CCA to CCA in connection with the 1999 Merger. The Company currently leases the substantial majority of the correctional and detention facilities owned by it to CCA pursuant to the CCA Leases. The total amount of lease payments required to be paid by CCA to the Company during 1999 was approximately $263.5 million, of which approximately $251.6 million has been paid as of March 17, 2000. If the Restructuring and related transactions are completed, the CCA Leases will be canceled and will be of no further force and effect.</w:t>
      </w:r>
    </w:p>
    <w:p>
      <w:pPr>
        <w:spacing w:after="0" w:line="82" w:lineRule="exact"/>
        <w:rPr>
          <w:sz w:val="20"/>
          <w:szCs w:val="20"/>
          <w:color w:val="auto"/>
        </w:rPr>
      </w:pPr>
    </w:p>
    <w:p>
      <w:pPr>
        <w:ind w:right="760" w:firstLine="763"/>
        <w:spacing w:after="0" w:line="255" w:lineRule="auto"/>
        <w:rPr>
          <w:sz w:val="20"/>
          <w:szCs w:val="20"/>
          <w:color w:val="auto"/>
        </w:rPr>
      </w:pPr>
      <w:r>
        <w:rPr>
          <w:rFonts w:ascii="Courier New" w:cs="Courier New" w:eastAsia="Courier New" w:hAnsi="Courier New"/>
          <w:sz w:val="14"/>
          <w:szCs w:val="14"/>
          <w:color w:val="auto"/>
        </w:rPr>
        <w:t>The Company and CCA also entered into a series of additional contractual arrangements in connection with the completion of the 1999 Merger, as described in this Annual Report under Part I, Item 1 "Business -- General Development of Business." The total amount of fees required to be paid by the Company to CCA pursuant to the Business Development Agreement and the Amended and Restated Services Agreement during 1999 were approximately $15.0 million and $41.2 million, respectively, of which approximately $15.0 million and $39.1 million have been paid, respectively. The total amount of fees paid by the Company to CCA pursuant to the Amended and Restated Tenant Incentive Agreement during 1999 was approximately $68.6 million. The total amount of payments required to be paid by CCA pursuant to the Service Mark and Trade Name Use Agreement during 1999 was approximately $8.7 million, of which approximately $6.5 million has been paid. If the Restructuring and related transactions are completed, each of these agreements will be canceled and will be of no further force and effect.</w:t>
      </w:r>
    </w:p>
    <w:p>
      <w:pPr>
        <w:spacing w:after="0" w:line="82" w:lineRule="exact"/>
        <w:rPr>
          <w:sz w:val="20"/>
          <w:szCs w:val="20"/>
          <w:color w:val="auto"/>
        </w:rPr>
      </w:pPr>
    </w:p>
    <w:p>
      <w:pPr>
        <w:ind w:right="760" w:firstLine="763"/>
        <w:spacing w:after="0" w:line="263" w:lineRule="auto"/>
        <w:rPr>
          <w:sz w:val="20"/>
          <w:szCs w:val="20"/>
          <w:color w:val="auto"/>
        </w:rPr>
      </w:pPr>
      <w:r>
        <w:rPr>
          <w:rFonts w:ascii="Courier New" w:cs="Courier New" w:eastAsia="Courier New" w:hAnsi="Courier New"/>
          <w:sz w:val="14"/>
          <w:szCs w:val="14"/>
          <w:color w:val="auto"/>
        </w:rPr>
        <w:t>Also in connection with the 1999 Merger, CCA executed the CCA Note in the aggregate principal amount of $137.0 million, which bears interest at a rate of 12% per annum. Ten percent of the outstanding principal amount of the CCA Note is personally guaranteed by the Company's Chief Executive Officer, Doctor R. Crants, who also serves as the Chief Executive Officer and a member of the board of directors of CCA. As of March 15, 2000, the entire original principal amount of the note remained outstanding. Pursuant to the terms of the CCA Note, payments of accrued interest are due and payable annually on December</w:t>
      </w:r>
    </w:p>
    <w:p>
      <w:pPr>
        <w:spacing w:after="0" w:line="24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PERCENTAGE OF</w:t>
      </w:r>
    </w:p>
    <w:p>
      <w:pPr>
        <w:spacing w:after="0" w:line="30" w:lineRule="exact"/>
        <w:rPr>
          <w:sz w:val="20"/>
          <w:szCs w:val="20"/>
          <w:color w:val="auto"/>
        </w:rPr>
      </w:pPr>
    </w:p>
    <w:p>
      <w:pPr>
        <w:ind w:left="680" w:hanging="677"/>
        <w:spacing w:after="0" w:line="246" w:lineRule="auto"/>
        <w:rPr>
          <w:sz w:val="20"/>
          <w:szCs w:val="20"/>
          <w:color w:val="auto"/>
        </w:rPr>
      </w:pPr>
      <w:r>
        <w:rPr>
          <w:rFonts w:ascii="Courier New" w:cs="Courier New" w:eastAsia="Courier New" w:hAnsi="Courier New"/>
          <w:sz w:val="14"/>
          <w:szCs w:val="14"/>
          <w:color w:val="auto"/>
        </w:rPr>
        <w:t>SHARES OF SERIES A PREFERRED STOCK BENEFICIALLY OWNED (2)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460" w:space="600"/>
            <w:col w:w="2880"/>
          </w:cols>
          <w:pgMar w:left="300" w:top="257" w:right="659"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105</w:t>
      </w:r>
    </w:p>
    <w:p>
      <w:pPr>
        <w:spacing w:after="0" w:line="200" w:lineRule="exact"/>
        <w:rPr>
          <w:sz w:val="20"/>
          <w:szCs w:val="20"/>
          <w:color w:val="auto"/>
        </w:rPr>
      </w:pPr>
    </w:p>
    <w:p>
      <w:pPr>
        <w:spacing w:after="0" w:line="294"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31 of each year, with the first such payment due and payable on December 31, 1999. The terms of the CCA Note provide that, beginning December 31, 2003 and continuing on each anniversary date thereafter until December 31, 2008, equal annual payments of principal and interest shall be due and payable by CCA. As a result of CCA's current liquidity position, CCA has been required to defer the first scheduled payment of accrued interest on the CCA Note. Pursuant to the terms of the subordination agreement by and between the Company and Foothill Capital Corporation, the agent of CCA's existing bank credit facility, CCA is prohibited from making scheduled interest payments on the CCA Note if certain financial conditions relating to CCA's liquidity position are not met. On December 31, 1999, CCA was not in compliance with these financial covenants. Accordingly, CCA was prohibited from making the scheduled interest payment. Pursuant to the terms of the subordination agreement, however, the Company is prohibited from accelerating the principal amount of the CCA Note or taking any other action to enforce its rights under the provisions of the CCA Note for so long as the CCA bank credit facility remains outstanding. If the Restructuring and related transactions are completed, the CCA Note will be canceled and will be of no further force and effect.</w:t>
      </w:r>
    </w:p>
    <w:p>
      <w:pPr>
        <w:spacing w:after="0" w:line="89" w:lineRule="exact"/>
        <w:rPr>
          <w:sz w:val="20"/>
          <w:szCs w:val="20"/>
          <w:color w:val="auto"/>
        </w:rPr>
      </w:pPr>
    </w:p>
    <w:p>
      <w:pPr>
        <w:ind w:right="3459" w:firstLine="763"/>
        <w:spacing w:after="0" w:line="254" w:lineRule="auto"/>
        <w:rPr>
          <w:sz w:val="20"/>
          <w:szCs w:val="20"/>
          <w:color w:val="auto"/>
        </w:rPr>
      </w:pPr>
      <w:r>
        <w:rPr>
          <w:rFonts w:ascii="Courier New" w:cs="Courier New" w:eastAsia="Courier New" w:hAnsi="Courier New"/>
          <w:sz w:val="14"/>
          <w:szCs w:val="14"/>
          <w:color w:val="auto"/>
        </w:rPr>
        <w:t>The Company owns 100% of CCA's non-voting common stock, which represents approximately 9.5% of CCA's issued and outstanding capital stock. The terms of CCA's non-voting common stock provide for the payment of dividends as and if declared by the CCA board of directors on a parity with shares of CCA's voting common stock. During 1999, no dividends were declared or paid by CCA. The Company also owns 100% of the outstanding non-voting common stock of each of PMSI and JJFMSI. The terms of the non-voting common stock of PMSI and JJFMSI provide for the payment, on a pro-rata basis, of cumulative cash dividends, as and if declared by the PMSI board and the JJFMSI board, respectively, equal to 95% of each entity's net income, as determined in accordance with generally accepted accounting principles. During 1999, the amount of dividends paid to the Company by PMSI and JJFMSI were approximately $11.0 million and $10.6 million, respectively, which does not include dividends of approximately $579,000 and $129,000, respectively, paid in 2000 with respect to the fourth quarter of 1999. If the Restructuring and related transactions are completed, the Company's entire ownership interest in each of CCA, PMSI and JJFMSI will be canceled.</w:t>
      </w:r>
    </w:p>
    <w:p>
      <w:pPr>
        <w:spacing w:after="0" w:line="82" w:lineRule="exact"/>
        <w:rPr>
          <w:sz w:val="20"/>
          <w:szCs w:val="20"/>
          <w:color w:val="auto"/>
        </w:rPr>
      </w:pPr>
    </w:p>
    <w:p>
      <w:pPr>
        <w:ind w:right="3459" w:firstLine="763"/>
        <w:spacing w:after="0" w:line="276" w:lineRule="auto"/>
        <w:rPr>
          <w:sz w:val="20"/>
          <w:szCs w:val="20"/>
          <w:color w:val="auto"/>
        </w:rPr>
      </w:pPr>
      <w:r>
        <w:rPr>
          <w:rFonts w:ascii="Courier New" w:cs="Courier New" w:eastAsia="Courier New" w:hAnsi="Courier New"/>
          <w:sz w:val="14"/>
          <w:szCs w:val="14"/>
          <w:color w:val="auto"/>
        </w:rPr>
        <w:t>Jean-Pierre Cuny, a member of the Company's board of directors, is the Senior Vice-President of The Sodexho Group, an affiliate of Sodexho. Sodexho, which beneficially owns approximately 8.8% of the Company's outstanding Common Stock, has a contractual right to require the Company to nominate Mr. Cuny for election as a director.</w:t>
      </w:r>
    </w:p>
    <w:p>
      <w:pPr>
        <w:spacing w:after="0" w:line="67" w:lineRule="exact"/>
        <w:rPr>
          <w:sz w:val="20"/>
          <w:szCs w:val="20"/>
          <w:color w:val="auto"/>
        </w:rPr>
      </w:pPr>
    </w:p>
    <w:p>
      <w:pPr>
        <w:ind w:right="3459" w:firstLine="763"/>
        <w:spacing w:after="0" w:line="255" w:lineRule="auto"/>
        <w:rPr>
          <w:sz w:val="20"/>
          <w:szCs w:val="20"/>
          <w:color w:val="auto"/>
        </w:rPr>
      </w:pPr>
      <w:r>
        <w:rPr>
          <w:rFonts w:ascii="Courier New" w:cs="Courier New" w:eastAsia="Courier New" w:hAnsi="Courier New"/>
          <w:sz w:val="14"/>
          <w:szCs w:val="14"/>
          <w:color w:val="auto"/>
        </w:rPr>
        <w:t>In connection with the Restructuring and related transactions, the Company will purchase from each of Sodexho and the Baron Asset Fund all of Sodexho's and Baron's interest in the voting common stock of CCA, representing approximately 33.8% of CCA's outstanding voting common stock, in exchange for a cash payment of $8.0 million to each of Sodexho and Baron. The Company also will acquire approximately 85% of the outstanding voting common stock of each of PMSI and JJFMSI from Privatized Management Services Investors, LLC and Correctional Services Investors, LLC, respectively, in connection with the Restructuring and related transactions. The aggregate purchase price of Privatized Management Services Investors' ownership interest in PMSI will be approximately $5.8 million, and the aggregate purchase price of Correctional Services Investors' ownership interest in JJFMSI will be approximately $4.8 million. The completion of each of these purchases, however, is conditioned upon, among other things, the approval of the Restructuring.</w:t>
      </w:r>
    </w:p>
    <w:p>
      <w:pPr>
        <w:spacing w:after="0" w:line="87" w:lineRule="exact"/>
        <w:rPr>
          <w:sz w:val="20"/>
          <w:szCs w:val="20"/>
          <w:color w:val="auto"/>
        </w:rPr>
      </w:pPr>
    </w:p>
    <w:p>
      <w:pPr>
        <w:ind w:right="3459" w:firstLine="1018"/>
        <w:spacing w:after="0" w:line="253" w:lineRule="auto"/>
        <w:rPr>
          <w:sz w:val="20"/>
          <w:szCs w:val="20"/>
          <w:color w:val="auto"/>
        </w:rPr>
      </w:pPr>
      <w:r>
        <w:rPr>
          <w:rFonts w:ascii="Courier New" w:cs="Courier New" w:eastAsia="Courier New" w:hAnsi="Courier New"/>
          <w:sz w:val="14"/>
          <w:szCs w:val="14"/>
          <w:color w:val="auto"/>
        </w:rPr>
        <w:t>Doctor R. Crants currently serves as the Chief Executive Officer of the Company. Mr. Crants also serves as Chairman of the board of directors and Chief Executive Officer of CCA and serves as a member of each of the PMSI board and the JJFMSI board. J. Michael Quinlan, President of the Company, is also President of CCA and a member of its board of directors. Thomas W. Beasley, Chairman of the board of directors of the Company, is also chairman of the board of directors of PMSI. C. Ray Bell, a member of the Company's board of directors, is the principal of a construction company which, as a part of its business, builds correctional and detention facilities, including facilities for the Company. In 1999, Mr. Bell's construction company received fees in the amount of $26.5 million for construction services provided to the Company. During 1998, Old CCA and Old Prison Realty paid $40.8 million and $8.7 million, respectively to Mr. Bell's construction company for construction services. During 1999, DC Investment Partners, LLC, a private investment manager of which D. Robert Crants, III and Michael W. Devlin are principals, leased certain office space from the Company. The total amount of rental payments with respect to such lease arrangement in 1999 was $9,600. In connection with the 1999 Merger, Charles W. Thomas, a director of the Company, received a total of $3.0 million from the Company and Old CCA for the provision of certain consulting services to each of the Company</w:t>
      </w:r>
    </w:p>
    <w:p>
      <w:pPr>
        <w:spacing w:after="0" w:line="24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159"/>
          </w:cols>
          <w:pgMar w:left="300" w:top="257"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106</w:t>
      </w:r>
    </w:p>
    <w:p>
      <w:pPr>
        <w:spacing w:after="0" w:line="168" w:lineRule="exact"/>
        <w:rPr>
          <w:sz w:val="20"/>
          <w:szCs w:val="20"/>
          <w:color w:val="auto"/>
        </w:rPr>
      </w:pPr>
    </w:p>
    <w:p>
      <w:pPr>
        <w:ind w:right="3459"/>
        <w:spacing w:after="0" w:line="276" w:lineRule="auto"/>
        <w:rPr>
          <w:sz w:val="20"/>
          <w:szCs w:val="20"/>
          <w:color w:val="auto"/>
        </w:rPr>
      </w:pPr>
      <w:r>
        <w:rPr>
          <w:rFonts w:ascii="Courier New" w:cs="Courier New" w:eastAsia="Courier New" w:hAnsi="Courier New"/>
          <w:sz w:val="14"/>
          <w:szCs w:val="14"/>
          <w:color w:val="auto"/>
        </w:rPr>
        <w:t>and Old CCA. Jackson W. Moore, a director of the Company, is a director of and the President and Chief Operating Officer of Union Planters Corporation, a multi-state bank and savings and loan holding company, and is President and Chief Executive Officer of its principal subsidiary, Union Planters Bank, N.A. Union Planters Bank, N.A. is a lender under the Company's bank credit facility.</w:t>
      </w:r>
    </w:p>
    <w:p>
      <w:pPr>
        <w:spacing w:after="0" w:line="67" w:lineRule="exact"/>
        <w:rPr>
          <w:sz w:val="20"/>
          <w:szCs w:val="20"/>
          <w:color w:val="auto"/>
        </w:rPr>
      </w:pPr>
    </w:p>
    <w:p>
      <w:pPr>
        <w:ind w:right="3459" w:firstLine="763"/>
        <w:spacing w:after="0" w:line="261" w:lineRule="auto"/>
        <w:rPr>
          <w:sz w:val="20"/>
          <w:szCs w:val="20"/>
          <w:color w:val="auto"/>
        </w:rPr>
      </w:pPr>
      <w:r>
        <w:rPr>
          <w:rFonts w:ascii="Courier New" w:cs="Courier New" w:eastAsia="Courier New" w:hAnsi="Courier New"/>
          <w:sz w:val="14"/>
          <w:szCs w:val="14"/>
          <w:color w:val="auto"/>
        </w:rPr>
        <w:t>Stokes &amp; Bartholomew, P.A. is tax and securities counsel to the Company, and Stokes &amp; Bartholomew, P.A. also provide certain legal services to each of CCA, PMSI and JJFMSI. Samuel W. Bartholomew, Jr., a shareholder of Stokes &amp; Bartholomew, P.A., is chairman of the board of directors of JJFMSI. Prior to the 1999 Merger, Mr. Bartholomew was a member of the board of directors of Old CCA. Legal fees paid to Stokes &amp; Bartholomew, P.A. related to Old CCA's mergers and acquisitions amounted to $3.0 million and $1.1 million in 1998 and 1997, respectively. During 1999, the Company paid $5.8 million to Stokes &amp; Bartholomew, P.A.</w:t>
      </w:r>
    </w:p>
    <w:p>
      <w:pPr>
        <w:spacing w:after="0" w:line="78" w:lineRule="exact"/>
        <w:rPr>
          <w:sz w:val="20"/>
          <w:szCs w:val="20"/>
          <w:color w:val="auto"/>
        </w:rPr>
      </w:pPr>
    </w:p>
    <w:p>
      <w:pPr>
        <w:ind w:right="3459" w:firstLine="763"/>
        <w:spacing w:after="0" w:line="266" w:lineRule="auto"/>
        <w:rPr>
          <w:sz w:val="20"/>
          <w:szCs w:val="20"/>
          <w:color w:val="auto"/>
        </w:rPr>
      </w:pPr>
      <w:r>
        <w:rPr>
          <w:rFonts w:ascii="Courier New" w:cs="Courier New" w:eastAsia="Courier New" w:hAnsi="Courier New"/>
          <w:sz w:val="14"/>
          <w:szCs w:val="14"/>
          <w:color w:val="auto"/>
        </w:rPr>
        <w:t>Joseph F. Johnson, Jr. is a member of the board of directors of JJFMSI and, prior to the 1999 Merger, served as a member of the board of directors of Old CCA. Old CCA paid fees of approximately $1.6 million and $1.3 million in 1998 and 1997, respectively to Mr. Johnson, or an entity controlled by Mr. Johnson, for consulting services related to various contractual relationships and services rendered at one of Old CCA's facilities. No fees were paid to Mr. Johnson by the Company in 1999.</w:t>
      </w:r>
    </w:p>
    <w:p>
      <w:pPr>
        <w:spacing w:after="0" w:line="74" w:lineRule="exact"/>
        <w:rPr>
          <w:sz w:val="20"/>
          <w:szCs w:val="20"/>
          <w:color w:val="auto"/>
        </w:rPr>
      </w:pPr>
    </w:p>
    <w:p>
      <w:pPr>
        <w:ind w:right="3459" w:firstLine="763"/>
        <w:spacing w:after="0" w:line="251" w:lineRule="auto"/>
        <w:rPr>
          <w:sz w:val="20"/>
          <w:szCs w:val="20"/>
          <w:color w:val="auto"/>
        </w:rPr>
      </w:pPr>
      <w:r>
        <w:rPr>
          <w:rFonts w:ascii="Courier New" w:cs="Courier New" w:eastAsia="Courier New" w:hAnsi="Courier New"/>
          <w:sz w:val="14"/>
          <w:szCs w:val="14"/>
          <w:color w:val="auto"/>
        </w:rPr>
        <w:t>Pursuant to the Company's Loan Plan, the Company granted a loan in the aggregate principal amount of $1.0 million to each of Doctor R. Crants, D. Robert Crants, III and Michael W. Devlin in May and June 1999. The loans were to be used for the purpose of purchasing shares of the Company's Common Stock. Each loan, which bears interest at a rate of 250 basis points over the thirty-day LIBOR, adjusted quarterly, initially had a term of five years from the date of the grant, with interest payable annually. Pursuant to the terms of a severance agreement by and between the Company and each of D. Robert Crants,</w:t>
      </w:r>
    </w:p>
    <w:p>
      <w:pPr>
        <w:spacing w:after="0" w:line="4" w:lineRule="exact"/>
        <w:rPr>
          <w:sz w:val="20"/>
          <w:szCs w:val="20"/>
          <w:color w:val="auto"/>
        </w:rPr>
      </w:pPr>
    </w:p>
    <w:p>
      <w:pPr>
        <w:ind w:right="3459" w:firstLine="7"/>
        <w:spacing w:after="0" w:line="250" w:lineRule="auto"/>
        <w:tabs>
          <w:tab w:leader="none" w:pos="33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Michael W. Devlin, the terms of the loans granted to each of them have been modified. As a result of this modification, the outstanding principal amount of the loans to each of D. Robert Crants, III and Michael W. Devlin as of March 15, 2000 is $547,823 and $546,375, respectively, with interest only payable on such principal amount for a period of three years and with the principal amount, plus interest, payable in equal installments over the following three years. This balance will be reduced to $447,823 for Mr. Crants, III and $446,375 for Mr. Devlin upon application of the proceeds received from each of Messrs. Crants, III and Devlin from the purchase of the CCA common stock held by each of them. Under the original terms of these Severance Agreements, CCA was to purchase a portion of the shares of CCA Common Stock held by each of Messrs. Crants, III and Devlin. However, as a result of restrictions on CCA's ability to purchase these shares, this right and obligation was assigned to and assumed by Doctor R. Crants. In connection with this assignment, Mr. Crants will receive a loan in the aggregate principal amount of $600,000 from PMSI, the proceeds of which were used to purchase the 300,000 shares of CCA Common Stock owned by Messrs. Crants, III and Devlin. If the Restructuring is completed, the proceeds received by Mr. Crants from the repurchase of these shares of CCA Common Stock will be applied to reduce the outstanding principal amount of Mr. Crants' loan from PMSI. For a discussion of the terms of the modifications of the loans to Messrs. Crants, III and Devlin, see " -- Employment and Severance Agreements." The outstanding principal amount of the loan to Doctor R. Crants as of March 15, 2000 is $1.0 million.</w:t>
      </w:r>
    </w:p>
    <w:p>
      <w:pPr>
        <w:spacing w:after="0" w:line="25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PART IV.</w:t>
      </w:r>
    </w:p>
    <w:p>
      <w:pPr>
        <w:spacing w:after="0" w:line="16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8" w:lineRule="exact"/>
        <w:rPr>
          <w:sz w:val="20"/>
          <w:szCs w:val="20"/>
          <w:color w:val="auto"/>
        </w:rPr>
      </w:pPr>
    </w:p>
    <w:p>
      <w:pPr>
        <w:ind w:left="1540" w:hanging="770"/>
        <w:spacing w:after="0"/>
        <w:tabs>
          <w:tab w:leader="none" w:pos="15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part of this Report:</w:t>
      </w:r>
    </w:p>
    <w:p>
      <w:pPr>
        <w:spacing w:after="0" w:line="167" w:lineRule="exact"/>
        <w:rPr>
          <w:rFonts w:ascii="Courier New" w:cs="Courier New" w:eastAsia="Courier New" w:hAnsi="Courier New"/>
          <w:sz w:val="14"/>
          <w:szCs w:val="14"/>
          <w:color w:val="auto"/>
        </w:rPr>
      </w:pPr>
    </w:p>
    <w:p>
      <w:pPr>
        <w:ind w:left="2220" w:hanging="687"/>
        <w:spacing w:after="0"/>
        <w:tabs>
          <w:tab w:leader="none" w:pos="22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w:t>
      </w:r>
    </w:p>
    <w:p>
      <w:pPr>
        <w:spacing w:after="0" w:line="168"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The Financial Statements as set forth under Item 8 of</w:t>
      </w:r>
    </w:p>
    <w:p>
      <w:pPr>
        <w:spacing w:after="0" w:line="30"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this Annual Report on Form 10-K have been filed</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herewith, beginning on Page F-2 of this report.</w:t>
      </w:r>
    </w:p>
    <w:p>
      <w:pPr>
        <w:spacing w:after="0" w:line="142" w:lineRule="exact"/>
        <w:rPr>
          <w:sz w:val="20"/>
          <w:szCs w:val="20"/>
          <w:color w:val="auto"/>
        </w:rPr>
      </w:pPr>
    </w:p>
    <w:p>
      <w:pPr>
        <w:ind w:left="3220" w:right="5399" w:hanging="1687"/>
        <w:spacing w:after="0" w:line="860" w:lineRule="auto"/>
        <w:tabs>
          <w:tab w:leader="none" w:pos="220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102</w:t>
      </w:r>
    </w:p>
    <w:p>
      <w:pPr>
        <w:sectPr>
          <w:pgSz w:w="11900" w:h="16838" w:orient="portrait"/>
          <w:cols w:equalWidth="0" w:num="1">
            <w:col w:w="10159"/>
          </w:cols>
          <w:pgMar w:left="300" w:top="257"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4"/>
          <w:szCs w:val="14"/>
          <w:color w:val="auto"/>
        </w:rPr>
        <w:t>107</w:t>
      </w:r>
    </w:p>
    <w:p>
      <w:pPr>
        <w:spacing w:after="0" w:line="168"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Schedules for which provision is made in Regulation S-X</w:t>
      </w:r>
    </w:p>
    <w:p>
      <w:pPr>
        <w:spacing w:after="0" w:line="30"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are either not required to be included herein under the</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related instructions or are inapplicable or the related</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information is included in the footnotes to the</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applicable financial statements and, therefore, have</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been omitted.</w:t>
      </w:r>
    </w:p>
    <w:p>
      <w:pPr>
        <w:spacing w:after="0" w:line="142" w:lineRule="exact"/>
        <w:rPr>
          <w:sz w:val="20"/>
          <w:szCs w:val="20"/>
          <w:color w:val="auto"/>
        </w:rPr>
      </w:pPr>
    </w:p>
    <w:p>
      <w:pPr>
        <w:ind w:left="1960" w:right="3879" w:hanging="687"/>
        <w:spacing w:after="0" w:line="306" w:lineRule="auto"/>
        <w:tabs>
          <w:tab w:leader="none" w:pos="196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Exhibits are listed in the Index of Exhibits Required by Item 601 of Regulation S-K included herewith.</w:t>
      </w:r>
    </w:p>
    <w:p>
      <w:pPr>
        <w:spacing w:after="0" w:line="45" w:lineRule="exact"/>
        <w:rPr>
          <w:rFonts w:ascii="Courier New" w:cs="Courier New" w:eastAsia="Courier New" w:hAnsi="Courier New"/>
          <w:sz w:val="14"/>
          <w:szCs w:val="14"/>
          <w:color w:val="auto"/>
        </w:rPr>
      </w:pPr>
    </w:p>
    <w:p>
      <w:pPr>
        <w:ind w:left="1280" w:right="3619" w:hanging="770"/>
        <w:spacing w:after="0" w:line="270" w:lineRule="auto"/>
        <w:tabs>
          <w:tab w:leader="none" w:pos="12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Current Report on Form 8-K on December 28, 1999, relating to the proposed Restructuring. Additionally, on March 1, 2000, the Company filed a Current Report on Form 8-K relating to the Company's receipt of the Pacific Life Proposal and the amendment of the Securities Purchase Agreement.</w:t>
      </w:r>
    </w:p>
    <w:p>
      <w:pPr>
        <w:spacing w:after="0" w:line="71" w:lineRule="exact"/>
        <w:rPr>
          <w:rFonts w:ascii="Courier New" w:cs="Courier New" w:eastAsia="Courier New" w:hAnsi="Courier New"/>
          <w:sz w:val="14"/>
          <w:szCs w:val="14"/>
          <w:color w:val="auto"/>
        </w:rPr>
      </w:pPr>
    </w:p>
    <w:p>
      <w:pPr>
        <w:ind w:left="1280" w:hanging="770"/>
        <w:spacing w:after="0"/>
        <w:tabs>
          <w:tab w:leader="none" w:pos="12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Exhibits. See Item 14(a)(3) above.</w:t>
      </w:r>
    </w:p>
    <w:p>
      <w:pPr>
        <w:spacing w:after="0" w:line="167" w:lineRule="exact"/>
        <w:rPr>
          <w:rFonts w:ascii="Courier New" w:cs="Courier New" w:eastAsia="Courier New" w:hAnsi="Courier New"/>
          <w:sz w:val="14"/>
          <w:szCs w:val="14"/>
          <w:color w:val="auto"/>
        </w:rPr>
      </w:pPr>
    </w:p>
    <w:p>
      <w:pPr>
        <w:ind w:left="1280" w:right="3879" w:hanging="770"/>
        <w:spacing w:after="0" w:line="366" w:lineRule="auto"/>
        <w:tabs>
          <w:tab w:leader="none" w:pos="12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Financial Statements. See Item 14(a) (1) and (2) above.</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9899"/>
          </w:cols>
          <w:pgMar w:left="560" w:top="257"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108</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SIGNATURES</w:t>
      </w:r>
    </w:p>
    <w:p>
      <w:pPr>
        <w:spacing w:after="0" w:line="168" w:lineRule="exact"/>
        <w:rPr>
          <w:sz w:val="20"/>
          <w:szCs w:val="20"/>
          <w:color w:val="auto"/>
        </w:rPr>
      </w:pPr>
    </w:p>
    <w:p>
      <w:pPr>
        <w:ind w:right="820" w:firstLine="763"/>
        <w:spacing w:after="0" w:line="306"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Annual Report to be signed on its behalf by the undersigned, thereunto duly authorized.</w:t>
      </w:r>
    </w:p>
    <w:p>
      <w:pPr>
        <w:spacing w:after="0" w:line="209" w:lineRule="exact"/>
        <w:rPr>
          <w:sz w:val="20"/>
          <w:szCs w:val="20"/>
          <w:color w:val="auto"/>
        </w:rPr>
      </w:pPr>
    </w:p>
    <w:p>
      <w:pPr>
        <w:jc w:val="center"/>
        <w:ind w:left="560"/>
        <w:spacing w:after="0"/>
        <w:rPr>
          <w:sz w:val="20"/>
          <w:szCs w:val="20"/>
          <w:color w:val="auto"/>
        </w:rPr>
      </w:pPr>
      <w:r>
        <w:rPr>
          <w:rFonts w:ascii="Courier New" w:cs="Courier New" w:eastAsia="Courier New" w:hAnsi="Courier New"/>
          <w:sz w:val="14"/>
          <w:szCs w:val="14"/>
          <w:color w:val="auto"/>
        </w:rPr>
        <w:t>PRISON REALTY TRUST, INC.</w:t>
      </w:r>
    </w:p>
    <w:p>
      <w:pPr>
        <w:spacing w:after="0" w:line="331" w:lineRule="exact"/>
        <w:rPr>
          <w:sz w:val="20"/>
          <w:szCs w:val="20"/>
          <w:color w:val="auto"/>
        </w:rPr>
      </w:pPr>
    </w:p>
    <w:p>
      <w:pPr>
        <w:spacing w:after="0"/>
        <w:tabs>
          <w:tab w:leader="none" w:pos="2960" w:val="left"/>
        </w:tabs>
        <w:rPr>
          <w:sz w:val="20"/>
          <w:szCs w:val="20"/>
          <w:color w:val="auto"/>
        </w:rPr>
      </w:pPr>
      <w:r>
        <w:rPr>
          <w:rFonts w:ascii="Courier New" w:cs="Courier New" w:eastAsia="Courier New" w:hAnsi="Courier New"/>
          <w:sz w:val="14"/>
          <w:szCs w:val="14"/>
          <w:color w:val="auto"/>
        </w:rPr>
        <w:t>Date: March 30, 2000</w:t>
      </w:r>
      <w:r>
        <w:rPr>
          <w:sz w:val="20"/>
          <w:szCs w:val="20"/>
          <w:color w:val="auto"/>
        </w:rPr>
        <w:tab/>
      </w:r>
      <w:r>
        <w:rPr>
          <w:rFonts w:ascii="Courier New" w:cs="Courier New" w:eastAsia="Courier New" w:hAnsi="Courier New"/>
          <w:sz w:val="14"/>
          <w:szCs w:val="14"/>
          <w:color w:val="auto"/>
        </w:rPr>
        <w:t>By: /s/ Doctor R. Crants</w:t>
      </w:r>
    </w:p>
    <w:p>
      <w:pPr>
        <w:spacing w:after="0" w:line="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4"/>
          <w:szCs w:val="14"/>
          <w:color w:val="auto"/>
        </w:rPr>
        <w:t>Its: Chief Executive Officer</w:t>
      </w:r>
    </w:p>
    <w:p>
      <w:pPr>
        <w:spacing w:after="0" w:line="3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05" w:lineRule="exact"/>
        <w:rPr>
          <w:sz w:val="20"/>
          <w:szCs w:val="20"/>
          <w:color w:val="auto"/>
        </w:rPr>
      </w:pPr>
    </w:p>
    <w:p>
      <w:pPr>
        <w:ind w:right="720" w:firstLine="763"/>
        <w:spacing w:after="0" w:line="255"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Doctor R. Crants and Vida H. Carroll, and each of them, as their true and lawful attorneys-in-fact and agents, with full power of substitution and resubstitution, for them and in their name, place and stead, in any and all capacities, to sign any and all amendments to this Annual Report of Prison Realty Trust, Inc. for the fiscal year ended December 31, 1999, and to file the same, with all exhibits thereto, and other documents in connection therewith, with the Securities and Exchange Commission and the New York Stock Exchange, granting unto said attorneys-in-fact and agents, and each of them, full power and authority to do and perform each and every act and thing requisite and necessary to be done in and about the premises, as fully to all intents and purposes as they might or could do in person, hereby ratifying and confirming all that said attorneys-in-fact and agents, or either of them, or their substitute or substitutes, may lawfully do or cause to be done by virtue hereof.</w:t>
      </w:r>
    </w:p>
    <w:p>
      <w:pPr>
        <w:spacing w:after="0" w:line="82" w:lineRule="exact"/>
        <w:rPr>
          <w:sz w:val="20"/>
          <w:szCs w:val="20"/>
          <w:color w:val="auto"/>
        </w:rPr>
      </w:pPr>
    </w:p>
    <w:p>
      <w:pPr>
        <w:jc w:val="both"/>
        <w:ind w:right="980" w:firstLine="763"/>
        <w:spacing w:after="0" w:line="306"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by the following persons in the capacities and on the dates indicated.</w:t>
      </w:r>
    </w:p>
    <w:p>
      <w:pPr>
        <w:spacing w:after="0" w:line="372" w:lineRule="exact"/>
        <w:rPr>
          <w:sz w:val="20"/>
          <w:szCs w:val="20"/>
          <w:color w:val="auto"/>
        </w:rPr>
      </w:pPr>
    </w:p>
    <w:tbl>
      <w:tblPr>
        <w:tblLayout w:type="fixed"/>
        <w:tblInd w:w="780" w:type="dxa"/>
        <w:tblCellMar>
          <w:top w:w="0" w:type="dxa"/>
          <w:left w:w="0" w:type="dxa"/>
          <w:bottom w:w="0" w:type="dxa"/>
          <w:right w:w="0" w:type="dxa"/>
        </w:tblCellMar>
      </w:tblPr>
      <w:tr>
        <w:trPr>
          <w:trHeight w:val="163"/>
        </w:trPr>
        <w:tc>
          <w:tcPr>
            <w:tcW w:w="2280" w:type="dxa"/>
            <w:vAlign w:val="bottom"/>
          </w:tcPr>
          <w:p>
            <w:pPr>
              <w:spacing w:after="0"/>
              <w:rPr>
                <w:sz w:val="20"/>
                <w:szCs w:val="20"/>
                <w:color w:val="auto"/>
              </w:rPr>
            </w:pPr>
            <w:r>
              <w:rPr>
                <w:rFonts w:ascii="Courier New" w:cs="Courier New" w:eastAsia="Courier New" w:hAnsi="Courier New"/>
                <w:sz w:val="14"/>
                <w:szCs w:val="14"/>
                <w:color w:val="auto"/>
              </w:rPr>
              <w:t>SIGNATURE</w:t>
            </w:r>
          </w:p>
        </w:tc>
        <w:tc>
          <w:tcPr>
            <w:tcW w:w="3560" w:type="dxa"/>
            <w:vAlign w:val="bottom"/>
          </w:tcPr>
          <w:p>
            <w:pPr>
              <w:ind w:left="1440"/>
              <w:spacing w:after="0"/>
              <w:rPr>
                <w:sz w:val="20"/>
                <w:szCs w:val="20"/>
                <w:color w:val="auto"/>
              </w:rPr>
            </w:pPr>
            <w:r>
              <w:rPr>
                <w:rFonts w:ascii="Courier New" w:cs="Courier New" w:eastAsia="Courier New" w:hAnsi="Courier New"/>
                <w:sz w:val="14"/>
                <w:szCs w:val="14"/>
                <w:color w:val="auto"/>
              </w:rPr>
              <w:t>TITLE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560" w:type="dxa"/>
            <w:vAlign w:val="bottom"/>
          </w:tcPr>
          <w:p>
            <w:pPr>
              <w:ind w:left="14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1"/>
        </w:trPr>
        <w:tc>
          <w:tcPr>
            <w:tcW w:w="2280" w:type="dxa"/>
            <w:vAlign w:val="bottom"/>
          </w:tcPr>
          <w:p>
            <w:pPr>
              <w:spacing w:after="0"/>
              <w:rPr>
                <w:sz w:val="20"/>
                <w:szCs w:val="20"/>
                <w:color w:val="auto"/>
              </w:rPr>
            </w:pPr>
            <w:r>
              <w:rPr>
                <w:rFonts w:ascii="Courier New" w:cs="Courier New" w:eastAsia="Courier New" w:hAnsi="Courier New"/>
                <w:sz w:val="14"/>
                <w:szCs w:val="14"/>
                <w:color w:val="auto"/>
              </w:rPr>
              <w:t>/s/ Doctor R. Crants</w:t>
            </w:r>
          </w:p>
        </w:tc>
        <w:tc>
          <w:tcPr>
            <w:tcW w:w="3560" w:type="dxa"/>
            <w:vAlign w:val="bottom"/>
            <w:vMerge w:val="restart"/>
          </w:tcPr>
          <w:p>
            <w:pPr>
              <w:ind w:left="680"/>
              <w:spacing w:after="0"/>
              <w:rPr>
                <w:sz w:val="20"/>
                <w:szCs w:val="20"/>
                <w:color w:val="auto"/>
              </w:rPr>
            </w:pPr>
            <w:r>
              <w:rPr>
                <w:rFonts w:ascii="Courier New" w:cs="Courier New" w:eastAsia="Courier New" w:hAnsi="Courier New"/>
                <w:sz w:val="14"/>
                <w:szCs w:val="14"/>
                <w:color w:val="auto"/>
              </w:rPr>
              <w:t>Chief Executive Officer</w:t>
            </w:r>
          </w:p>
        </w:tc>
        <w:tc>
          <w:tcPr>
            <w:tcW w:w="0" w:type="dxa"/>
            <w:vAlign w:val="bottom"/>
          </w:tcPr>
          <w:p>
            <w:pPr>
              <w:spacing w:after="0"/>
              <w:rPr>
                <w:sz w:val="1"/>
                <w:szCs w:val="1"/>
                <w:color w:val="auto"/>
              </w:rPr>
            </w:pPr>
          </w:p>
        </w:tc>
      </w:tr>
      <w:tr>
        <w:trPr>
          <w:trHeight w:val="163"/>
        </w:trPr>
        <w:tc>
          <w:tcPr>
            <w:tcW w:w="2280" w:type="dxa"/>
            <w:vAlign w:val="bottom"/>
            <w:vMerge w:val="restart"/>
          </w:tcPr>
          <w:p>
            <w:pPr>
              <w:spacing w:after="0"/>
              <w:rPr>
                <w:sz w:val="20"/>
                <w:szCs w:val="20"/>
                <w:color w:val="auto"/>
              </w:rPr>
            </w:pPr>
            <w:r>
              <w:rPr>
                <w:rFonts w:ascii="Courier New" w:cs="Courier New" w:eastAsia="Courier New" w:hAnsi="Courier New"/>
                <w:sz w:val="23"/>
                <w:szCs w:val="23"/>
                <w:color w:val="auto"/>
                <w:w w:val="73"/>
                <w:vertAlign w:val="subscript"/>
              </w:rPr>
              <w:t>Doctor</w:t>
            </w:r>
            <w:r>
              <w:rPr>
                <w:rFonts w:ascii="Courier New" w:cs="Courier New" w:eastAsia="Courier New" w:hAnsi="Courier New"/>
                <w:sz w:val="12"/>
                <w:szCs w:val="12"/>
                <w:color w:val="auto"/>
                <w:w w:val="73"/>
              </w:rPr>
              <w:t>-------------------------</w:t>
            </w:r>
            <w:r>
              <w:rPr>
                <w:rFonts w:ascii="Courier New" w:cs="Courier New" w:eastAsia="Courier New" w:hAnsi="Courier New"/>
                <w:sz w:val="23"/>
                <w:szCs w:val="23"/>
                <w:color w:val="auto"/>
                <w:w w:val="73"/>
                <w:vertAlign w:val="subscript"/>
              </w:rPr>
              <w:t>R.Crants</w:t>
            </w:r>
          </w:p>
        </w:tc>
        <w:tc>
          <w:tcPr>
            <w:tcW w:w="3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80" w:type="dxa"/>
            <w:vAlign w:val="bottom"/>
            <w:vMerge w:val="continue"/>
          </w:tcPr>
          <w:p>
            <w:pPr>
              <w:spacing w:after="0"/>
              <w:rPr>
                <w:sz w:val="14"/>
                <w:szCs w:val="14"/>
                <w:color w:val="auto"/>
              </w:rPr>
            </w:pPr>
          </w:p>
        </w:tc>
        <w:tc>
          <w:tcPr>
            <w:tcW w:w="3560" w:type="dxa"/>
            <w:vAlign w:val="bottom"/>
          </w:tcPr>
          <w:p>
            <w:pPr>
              <w:ind w:left="680"/>
              <w:spacing w:after="0"/>
              <w:rPr>
                <w:sz w:val="20"/>
                <w:szCs w:val="20"/>
                <w:color w:val="auto"/>
              </w:rPr>
            </w:pPr>
            <w:r>
              <w:rPr>
                <w:rFonts w:ascii="Courier New" w:cs="Courier New" w:eastAsia="Courier New" w:hAnsi="Courier New"/>
                <w:sz w:val="14"/>
                <w:szCs w:val="14"/>
                <w:color w:val="auto"/>
              </w:rPr>
              <w:t>(Principal Executive Officer),</w:t>
            </w: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Courier New" w:cs="Courier New" w:eastAsia="Courier New" w:hAnsi="Courier New"/>
                <w:sz w:val="14"/>
                <w:szCs w:val="14"/>
                <w:color w:val="auto"/>
              </w:rPr>
              <w:t>/s/ J. Michael Quinlan</w:t>
            </w:r>
          </w:p>
        </w:tc>
        <w:tc>
          <w:tcPr>
            <w:tcW w:w="3560" w:type="dxa"/>
            <w:vAlign w:val="bottom"/>
          </w:tcPr>
          <w:p>
            <w:pPr>
              <w:ind w:left="680"/>
              <w:spacing w:after="0"/>
              <w:rPr>
                <w:sz w:val="20"/>
                <w:szCs w:val="20"/>
                <w:color w:val="auto"/>
              </w:rPr>
            </w:pPr>
            <w:r>
              <w:rPr>
                <w:rFonts w:ascii="Courier New" w:cs="Courier New" w:eastAsia="Courier New" w:hAnsi="Courier New"/>
                <w:sz w:val="14"/>
                <w:szCs w:val="14"/>
                <w:color w:val="auto"/>
              </w:rPr>
              <w:t>and Director</w:t>
            </w:r>
          </w:p>
        </w:tc>
        <w:tc>
          <w:tcPr>
            <w:tcW w:w="0" w:type="dxa"/>
            <w:vAlign w:val="bottom"/>
          </w:tcPr>
          <w:p>
            <w:pPr>
              <w:spacing w:after="0"/>
              <w:rPr>
                <w:sz w:val="1"/>
                <w:szCs w:val="1"/>
                <w:color w:val="auto"/>
              </w:rPr>
            </w:pPr>
          </w:p>
        </w:tc>
      </w:tr>
      <w:tr>
        <w:trPr>
          <w:trHeight w:val="88"/>
        </w:trPr>
        <w:tc>
          <w:tcPr>
            <w:tcW w:w="2280" w:type="dxa"/>
            <w:vAlign w:val="bottom"/>
            <w:vMerge w:val="continue"/>
          </w:tcPr>
          <w:p>
            <w:pPr>
              <w:spacing w:after="0"/>
              <w:rPr>
                <w:sz w:val="7"/>
                <w:szCs w:val="7"/>
                <w:color w:val="auto"/>
              </w:rPr>
            </w:pPr>
          </w:p>
        </w:tc>
        <w:tc>
          <w:tcPr>
            <w:tcW w:w="3560" w:type="dxa"/>
            <w:vAlign w:val="bottom"/>
            <w:vMerge w:val="restart"/>
          </w:tcPr>
          <w:p>
            <w:pPr>
              <w:ind w:left="680"/>
              <w:spacing w:after="0"/>
              <w:rPr>
                <w:sz w:val="20"/>
                <w:szCs w:val="20"/>
                <w:color w:val="auto"/>
              </w:rPr>
            </w:pPr>
            <w:r>
              <w:rPr>
                <w:rFonts w:ascii="Courier New" w:cs="Courier New" w:eastAsia="Courier New" w:hAnsi="Courier New"/>
                <w:sz w:val="14"/>
                <w:szCs w:val="14"/>
                <w:color w:val="auto"/>
              </w:rPr>
              <w:t>President</w:t>
            </w: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Courier New" w:cs="Courier New" w:eastAsia="Courier New" w:hAnsi="Courier New"/>
                <w:sz w:val="22"/>
                <w:szCs w:val="22"/>
                <w:color w:val="auto"/>
                <w:w w:val="70"/>
                <w:vertAlign w:val="subscript"/>
              </w:rPr>
              <w:t>J.</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MichaelQuinlan</w:t>
            </w:r>
          </w:p>
        </w:tc>
        <w:tc>
          <w:tcPr>
            <w:tcW w:w="3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280" w:type="dxa"/>
            <w:vAlign w:val="bottom"/>
            <w:vMerge w:val="continue"/>
          </w:tcPr>
          <w:p>
            <w:pPr>
              <w:spacing w:after="0"/>
              <w:rPr>
                <w:sz w:val="15"/>
                <w:szCs w:val="15"/>
                <w:color w:val="auto"/>
              </w:rPr>
            </w:pP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Courier New" w:cs="Courier New" w:eastAsia="Courier New" w:hAnsi="Courier New"/>
                <w:sz w:val="14"/>
                <w:szCs w:val="14"/>
                <w:color w:val="auto"/>
              </w:rPr>
              <w:t>/s/ Vida H. Carroll</w:t>
            </w:r>
          </w:p>
        </w:tc>
        <w:tc>
          <w:tcPr>
            <w:tcW w:w="3560" w:type="dxa"/>
            <w:vAlign w:val="bottom"/>
            <w:vMerge w:val="restart"/>
          </w:tcPr>
          <w:p>
            <w:pPr>
              <w:ind w:left="680"/>
              <w:spacing w:after="0"/>
              <w:rPr>
                <w:sz w:val="20"/>
                <w:szCs w:val="20"/>
                <w:color w:val="auto"/>
              </w:rPr>
            </w:pPr>
            <w:r>
              <w:rPr>
                <w:rFonts w:ascii="Courier New" w:cs="Courier New" w:eastAsia="Courier New" w:hAnsi="Courier New"/>
                <w:sz w:val="14"/>
                <w:szCs w:val="14"/>
                <w:color w:val="auto"/>
              </w:rPr>
              <w:t>Chief Financial Officer</w:t>
            </w:r>
          </w:p>
        </w:tc>
        <w:tc>
          <w:tcPr>
            <w:tcW w:w="0" w:type="dxa"/>
            <w:vAlign w:val="bottom"/>
          </w:tcPr>
          <w:p>
            <w:pPr>
              <w:spacing w:after="0"/>
              <w:rPr>
                <w:sz w:val="1"/>
                <w:szCs w:val="1"/>
                <w:color w:val="auto"/>
              </w:rPr>
            </w:pPr>
          </w:p>
        </w:tc>
      </w:tr>
      <w:tr>
        <w:trPr>
          <w:trHeight w:val="163"/>
        </w:trPr>
        <w:tc>
          <w:tcPr>
            <w:tcW w:w="2280" w:type="dxa"/>
            <w:vAlign w:val="bottom"/>
            <w:vMerge w:val="restart"/>
          </w:tcPr>
          <w:p>
            <w:pPr>
              <w:spacing w:after="0"/>
              <w:rPr>
                <w:sz w:val="20"/>
                <w:szCs w:val="20"/>
                <w:color w:val="auto"/>
              </w:rPr>
            </w:pPr>
            <w:r>
              <w:rPr>
                <w:rFonts w:ascii="Courier New" w:cs="Courier New" w:eastAsia="Courier New" w:hAnsi="Courier New"/>
                <w:sz w:val="24"/>
                <w:szCs w:val="24"/>
                <w:color w:val="auto"/>
                <w:w w:val="70"/>
                <w:vertAlign w:val="subscript"/>
              </w:rPr>
              <w:t>Vida</w:t>
            </w: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H.Carroll</w:t>
            </w:r>
          </w:p>
        </w:tc>
        <w:tc>
          <w:tcPr>
            <w:tcW w:w="3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80" w:type="dxa"/>
            <w:vAlign w:val="bottom"/>
            <w:vMerge w:val="continue"/>
          </w:tcPr>
          <w:p>
            <w:pPr>
              <w:spacing w:after="0"/>
              <w:rPr>
                <w:sz w:val="14"/>
                <w:szCs w:val="14"/>
                <w:color w:val="auto"/>
              </w:rPr>
            </w:pPr>
          </w:p>
        </w:tc>
        <w:tc>
          <w:tcPr>
            <w:tcW w:w="3560" w:type="dxa"/>
            <w:vAlign w:val="bottom"/>
          </w:tcPr>
          <w:p>
            <w:pPr>
              <w:ind w:left="680"/>
              <w:spacing w:after="0"/>
              <w:rPr>
                <w:sz w:val="20"/>
                <w:szCs w:val="20"/>
                <w:color w:val="auto"/>
              </w:rPr>
            </w:pPr>
            <w:r>
              <w:rPr>
                <w:rFonts w:ascii="Courier New" w:cs="Courier New" w:eastAsia="Courier New" w:hAnsi="Courier New"/>
                <w:sz w:val="14"/>
                <w:szCs w:val="14"/>
                <w:color w:val="auto"/>
              </w:rPr>
              <w:t>(Principal Financial and</w:t>
            </w:r>
          </w:p>
        </w:tc>
        <w:tc>
          <w:tcPr>
            <w:tcW w:w="0" w:type="dxa"/>
            <w:vAlign w:val="bottom"/>
          </w:tcPr>
          <w:p>
            <w:pPr>
              <w:spacing w:after="0"/>
              <w:rPr>
                <w:sz w:val="1"/>
                <w:szCs w:val="1"/>
                <w:color w:val="auto"/>
              </w:rPr>
            </w:pPr>
          </w:p>
        </w:tc>
      </w:tr>
      <w:tr>
        <w:trPr>
          <w:trHeight w:val="163"/>
        </w:trPr>
        <w:tc>
          <w:tcPr>
            <w:tcW w:w="2280" w:type="dxa"/>
            <w:vAlign w:val="bottom"/>
          </w:tcPr>
          <w:p>
            <w:pPr>
              <w:spacing w:after="0"/>
              <w:rPr>
                <w:sz w:val="14"/>
                <w:szCs w:val="14"/>
                <w:color w:val="auto"/>
              </w:rPr>
            </w:pPr>
          </w:p>
        </w:tc>
        <w:tc>
          <w:tcPr>
            <w:tcW w:w="3560" w:type="dxa"/>
            <w:vAlign w:val="bottom"/>
          </w:tcPr>
          <w:p>
            <w:pPr>
              <w:ind w:left="680"/>
              <w:spacing w:after="0"/>
              <w:rPr>
                <w:sz w:val="20"/>
                <w:szCs w:val="20"/>
                <w:color w:val="auto"/>
              </w:rPr>
            </w:pPr>
            <w:r>
              <w:rPr>
                <w:rFonts w:ascii="Courier New" w:cs="Courier New" w:eastAsia="Courier New" w:hAnsi="Courier New"/>
                <w:sz w:val="14"/>
                <w:szCs w:val="14"/>
                <w:color w:val="auto"/>
              </w:rPr>
              <w:t>Accounting Officer),</w:t>
            </w: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Courier New" w:cs="Courier New" w:eastAsia="Courier New" w:hAnsi="Courier New"/>
                <w:sz w:val="14"/>
                <w:szCs w:val="14"/>
                <w:color w:val="auto"/>
              </w:rPr>
              <w:t>/s/ Thomas W. Beasley</w:t>
            </w:r>
          </w:p>
        </w:tc>
        <w:tc>
          <w:tcPr>
            <w:tcW w:w="3560" w:type="dxa"/>
            <w:vAlign w:val="bottom"/>
          </w:tcPr>
          <w:p>
            <w:pPr>
              <w:ind w:left="680"/>
              <w:spacing w:after="0"/>
              <w:rPr>
                <w:sz w:val="20"/>
                <w:szCs w:val="20"/>
                <w:color w:val="auto"/>
              </w:rPr>
            </w:pPr>
            <w:r>
              <w:rPr>
                <w:rFonts w:ascii="Courier New" w:cs="Courier New" w:eastAsia="Courier New" w:hAnsi="Courier New"/>
                <w:sz w:val="14"/>
                <w:szCs w:val="14"/>
                <w:color w:val="auto"/>
              </w:rPr>
              <w:t>Secretary and Treasurer</w:t>
            </w:r>
          </w:p>
        </w:tc>
        <w:tc>
          <w:tcPr>
            <w:tcW w:w="0" w:type="dxa"/>
            <w:vAlign w:val="bottom"/>
          </w:tcPr>
          <w:p>
            <w:pPr>
              <w:spacing w:after="0"/>
              <w:rPr>
                <w:sz w:val="1"/>
                <w:szCs w:val="1"/>
                <w:color w:val="auto"/>
              </w:rPr>
            </w:pPr>
          </w:p>
        </w:tc>
      </w:tr>
      <w:tr>
        <w:trPr>
          <w:trHeight w:val="88"/>
        </w:trPr>
        <w:tc>
          <w:tcPr>
            <w:tcW w:w="2280" w:type="dxa"/>
            <w:vAlign w:val="bottom"/>
            <w:vMerge w:val="continue"/>
          </w:tcPr>
          <w:p>
            <w:pPr>
              <w:spacing w:after="0"/>
              <w:rPr>
                <w:sz w:val="7"/>
                <w:szCs w:val="7"/>
                <w:color w:val="auto"/>
              </w:rPr>
            </w:pPr>
          </w:p>
        </w:tc>
        <w:tc>
          <w:tcPr>
            <w:tcW w:w="3560" w:type="dxa"/>
            <w:vAlign w:val="bottom"/>
            <w:vMerge w:val="restart"/>
          </w:tcPr>
          <w:p>
            <w:pPr>
              <w:ind w:left="680"/>
              <w:spacing w:after="0"/>
              <w:rPr>
                <w:sz w:val="20"/>
                <w:szCs w:val="20"/>
                <w:color w:val="auto"/>
              </w:rPr>
            </w:pPr>
            <w:r>
              <w:rPr>
                <w:rFonts w:ascii="Courier New" w:cs="Courier New" w:eastAsia="Courier New" w:hAnsi="Courier New"/>
                <w:sz w:val="14"/>
                <w:szCs w:val="14"/>
                <w:color w:val="auto"/>
              </w:rPr>
              <w:t>Chairman of the Board and Director</w:t>
            </w: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Courier New" w:cs="Courier New" w:eastAsia="Courier New" w:hAnsi="Courier New"/>
                <w:sz w:val="23"/>
                <w:szCs w:val="23"/>
                <w:color w:val="auto"/>
                <w:w w:val="71"/>
                <w:vertAlign w:val="subscript"/>
              </w:rPr>
              <w:t>Thomas</w:t>
            </w:r>
            <w:r>
              <w:rPr>
                <w:rFonts w:ascii="Courier New" w:cs="Courier New" w:eastAsia="Courier New" w:hAnsi="Courier New"/>
                <w:sz w:val="12"/>
                <w:szCs w:val="12"/>
                <w:color w:val="auto"/>
                <w:w w:val="71"/>
              </w:rPr>
              <w:t>-------------------------</w:t>
            </w:r>
            <w:r>
              <w:rPr>
                <w:rFonts w:ascii="Courier New" w:cs="Courier New" w:eastAsia="Courier New" w:hAnsi="Courier New"/>
                <w:sz w:val="23"/>
                <w:szCs w:val="23"/>
                <w:color w:val="auto"/>
                <w:w w:val="71"/>
                <w:vertAlign w:val="subscript"/>
              </w:rPr>
              <w:t>W.Beasley</w:t>
            </w:r>
          </w:p>
        </w:tc>
        <w:tc>
          <w:tcPr>
            <w:tcW w:w="3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280" w:type="dxa"/>
            <w:vAlign w:val="bottom"/>
            <w:vMerge w:val="continue"/>
          </w:tcPr>
          <w:p>
            <w:pPr>
              <w:spacing w:after="0"/>
              <w:rPr>
                <w:sz w:val="15"/>
                <w:szCs w:val="15"/>
                <w:color w:val="auto"/>
              </w:rPr>
            </w:pP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Courier New" w:cs="Courier New" w:eastAsia="Courier New" w:hAnsi="Courier New"/>
                <w:sz w:val="14"/>
                <w:szCs w:val="14"/>
                <w:color w:val="auto"/>
              </w:rPr>
              <w:t>/s/ C. Ray Bell</w:t>
            </w:r>
          </w:p>
        </w:tc>
        <w:tc>
          <w:tcPr>
            <w:tcW w:w="3560" w:type="dxa"/>
            <w:vAlign w:val="bottom"/>
            <w:vMerge w:val="restart"/>
          </w:tcPr>
          <w:p>
            <w:pPr>
              <w:ind w:left="68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Courier New" w:cs="Courier New" w:eastAsia="Courier New" w:hAnsi="Courier New"/>
                <w:sz w:val="28"/>
                <w:szCs w:val="28"/>
                <w:color w:val="auto"/>
                <w:w w:val="72"/>
                <w:vertAlign w:val="subscript"/>
              </w:rPr>
              <w:t>C.</w:t>
            </w: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RayBell</w:t>
            </w:r>
          </w:p>
        </w:tc>
        <w:tc>
          <w:tcPr>
            <w:tcW w:w="3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280" w:type="dxa"/>
            <w:vAlign w:val="bottom"/>
            <w:vMerge w:val="continue"/>
          </w:tcPr>
          <w:p>
            <w:pPr>
              <w:spacing w:after="0"/>
              <w:rPr>
                <w:sz w:val="15"/>
                <w:szCs w:val="15"/>
                <w:color w:val="auto"/>
              </w:rPr>
            </w:pP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2"/>
        </w:trPr>
        <w:tc>
          <w:tcPr>
            <w:tcW w:w="2280" w:type="dxa"/>
            <w:vAlign w:val="bottom"/>
          </w:tcPr>
          <w:p>
            <w:pPr>
              <w:spacing w:after="0"/>
              <w:rPr>
                <w:sz w:val="24"/>
                <w:szCs w:val="24"/>
                <w:color w:val="auto"/>
              </w:rPr>
            </w:pPr>
          </w:p>
        </w:tc>
        <w:tc>
          <w:tcPr>
            <w:tcW w:w="3560" w:type="dxa"/>
            <w:vAlign w:val="bottom"/>
          </w:tcPr>
          <w:p>
            <w:pPr>
              <w:ind w:left="160"/>
              <w:spacing w:after="0"/>
              <w:rPr>
                <w:sz w:val="20"/>
                <w:szCs w:val="20"/>
                <w:color w:val="auto"/>
              </w:rPr>
            </w:pPr>
            <w:r>
              <w:rPr>
                <w:rFonts w:ascii="Courier New" w:cs="Courier New" w:eastAsia="Courier New" w:hAnsi="Courier New"/>
                <w:sz w:val="14"/>
                <w:szCs w:val="14"/>
                <w:color w:val="auto"/>
              </w:rPr>
              <w:t>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4"/>
          <w:szCs w:val="14"/>
          <w:color w:val="auto"/>
        </w:rPr>
        <w:t>DATE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30, 2000</w:t>
            </w:r>
          </w:p>
        </w:tc>
      </w:tr>
      <w:tr>
        <w:trPr>
          <w:trHeight w:val="652"/>
        </w:trPr>
        <w:tc>
          <w:tcPr>
            <w:tcW w:w="50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30, 2000</w:t>
            </w:r>
          </w:p>
        </w:tc>
      </w:tr>
      <w:tr>
        <w:trPr>
          <w:trHeight w:val="652"/>
        </w:trPr>
        <w:tc>
          <w:tcPr>
            <w:tcW w:w="50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30, 2000</w:t>
            </w:r>
          </w:p>
        </w:tc>
      </w:tr>
      <w:tr>
        <w:trPr>
          <w:trHeight w:val="815"/>
        </w:trPr>
        <w:tc>
          <w:tcPr>
            <w:tcW w:w="50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652"/>
        </w:trPr>
        <w:tc>
          <w:tcPr>
            <w:tcW w:w="50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ectPr>
          <w:pgSz w:w="11900" w:h="16838" w:orient="portrait"/>
          <w:cols w:equalWidth="0" w:num="2">
            <w:col w:w="7520" w:space="720"/>
            <w:col w:w="1919"/>
          </w:cols>
          <w:pgMar w:left="300" w:top="257"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20" w:type="dxa"/>
        <w:tblCellMar>
          <w:top w:w="0" w:type="dxa"/>
          <w:left w:w="0" w:type="dxa"/>
          <w:bottom w:w="0" w:type="dxa"/>
          <w:right w:w="0" w:type="dxa"/>
        </w:tblCellMar>
      </w:tblPr>
      <w:tr>
        <w:trPr>
          <w:trHeight w:val="163"/>
        </w:trPr>
        <w:tc>
          <w:tcPr>
            <w:tcW w:w="2400" w:type="dxa"/>
            <w:vAlign w:val="bottom"/>
          </w:tcPr>
          <w:p>
            <w:pPr>
              <w:spacing w:after="0"/>
              <w:rPr>
                <w:sz w:val="20"/>
                <w:szCs w:val="20"/>
                <w:color w:val="auto"/>
              </w:rPr>
            </w:pPr>
            <w:r>
              <w:rPr>
                <w:rFonts w:ascii="Courier New" w:cs="Courier New" w:eastAsia="Courier New" w:hAnsi="Courier New"/>
                <w:sz w:val="14"/>
                <w:szCs w:val="14"/>
                <w:color w:val="auto"/>
              </w:rPr>
              <w:t>SIGNATURE</w:t>
            </w:r>
          </w:p>
        </w:tc>
        <w:tc>
          <w:tcPr>
            <w:tcW w:w="3520" w:type="dxa"/>
            <w:vAlign w:val="bottom"/>
          </w:tcPr>
          <w:p>
            <w:pPr>
              <w:ind w:left="1320"/>
              <w:spacing w:after="0"/>
              <w:rPr>
                <w:sz w:val="20"/>
                <w:szCs w:val="20"/>
                <w:color w:val="auto"/>
              </w:rPr>
            </w:pPr>
            <w:r>
              <w:rPr>
                <w:rFonts w:ascii="Courier New" w:cs="Courier New" w:eastAsia="Courier New" w:hAnsi="Courier New"/>
                <w:sz w:val="14"/>
                <w:szCs w:val="14"/>
                <w:color w:val="auto"/>
              </w:rPr>
              <w:t>TITLE</w:t>
            </w:r>
          </w:p>
        </w:tc>
        <w:tc>
          <w:tcPr>
            <w:tcW w:w="2880" w:type="dxa"/>
            <w:vAlign w:val="bottom"/>
          </w:tcPr>
          <w:p>
            <w:pPr>
              <w:ind w:left="1540"/>
              <w:spacing w:after="0"/>
              <w:rPr>
                <w:sz w:val="20"/>
                <w:szCs w:val="20"/>
                <w:color w:val="auto"/>
              </w:rPr>
            </w:pPr>
            <w:r>
              <w:rPr>
                <w:rFonts w:ascii="Courier New" w:cs="Courier New" w:eastAsia="Courier New" w:hAnsi="Courier New"/>
                <w:sz w:val="14"/>
                <w:szCs w:val="14"/>
                <w:color w:val="auto"/>
              </w:rPr>
              <w:t>DATE</w:t>
            </w: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520" w:type="dxa"/>
            <w:vAlign w:val="bottom"/>
          </w:tcPr>
          <w:p>
            <w:pPr>
              <w:ind w:left="1320"/>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ind w:left="15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89"/>
        </w:trPr>
        <w:tc>
          <w:tcPr>
            <w:tcW w:w="2400" w:type="dxa"/>
            <w:vAlign w:val="bottom"/>
            <w:vMerge w:val="restart"/>
          </w:tcPr>
          <w:p>
            <w:pPr>
              <w:spacing w:after="0"/>
              <w:rPr>
                <w:sz w:val="20"/>
                <w:szCs w:val="20"/>
                <w:color w:val="auto"/>
              </w:rPr>
            </w:pPr>
            <w:r>
              <w:rPr>
                <w:rFonts w:ascii="Courier New" w:cs="Courier New" w:eastAsia="Courier New" w:hAnsi="Courier New"/>
                <w:sz w:val="23"/>
                <w:szCs w:val="23"/>
                <w:color w:val="auto"/>
                <w:w w:val="71"/>
                <w:vertAlign w:val="subscript"/>
              </w:rPr>
              <w:t>Richard</w:t>
            </w:r>
            <w:r>
              <w:rPr>
                <w:rFonts w:ascii="Courier New" w:cs="Courier New" w:eastAsia="Courier New" w:hAnsi="Courier New"/>
                <w:sz w:val="12"/>
                <w:szCs w:val="12"/>
                <w:color w:val="auto"/>
                <w:w w:val="71"/>
              </w:rPr>
              <w:t>---------------------------</w:t>
            </w:r>
            <w:r>
              <w:rPr>
                <w:rFonts w:ascii="Courier New" w:cs="Courier New" w:eastAsia="Courier New" w:hAnsi="Courier New"/>
                <w:sz w:val="23"/>
                <w:szCs w:val="23"/>
                <w:color w:val="auto"/>
                <w:w w:val="71"/>
                <w:vertAlign w:val="subscript"/>
              </w:rPr>
              <w:t>W.Cardin</w:t>
            </w:r>
          </w:p>
        </w:tc>
        <w:tc>
          <w:tcPr>
            <w:tcW w:w="3520" w:type="dxa"/>
            <w:vAlign w:val="bottom"/>
          </w:tcPr>
          <w:p>
            <w:pPr>
              <w:ind w:left="1320"/>
              <w:spacing w:after="0"/>
              <w:rPr>
                <w:sz w:val="20"/>
                <w:szCs w:val="20"/>
                <w:color w:val="auto"/>
              </w:rPr>
            </w:pPr>
            <w:r>
              <w:rPr>
                <w:rFonts w:ascii="Courier New" w:cs="Courier New" w:eastAsia="Courier New" w:hAnsi="Courier New"/>
                <w:sz w:val="14"/>
                <w:szCs w:val="14"/>
                <w:color w:val="auto"/>
              </w:rPr>
              <w:t>Director</w:t>
            </w:r>
          </w:p>
        </w:tc>
        <w:tc>
          <w:tcPr>
            <w:tcW w:w="2880" w:type="dxa"/>
            <w:vAlign w:val="bottom"/>
          </w:tcPr>
          <w:p>
            <w:pPr>
              <w:ind w:left="1540"/>
              <w:spacing w:after="0"/>
              <w:rPr>
                <w:sz w:val="20"/>
                <w:szCs w:val="20"/>
                <w:color w:val="auto"/>
              </w:rPr>
            </w:pPr>
            <w:r>
              <w:rPr>
                <w:rFonts w:ascii="Courier New" w:cs="Courier New" w:eastAsia="Courier New" w:hAnsi="Courier New"/>
                <w:sz w:val="14"/>
                <w:szCs w:val="14"/>
                <w:color w:val="auto"/>
                <w:w w:val="98"/>
              </w:rPr>
              <w:t>March ____, 2000</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35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3520" w:type="dxa"/>
            <w:vAlign w:val="bottom"/>
          </w:tcPr>
          <w:p>
            <w:pPr>
              <w:ind w:left="1320"/>
              <w:spacing w:after="0"/>
              <w:rPr>
                <w:sz w:val="20"/>
                <w:szCs w:val="20"/>
                <w:color w:val="auto"/>
              </w:rPr>
            </w:pPr>
            <w:r>
              <w:rPr>
                <w:rFonts w:ascii="Courier New" w:cs="Courier New" w:eastAsia="Courier New" w:hAnsi="Courier New"/>
                <w:sz w:val="14"/>
                <w:szCs w:val="14"/>
                <w:color w:val="auto"/>
              </w:rPr>
              <w:t>Director</w:t>
            </w:r>
          </w:p>
        </w:tc>
        <w:tc>
          <w:tcPr>
            <w:tcW w:w="2880" w:type="dxa"/>
            <w:vAlign w:val="bottom"/>
          </w:tcPr>
          <w:p>
            <w:pPr>
              <w:ind w:left="1540"/>
              <w:spacing w:after="0"/>
              <w:rPr>
                <w:sz w:val="20"/>
                <w:szCs w:val="20"/>
                <w:color w:val="auto"/>
              </w:rPr>
            </w:pPr>
            <w:r>
              <w:rPr>
                <w:rFonts w:ascii="Courier New" w:cs="Courier New" w:eastAsia="Courier New" w:hAnsi="Courier New"/>
                <w:sz w:val="14"/>
                <w:szCs w:val="14"/>
                <w:color w:val="auto"/>
                <w:w w:val="98"/>
              </w:rPr>
              <w:t>March ____, 2000</w:t>
            </w:r>
          </w:p>
        </w:tc>
        <w:tc>
          <w:tcPr>
            <w:tcW w:w="0" w:type="dxa"/>
            <w:vAlign w:val="bottom"/>
          </w:tcPr>
          <w:p>
            <w:pPr>
              <w:spacing w:after="0"/>
              <w:rPr>
                <w:sz w:val="1"/>
                <w:szCs w:val="1"/>
                <w:color w:val="auto"/>
              </w:rPr>
            </w:pPr>
          </w:p>
        </w:tc>
      </w:tr>
      <w:tr>
        <w:trPr>
          <w:trHeight w:val="88"/>
        </w:trPr>
        <w:tc>
          <w:tcPr>
            <w:tcW w:w="240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r>
              <w:rPr>
                <w:rFonts w:ascii="Courier New" w:cs="Courier New" w:eastAsia="Courier New" w:hAnsi="Courier New"/>
                <w:sz w:val="14"/>
                <w:szCs w:val="14"/>
                <w:color w:val="auto"/>
              </w:rPr>
              <w:t>Jean-Pierre Cuny</w:t>
            </w:r>
          </w:p>
        </w:tc>
        <w:tc>
          <w:tcPr>
            <w:tcW w:w="3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400" w:type="dxa"/>
            <w:vAlign w:val="bottom"/>
          </w:tcPr>
          <w:p>
            <w:pPr>
              <w:spacing w:after="0"/>
              <w:rPr>
                <w:sz w:val="20"/>
                <w:szCs w:val="20"/>
                <w:color w:val="auto"/>
              </w:rPr>
            </w:pPr>
            <w:r>
              <w:rPr>
                <w:rFonts w:ascii="Courier New" w:cs="Courier New" w:eastAsia="Courier New" w:hAnsi="Courier New"/>
                <w:sz w:val="14"/>
                <w:szCs w:val="14"/>
                <w:color w:val="auto"/>
              </w:rPr>
              <w:t>/s/ Ted Feldman</w:t>
            </w:r>
          </w:p>
        </w:tc>
        <w:tc>
          <w:tcPr>
            <w:tcW w:w="3520" w:type="dxa"/>
            <w:vAlign w:val="bottom"/>
            <w:vMerge w:val="restart"/>
          </w:tcPr>
          <w:p>
            <w:pPr>
              <w:ind w:left="1320"/>
              <w:spacing w:after="0"/>
              <w:rPr>
                <w:sz w:val="20"/>
                <w:szCs w:val="20"/>
                <w:color w:val="auto"/>
              </w:rPr>
            </w:pPr>
            <w:r>
              <w:rPr>
                <w:rFonts w:ascii="Courier New" w:cs="Courier New" w:eastAsia="Courier New" w:hAnsi="Courier New"/>
                <w:sz w:val="14"/>
                <w:szCs w:val="14"/>
                <w:color w:val="auto"/>
              </w:rPr>
              <w:t>Director</w:t>
            </w:r>
          </w:p>
        </w:tc>
        <w:tc>
          <w:tcPr>
            <w:tcW w:w="2880" w:type="dxa"/>
            <w:vAlign w:val="bottom"/>
            <w:vMerge w:val="restart"/>
          </w:tcPr>
          <w:p>
            <w:pPr>
              <w:ind w:left="1540"/>
              <w:spacing w:after="0"/>
              <w:rPr>
                <w:sz w:val="20"/>
                <w:szCs w:val="20"/>
                <w:color w:val="auto"/>
              </w:rPr>
            </w:pPr>
            <w:r>
              <w:rPr>
                <w:rFonts w:ascii="Courier New" w:cs="Courier New" w:eastAsia="Courier New" w:hAnsi="Courier New"/>
                <w:sz w:val="14"/>
                <w:szCs w:val="14"/>
                <w:color w:val="auto"/>
              </w:rPr>
              <w:t>March 30, 2000</w:t>
            </w:r>
          </w:p>
        </w:tc>
        <w:tc>
          <w:tcPr>
            <w:tcW w:w="0" w:type="dxa"/>
            <w:vAlign w:val="bottom"/>
          </w:tcPr>
          <w:p>
            <w:pPr>
              <w:spacing w:after="0"/>
              <w:rPr>
                <w:sz w:val="1"/>
                <w:szCs w:val="1"/>
                <w:color w:val="auto"/>
              </w:rPr>
            </w:pPr>
          </w:p>
        </w:tc>
      </w:tr>
      <w:tr>
        <w:trPr>
          <w:trHeight w:val="238"/>
        </w:trPr>
        <w:tc>
          <w:tcPr>
            <w:tcW w:w="2400" w:type="dxa"/>
            <w:vAlign w:val="bottom"/>
            <w:vMerge w:val="restart"/>
          </w:tcPr>
          <w:p>
            <w:pPr>
              <w:spacing w:after="0"/>
              <w:rPr>
                <w:sz w:val="20"/>
                <w:szCs w:val="20"/>
                <w:color w:val="auto"/>
              </w:rPr>
            </w:pPr>
            <w:r>
              <w:rPr>
                <w:rFonts w:ascii="Courier New" w:cs="Courier New" w:eastAsia="Courier New" w:hAnsi="Courier New"/>
                <w:sz w:val="28"/>
                <w:szCs w:val="28"/>
                <w:color w:val="auto"/>
                <w:w w:val="70"/>
                <w:vertAlign w:val="subscript"/>
              </w:rPr>
              <w:t>Ted</w:t>
            </w:r>
            <w:r>
              <w:rPr>
                <w:rFonts w:ascii="Courier New" w:cs="Courier New" w:eastAsia="Courier New" w:hAnsi="Courier New"/>
                <w:sz w:val="14"/>
                <w:szCs w:val="14"/>
                <w:color w:val="auto"/>
                <w:w w:val="70"/>
              </w:rPr>
              <w:t>---------------------------</w:t>
            </w:r>
            <w:r>
              <w:rPr>
                <w:rFonts w:ascii="Courier New" w:cs="Courier New" w:eastAsia="Courier New" w:hAnsi="Courier New"/>
                <w:sz w:val="28"/>
                <w:szCs w:val="28"/>
                <w:color w:val="auto"/>
                <w:w w:val="70"/>
                <w:vertAlign w:val="subscript"/>
              </w:rPr>
              <w:t>Feldman</w:t>
            </w:r>
          </w:p>
        </w:tc>
        <w:tc>
          <w:tcPr>
            <w:tcW w:w="3520" w:type="dxa"/>
            <w:vAlign w:val="bottom"/>
            <w:vMerge w:val="continue"/>
          </w:tcPr>
          <w:p>
            <w:pPr>
              <w:spacing w:after="0"/>
              <w:rPr>
                <w:sz w:val="20"/>
                <w:szCs w:val="20"/>
                <w:color w:val="auto"/>
              </w:rPr>
            </w:pPr>
          </w:p>
        </w:tc>
        <w:tc>
          <w:tcPr>
            <w:tcW w:w="2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40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2400" w:type="dxa"/>
            <w:vAlign w:val="bottom"/>
            <w:vMerge w:val="restart"/>
          </w:tcPr>
          <w:p>
            <w:pPr>
              <w:spacing w:after="0"/>
              <w:rPr>
                <w:sz w:val="20"/>
                <w:szCs w:val="20"/>
                <w:color w:val="auto"/>
              </w:rPr>
            </w:pPr>
            <w:r>
              <w:rPr>
                <w:rFonts w:ascii="Courier New" w:cs="Courier New" w:eastAsia="Courier New" w:hAnsi="Courier New"/>
                <w:sz w:val="23"/>
                <w:szCs w:val="23"/>
                <w:color w:val="auto"/>
                <w:w w:val="73"/>
                <w:vertAlign w:val="subscript"/>
              </w:rPr>
              <w:t>Jackson</w:t>
            </w:r>
            <w:r>
              <w:rPr>
                <w:rFonts w:ascii="Courier New" w:cs="Courier New" w:eastAsia="Courier New" w:hAnsi="Courier New"/>
                <w:sz w:val="12"/>
                <w:szCs w:val="12"/>
                <w:color w:val="auto"/>
                <w:w w:val="73"/>
              </w:rPr>
              <w:t>---------------------------</w:t>
            </w:r>
            <w:r>
              <w:rPr>
                <w:rFonts w:ascii="Courier New" w:cs="Courier New" w:eastAsia="Courier New" w:hAnsi="Courier New"/>
                <w:sz w:val="23"/>
                <w:szCs w:val="23"/>
                <w:color w:val="auto"/>
                <w:w w:val="73"/>
                <w:vertAlign w:val="subscript"/>
              </w:rPr>
              <w:t>W.Moore</w:t>
            </w:r>
          </w:p>
        </w:tc>
        <w:tc>
          <w:tcPr>
            <w:tcW w:w="3520" w:type="dxa"/>
            <w:vAlign w:val="bottom"/>
          </w:tcPr>
          <w:p>
            <w:pPr>
              <w:ind w:left="1320"/>
              <w:spacing w:after="0"/>
              <w:rPr>
                <w:sz w:val="20"/>
                <w:szCs w:val="20"/>
                <w:color w:val="auto"/>
              </w:rPr>
            </w:pPr>
            <w:r>
              <w:rPr>
                <w:rFonts w:ascii="Courier New" w:cs="Courier New" w:eastAsia="Courier New" w:hAnsi="Courier New"/>
                <w:sz w:val="14"/>
                <w:szCs w:val="14"/>
                <w:color w:val="auto"/>
              </w:rPr>
              <w:t>Director</w:t>
            </w:r>
          </w:p>
        </w:tc>
        <w:tc>
          <w:tcPr>
            <w:tcW w:w="2880" w:type="dxa"/>
            <w:vAlign w:val="bottom"/>
          </w:tcPr>
          <w:p>
            <w:pPr>
              <w:ind w:left="1540"/>
              <w:spacing w:after="0"/>
              <w:rPr>
                <w:sz w:val="20"/>
                <w:szCs w:val="20"/>
                <w:color w:val="auto"/>
              </w:rPr>
            </w:pPr>
            <w:r>
              <w:rPr>
                <w:rFonts w:ascii="Courier New" w:cs="Courier New" w:eastAsia="Courier New" w:hAnsi="Courier New"/>
                <w:sz w:val="14"/>
                <w:szCs w:val="14"/>
                <w:color w:val="auto"/>
                <w:w w:val="98"/>
              </w:rPr>
              <w:t>March ____, 2000</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35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0"/>
                <w:szCs w:val="20"/>
                <w:color w:val="auto"/>
              </w:rPr>
            </w:pPr>
            <w:r>
              <w:rPr>
                <w:rFonts w:ascii="Courier New" w:cs="Courier New" w:eastAsia="Courier New" w:hAnsi="Courier New"/>
                <w:sz w:val="14"/>
                <w:szCs w:val="14"/>
                <w:color w:val="auto"/>
              </w:rPr>
              <w:t>/s/ Joseph V. Russell</w:t>
            </w:r>
          </w:p>
        </w:tc>
        <w:tc>
          <w:tcPr>
            <w:tcW w:w="3520" w:type="dxa"/>
            <w:vAlign w:val="bottom"/>
            <w:vMerge w:val="restart"/>
          </w:tcPr>
          <w:p>
            <w:pPr>
              <w:ind w:left="1320"/>
              <w:spacing w:after="0"/>
              <w:rPr>
                <w:sz w:val="20"/>
                <w:szCs w:val="20"/>
                <w:color w:val="auto"/>
              </w:rPr>
            </w:pPr>
            <w:r>
              <w:rPr>
                <w:rFonts w:ascii="Courier New" w:cs="Courier New" w:eastAsia="Courier New" w:hAnsi="Courier New"/>
                <w:sz w:val="14"/>
                <w:szCs w:val="14"/>
                <w:color w:val="auto"/>
              </w:rPr>
              <w:t>Director</w:t>
            </w:r>
          </w:p>
        </w:tc>
        <w:tc>
          <w:tcPr>
            <w:tcW w:w="2880" w:type="dxa"/>
            <w:vAlign w:val="bottom"/>
            <w:vMerge w:val="restart"/>
          </w:tcPr>
          <w:p>
            <w:pPr>
              <w:ind w:left="1540"/>
              <w:spacing w:after="0"/>
              <w:rPr>
                <w:sz w:val="20"/>
                <w:szCs w:val="20"/>
                <w:color w:val="auto"/>
              </w:rPr>
            </w:pPr>
            <w:r>
              <w:rPr>
                <w:rFonts w:ascii="Courier New" w:cs="Courier New" w:eastAsia="Courier New" w:hAnsi="Courier New"/>
                <w:sz w:val="14"/>
                <w:szCs w:val="14"/>
                <w:color w:val="auto"/>
              </w:rPr>
              <w:t>March 30, 2000</w:t>
            </w:r>
          </w:p>
        </w:tc>
        <w:tc>
          <w:tcPr>
            <w:tcW w:w="0" w:type="dxa"/>
            <w:vAlign w:val="bottom"/>
          </w:tcPr>
          <w:p>
            <w:pPr>
              <w:spacing w:after="0"/>
              <w:rPr>
                <w:sz w:val="1"/>
                <w:szCs w:val="1"/>
                <w:color w:val="auto"/>
              </w:rPr>
            </w:pPr>
          </w:p>
        </w:tc>
      </w:tr>
      <w:tr>
        <w:trPr>
          <w:trHeight w:val="238"/>
        </w:trPr>
        <w:tc>
          <w:tcPr>
            <w:tcW w:w="2400" w:type="dxa"/>
            <w:vAlign w:val="bottom"/>
            <w:vMerge w:val="restart"/>
          </w:tcPr>
          <w:p>
            <w:pPr>
              <w:spacing w:after="0"/>
              <w:rPr>
                <w:sz w:val="20"/>
                <w:szCs w:val="20"/>
                <w:color w:val="auto"/>
              </w:rPr>
            </w:pPr>
            <w:r>
              <w:rPr>
                <w:rFonts w:ascii="Courier New" w:cs="Courier New" w:eastAsia="Courier New" w:hAnsi="Courier New"/>
                <w:sz w:val="23"/>
                <w:szCs w:val="23"/>
                <w:color w:val="auto"/>
                <w:w w:val="73"/>
                <w:vertAlign w:val="subscript"/>
              </w:rPr>
              <w:t>Joseph</w:t>
            </w:r>
            <w:r>
              <w:rPr>
                <w:rFonts w:ascii="Courier New" w:cs="Courier New" w:eastAsia="Courier New" w:hAnsi="Courier New"/>
                <w:sz w:val="12"/>
                <w:szCs w:val="12"/>
                <w:color w:val="auto"/>
                <w:w w:val="73"/>
              </w:rPr>
              <w:t>--------------------------</w:t>
            </w:r>
            <w:r>
              <w:rPr>
                <w:rFonts w:ascii="Courier New" w:cs="Courier New" w:eastAsia="Courier New" w:hAnsi="Courier New"/>
                <w:sz w:val="23"/>
                <w:szCs w:val="23"/>
                <w:color w:val="auto"/>
                <w:w w:val="73"/>
                <w:vertAlign w:val="subscript"/>
              </w:rPr>
              <w:t>V.Russell</w:t>
            </w:r>
          </w:p>
        </w:tc>
        <w:tc>
          <w:tcPr>
            <w:tcW w:w="3520" w:type="dxa"/>
            <w:vAlign w:val="bottom"/>
            <w:vMerge w:val="continue"/>
          </w:tcPr>
          <w:p>
            <w:pPr>
              <w:spacing w:after="0"/>
              <w:rPr>
                <w:sz w:val="20"/>
                <w:szCs w:val="20"/>
                <w:color w:val="auto"/>
              </w:rPr>
            </w:pPr>
          </w:p>
        </w:tc>
        <w:tc>
          <w:tcPr>
            <w:tcW w:w="2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40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r>
              <w:rPr>
                <w:rFonts w:ascii="Courier New" w:cs="Courier New" w:eastAsia="Courier New" w:hAnsi="Courier New"/>
                <w:sz w:val="14"/>
                <w:szCs w:val="14"/>
                <w:color w:val="auto"/>
              </w:rPr>
              <w:t>/s/ Charles W. Thomas, Ph.D.</w:t>
            </w:r>
          </w:p>
        </w:tc>
        <w:tc>
          <w:tcPr>
            <w:tcW w:w="3520" w:type="dxa"/>
            <w:vAlign w:val="bottom"/>
            <w:vMerge w:val="restart"/>
          </w:tcPr>
          <w:p>
            <w:pPr>
              <w:ind w:left="1320"/>
              <w:spacing w:after="0"/>
              <w:rPr>
                <w:sz w:val="20"/>
                <w:szCs w:val="20"/>
                <w:color w:val="auto"/>
              </w:rPr>
            </w:pPr>
            <w:r>
              <w:rPr>
                <w:rFonts w:ascii="Courier New" w:cs="Courier New" w:eastAsia="Courier New" w:hAnsi="Courier New"/>
                <w:sz w:val="14"/>
                <w:szCs w:val="14"/>
                <w:color w:val="auto"/>
              </w:rPr>
              <w:t>Director</w:t>
            </w:r>
          </w:p>
        </w:tc>
        <w:tc>
          <w:tcPr>
            <w:tcW w:w="2880" w:type="dxa"/>
            <w:vAlign w:val="bottom"/>
            <w:vMerge w:val="restart"/>
          </w:tcPr>
          <w:p>
            <w:pPr>
              <w:ind w:left="1540"/>
              <w:spacing w:after="0"/>
              <w:rPr>
                <w:sz w:val="20"/>
                <w:szCs w:val="20"/>
                <w:color w:val="auto"/>
              </w:rPr>
            </w:pPr>
            <w:r>
              <w:rPr>
                <w:rFonts w:ascii="Courier New" w:cs="Courier New" w:eastAsia="Courier New" w:hAnsi="Courier New"/>
                <w:sz w:val="14"/>
                <w:szCs w:val="14"/>
                <w:color w:val="auto"/>
              </w:rPr>
              <w:t>March 30, 2000</w:t>
            </w:r>
          </w:p>
        </w:tc>
        <w:tc>
          <w:tcPr>
            <w:tcW w:w="0" w:type="dxa"/>
            <w:vAlign w:val="bottom"/>
          </w:tcPr>
          <w:p>
            <w:pPr>
              <w:spacing w:after="0"/>
              <w:rPr>
                <w:sz w:val="1"/>
                <w:szCs w:val="1"/>
                <w:color w:val="auto"/>
              </w:rPr>
            </w:pPr>
          </w:p>
        </w:tc>
      </w:tr>
      <w:tr>
        <w:trPr>
          <w:trHeight w:val="238"/>
        </w:trPr>
        <w:tc>
          <w:tcPr>
            <w:tcW w:w="2400" w:type="dxa"/>
            <w:vAlign w:val="bottom"/>
            <w:vMerge w:val="restart"/>
          </w:tcPr>
          <w:p>
            <w:pPr>
              <w:spacing w:after="0"/>
              <w:rPr>
                <w:sz w:val="20"/>
                <w:szCs w:val="20"/>
                <w:color w:val="auto"/>
              </w:rPr>
            </w:pPr>
            <w:r>
              <w:rPr>
                <w:rFonts w:ascii="Courier New" w:cs="Courier New" w:eastAsia="Courier New" w:hAnsi="Courier New"/>
                <w:sz w:val="19"/>
                <w:szCs w:val="19"/>
                <w:color w:val="auto"/>
                <w:w w:val="70"/>
                <w:vertAlign w:val="subscript"/>
              </w:rPr>
              <w:t>Charles</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W.Thomas,Ph.D.</w:t>
            </w:r>
          </w:p>
        </w:tc>
        <w:tc>
          <w:tcPr>
            <w:tcW w:w="3520" w:type="dxa"/>
            <w:vAlign w:val="bottom"/>
            <w:vMerge w:val="continue"/>
          </w:tcPr>
          <w:p>
            <w:pPr>
              <w:spacing w:after="0"/>
              <w:rPr>
                <w:sz w:val="20"/>
                <w:szCs w:val="20"/>
                <w:color w:val="auto"/>
              </w:rPr>
            </w:pPr>
          </w:p>
        </w:tc>
        <w:tc>
          <w:tcPr>
            <w:tcW w:w="2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40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9"/>
        </w:trPr>
        <w:tc>
          <w:tcPr>
            <w:tcW w:w="2400" w:type="dxa"/>
            <w:vAlign w:val="bottom"/>
          </w:tcPr>
          <w:p>
            <w:pPr>
              <w:spacing w:after="0"/>
              <w:rPr>
                <w:sz w:val="24"/>
                <w:szCs w:val="24"/>
                <w:color w:val="auto"/>
              </w:rPr>
            </w:pP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105</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899"/>
          </w:cols>
          <w:pgMar w:left="560" w:top="257"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110</w:t>
      </w:r>
    </w:p>
    <w:p>
      <w:pPr>
        <w:spacing w:after="0" w:line="200" w:lineRule="exact"/>
        <w:rPr>
          <w:sz w:val="20"/>
          <w:szCs w:val="20"/>
          <w:color w:val="auto"/>
        </w:rPr>
      </w:pPr>
    </w:p>
    <w:p>
      <w:pPr>
        <w:spacing w:after="0" w:line="29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INDEX OF EXHIBITS</w:t>
      </w:r>
    </w:p>
    <w:p>
      <w:pPr>
        <w:spacing w:after="0" w:line="331" w:lineRule="exact"/>
        <w:rPr>
          <w:sz w:val="20"/>
          <w:szCs w:val="20"/>
          <w:color w:val="auto"/>
        </w:rPr>
      </w:pPr>
    </w:p>
    <w:p>
      <w:pPr>
        <w:jc w:val="both"/>
        <w:ind w:right="3619"/>
        <w:spacing w:after="0" w:line="306" w:lineRule="auto"/>
        <w:rPr>
          <w:sz w:val="20"/>
          <w:szCs w:val="20"/>
          <w:color w:val="auto"/>
        </w:rPr>
      </w:pPr>
      <w:r>
        <w:rPr>
          <w:rFonts w:ascii="Courier New" w:cs="Courier New" w:eastAsia="Courier New" w:hAnsi="Courier New"/>
          <w:sz w:val="14"/>
          <w:szCs w:val="14"/>
          <w:color w:val="auto"/>
        </w:rPr>
        <w:t>Exhibits marked with an * are filed herewith. Other exhibits have previously been filed with the Securities and Exchange Commission (the "Commission") and are incorporated herein by reference.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27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DESCRIPTION OF EXHIBITS</w:t>
            </w:r>
          </w:p>
        </w:tc>
        <w:tc>
          <w:tcPr>
            <w:tcW w:w="0" w:type="dxa"/>
            <w:vAlign w:val="bottom"/>
          </w:tcPr>
          <w:p>
            <w:pPr>
              <w:spacing w:after="0"/>
              <w:rPr>
                <w:sz w:val="1"/>
                <w:szCs w:val="1"/>
                <w:color w:val="auto"/>
              </w:rPr>
            </w:pPr>
          </w:p>
        </w:tc>
      </w:tr>
      <w:tr>
        <w:trPr>
          <w:trHeight w:val="163"/>
        </w:trPr>
        <w:tc>
          <w:tcPr>
            <w:tcW w:w="116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2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780" w:right="2179" w:hanging="762"/>
        <w:spacing w:after="0" w:line="276" w:lineRule="auto"/>
        <w:tabs>
          <w:tab w:leader="none" w:pos="76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Agreement and Plan of Merger, dated as of April 17, 1998, by and among Old Prison Realty and USCC Corporation, a wholly-owned Kentucky subsidiary of Old Prison Realty, and U.S. Corrections Corporation, a Kentucky corporation (previously filed as Exhibit 2.2 to Old Prison Realty's Current Report on Form 8-K (Commission File no. 1-13049), filed with the Commission on April 22, 1998 and incorporated herein by reference).</w:t>
      </w:r>
    </w:p>
    <w:p>
      <w:pPr>
        <w:spacing w:after="0" w:line="67" w:lineRule="exact"/>
        <w:rPr>
          <w:sz w:val="20"/>
          <w:szCs w:val="20"/>
          <w:color w:val="auto"/>
        </w:rPr>
      </w:pPr>
    </w:p>
    <w:p>
      <w:pPr>
        <w:ind w:left="780" w:right="2099" w:hanging="762"/>
        <w:spacing w:after="0" w:line="261" w:lineRule="auto"/>
        <w:tabs>
          <w:tab w:leader="none" w:pos="76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Amended and Restated Agreement and Plan of Merger, dated as of September 29, 1998, by and among Old CCA, Old Prison Realty and the Company (previously filed as Appendix A to the Prospectus filed pursuant to Rule 424(b)(4) included in the Company's Registration Statement on Form S-4 (Commission File no. 333-65017), filed with the Commission on September 30, 1998, as declared effective on October 16, 1998, and incorporated herein by reference) (as directed by Item 601(b)(2) of Regulation S-K, certain schedules and exhibits to this document were omitted from that filing, and the Company has agreed to furnish supplementally a copy of any omitted schedule or exhibit to the Commission upon request).</w:t>
      </w:r>
    </w:p>
    <w:p>
      <w:pPr>
        <w:spacing w:after="0" w:line="78" w:lineRule="exact"/>
        <w:rPr>
          <w:sz w:val="20"/>
          <w:szCs w:val="20"/>
          <w:color w:val="auto"/>
        </w:rPr>
      </w:pPr>
    </w:p>
    <w:p>
      <w:pPr>
        <w:ind w:left="780" w:right="2099" w:hanging="762"/>
        <w:spacing w:after="0" w:line="263" w:lineRule="auto"/>
        <w:tabs>
          <w:tab w:leader="none" w:pos="76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Agreement and Plan of Merger, dated as of December 26, 1999, by and among the Company, CCA Acquisition Sub, Inc., PMSI Acquisition Sub, Inc. and JJFMSI Acquisition Sub, Inc. and CCA, PMSI and JJFMSI (previously filed as Exhibit 2.1 to the Company's Current Report on Form 8-K (Commission File no. 0-25245), filed with the Commission on December 28, 1999 and incorporated herein by reference) (as directed by Item 601(b)(2) of Regulation S-K, certain schedules and exhibits to this document were omitted from that filing, and the Company has agreed to furnish supplementally a copy of any omitted schedule or exhibit to the Commission upon request).</w:t>
      </w:r>
    </w:p>
    <w:p>
      <w:pPr>
        <w:spacing w:after="0" w:line="77" w:lineRule="exact"/>
        <w:rPr>
          <w:sz w:val="20"/>
          <w:szCs w:val="20"/>
          <w:color w:val="auto"/>
        </w:rPr>
      </w:pPr>
    </w:p>
    <w:p>
      <w:pPr>
        <w:ind w:left="780" w:right="2179" w:hanging="762"/>
        <w:spacing w:after="0" w:line="306" w:lineRule="auto"/>
        <w:tabs>
          <w:tab w:leader="none" w:pos="76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Charter of the Company (previously filed as Exhibit 3.1 to the Company's Registration Statement on Form S-4 (Commission File no. 333-65017), filed with the Commission on September 30, 1998 and incorporated herein by reference).</w:t>
      </w:r>
    </w:p>
    <w:p>
      <w:pPr>
        <w:spacing w:after="0" w:line="46" w:lineRule="exact"/>
        <w:rPr>
          <w:sz w:val="20"/>
          <w:szCs w:val="20"/>
          <w:color w:val="auto"/>
        </w:rPr>
      </w:pPr>
    </w:p>
    <w:p>
      <w:pPr>
        <w:ind w:left="780" w:right="2099" w:hanging="762"/>
        <w:spacing w:after="0" w:line="286" w:lineRule="auto"/>
        <w:tabs>
          <w:tab w:leader="none" w:pos="76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Articles of Amendment of the Charter of the Company (previously filed as Exhibit 3.1 to the Company's Quarterly Report on Form 10-Q for the quarterly period ended March 31, 1999 (Commission File no. 0- 25245), filed with the Commission on May 14, 1999 and incorporated herein by reference).</w:t>
      </w:r>
    </w:p>
    <w:p>
      <w:pPr>
        <w:spacing w:after="0" w:line="5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Second Amended and Restated Bylaws of the Company.</w:t>
      </w:r>
    </w:p>
    <w:p>
      <w:pPr>
        <w:spacing w:after="0" w:line="168" w:lineRule="exact"/>
        <w:rPr>
          <w:sz w:val="20"/>
          <w:szCs w:val="20"/>
          <w:color w:val="auto"/>
        </w:rPr>
      </w:pPr>
    </w:p>
    <w:p>
      <w:pPr>
        <w:ind w:left="780" w:right="2439" w:hanging="762"/>
        <w:spacing w:after="0" w:line="306" w:lineRule="auto"/>
        <w:tabs>
          <w:tab w:leader="none" w:pos="7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Provisions defining the rights of shareholders are found in Sections SIXTH through SEVENTH and Article II in the Charter and Second Amended and Restated Bylaws, respectively, of the Company (included as Exhibits 3.1 and 3.2 hereto).</w:t>
      </w:r>
    </w:p>
    <w:p>
      <w:pPr>
        <w:spacing w:after="0" w:line="46" w:lineRule="exact"/>
        <w:rPr>
          <w:sz w:val="20"/>
          <w:szCs w:val="20"/>
          <w:color w:val="auto"/>
        </w:rPr>
      </w:pPr>
    </w:p>
    <w:p>
      <w:pPr>
        <w:ind w:left="780" w:right="2099" w:hanging="762"/>
        <w:spacing w:after="0" w:line="286" w:lineRule="auto"/>
        <w:tabs>
          <w:tab w:leader="none" w:pos="76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Specimen of certificate representing the Company's Common Stock (previously filed as Exhibit 4.2 to the Company's Registration Statement on Form S-4 (Commission File no. 333-65017), filed with the Commission on September 30, 1998 and incorporated herein by reference).</w:t>
      </w:r>
    </w:p>
    <w:p>
      <w:pPr>
        <w:sectPr>
          <w:pgSz w:w="11900" w:h="16838" w:orient="portrait"/>
          <w:cols w:equalWidth="0" w:num="1">
            <w:col w:w="10159"/>
          </w:cols>
          <w:pgMar w:left="300" w:top="257"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4"/>
          <w:szCs w:val="14"/>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 w:right="225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Specimen of certificate representing the Company's 8.0% Series A Preferred Stock (previously filed as Exhibit 4.3 to the Company's Registration Statement on Form S-4 (Commission File no. 333-65017), filed with the Commission on September 30, 1998 and incorporated herein by reference).</w:t>
      </w:r>
    </w:p>
    <w:p>
      <w:pPr>
        <w:spacing w:after="0" w:line="59" w:lineRule="exact"/>
        <w:rPr>
          <w:sz w:val="20"/>
          <w:szCs w:val="20"/>
          <w:color w:val="auto"/>
        </w:rPr>
      </w:pPr>
    </w:p>
    <w:p>
      <w:pPr>
        <w:ind w:left="520" w:right="235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Form of 7.5% Convertible, Subordinated Note due February 28, 2002 made payable to Sodexho in the aggregate principal amount of $20.0 million (previously filed as Exhibit 4(v) to Old CCA's Annual Report on Form 10-K (Commission File no. 1-13560), filed with the Commission on March 31, 1997 and incorporated herein by reference).</w:t>
      </w:r>
    </w:p>
    <w:p>
      <w:pPr>
        <w:spacing w:after="0" w:line="59" w:lineRule="exact"/>
        <w:rPr>
          <w:sz w:val="20"/>
          <w:szCs w:val="20"/>
          <w:color w:val="auto"/>
        </w:rPr>
      </w:pPr>
    </w:p>
    <w:p>
      <w:pPr>
        <w:ind w:left="520" w:right="2099" w:hanging="762"/>
        <w:spacing w:after="0" w:line="276" w:lineRule="auto"/>
        <w:tabs>
          <w:tab w:leader="none" w:pos="50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8.5% Convertible, Subordinated Note due November 7, 1999 made payable to Sodexho S.A., predecessor in interest to Sodexho, in the aggregate principal amount of $7.0 million (previously filed as Exhibit 2 to Old CCA's Current Report on Form 8-K (Commission File no. (0-15719), filed with the Commission on June 30, 1994 and incorporated herein by reference).</w:t>
      </w:r>
    </w:p>
    <w:p>
      <w:pPr>
        <w:spacing w:after="0" w:line="67" w:lineRule="exact"/>
        <w:rPr>
          <w:sz w:val="20"/>
          <w:szCs w:val="20"/>
          <w:color w:val="auto"/>
        </w:rPr>
      </w:pPr>
    </w:p>
    <w:p>
      <w:pPr>
        <w:ind w:left="520" w:right="225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7.5% Convertible, Subordinated Note Modification Agreement, dated as of December 30, 1998, by and between Sodexho and Old CCA (previously filed as Exhibit 4.16 to the Company's Annual Report on Form 10-K (Commission File no. 0-25245), filed with the Commission on March 30, 1999 and incorporated herein by reference).</w:t>
      </w:r>
    </w:p>
    <w:p>
      <w:pPr>
        <w:spacing w:after="0" w:line="59" w:lineRule="exact"/>
        <w:rPr>
          <w:sz w:val="20"/>
          <w:szCs w:val="20"/>
          <w:color w:val="auto"/>
        </w:rPr>
      </w:pPr>
    </w:p>
    <w:p>
      <w:pPr>
        <w:ind w:left="520" w:right="225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8.5% Convertible, Subordinated Note Modification Agreement, dated as of December 30, 1998, by and between Sodexho and Old CCA (previously filed as Exhibit 4.17 to the Company's Annual Report on Form 10-K (Commission File no. 0-25245), filed with the Commission on March 30, 1999 and incorporated herein by reference).</w:t>
      </w:r>
    </w:p>
    <w:p>
      <w:pPr>
        <w:spacing w:after="0" w:line="59" w:lineRule="exact"/>
        <w:rPr>
          <w:sz w:val="20"/>
          <w:szCs w:val="20"/>
          <w:color w:val="auto"/>
        </w:rPr>
      </w:pPr>
    </w:p>
    <w:p>
      <w:pPr>
        <w:ind w:left="520" w:right="2179" w:hanging="762"/>
        <w:spacing w:after="0" w:line="276" w:lineRule="auto"/>
        <w:tabs>
          <w:tab w:leader="none" w:pos="50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7.5% Convertible, Subordinated Note due February 28, 2005, made payable to PMI Mezzanine Fund, L.P. in the aggregate principal amount of $30.0 million (previously filed as Exhibit 4.6 to the Company's Current Report on Form 8-K (Commission File no. 0-25245), filed with the Commission on January 6, 1999 and incorporated herein by reference).</w:t>
      </w:r>
    </w:p>
    <w:p>
      <w:pPr>
        <w:spacing w:after="0" w:line="67"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Note from the Company made payable to MDP Ventures IV LLC, dated as of December 31, 1998, in the principal amount of $20.0 million (previously filed as Exhibit 4.7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520" w:right="225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Floating Rate Convertible Note, due March 8, 2004, made payable to Sodexho in the aggregate principal amount of $20.0 million (previously filed as Exhibit 4.20 to the Company's Annual Report on Form 10-K (Commission File no. 0-25245), filed with the Commission on March 30, 1999 and incorporated herein by reference).</w:t>
      </w:r>
    </w:p>
    <w:p>
      <w:pPr>
        <w:spacing w:after="0" w:line="59" w:lineRule="exact"/>
        <w:rPr>
          <w:sz w:val="20"/>
          <w:szCs w:val="20"/>
          <w:color w:val="auto"/>
        </w:rPr>
      </w:pPr>
    </w:p>
    <w:p>
      <w:pPr>
        <w:ind w:left="520" w:right="2179" w:hanging="762"/>
        <w:spacing w:after="0" w:line="276" w:lineRule="auto"/>
        <w:tabs>
          <w:tab w:leader="none" w:pos="500" w:val="left"/>
        </w:tabs>
        <w:rPr>
          <w:sz w:val="20"/>
          <w:szCs w:val="20"/>
          <w:color w:val="auto"/>
        </w:rPr>
      </w:pPr>
      <w:r>
        <w:rPr>
          <w:rFonts w:ascii="Courier New" w:cs="Courier New" w:eastAsia="Courier New" w:hAnsi="Courier New"/>
          <w:sz w:val="14"/>
          <w:szCs w:val="14"/>
          <w:color w:val="auto"/>
        </w:rPr>
        <w:t>4.11</w:t>
      </w:r>
      <w:r>
        <w:rPr>
          <w:sz w:val="20"/>
          <w:szCs w:val="20"/>
          <w:color w:val="auto"/>
        </w:rPr>
        <w:tab/>
      </w:r>
      <w:r>
        <w:rPr>
          <w:rFonts w:ascii="Courier New" w:cs="Courier New" w:eastAsia="Courier New" w:hAnsi="Courier New"/>
          <w:sz w:val="14"/>
          <w:szCs w:val="14"/>
          <w:color w:val="auto"/>
        </w:rPr>
        <w:t>Notes from the Company made payable to MDP Ventures IV LLC, and certain other purchasers, dated as of January 29, 1999, in the aggregate principal amount of $20.0 million (previously filed as Exhibit 4.21 to the Company's Annual Report on Form 10-K (Commission File no. 0-25245), filed with the Commission on March 30, 1999 and incorporated herein by reference).</w:t>
      </w:r>
    </w:p>
    <w:p>
      <w:pPr>
        <w:spacing w:after="0" w:line="67" w:lineRule="exact"/>
        <w:rPr>
          <w:sz w:val="20"/>
          <w:szCs w:val="20"/>
          <w:color w:val="auto"/>
        </w:rPr>
      </w:pPr>
    </w:p>
    <w:p>
      <w:pPr>
        <w:ind w:left="520" w:right="217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4.12</w:t>
      </w:r>
      <w:r>
        <w:rPr>
          <w:sz w:val="20"/>
          <w:szCs w:val="20"/>
          <w:color w:val="auto"/>
        </w:rPr>
        <w:tab/>
      </w:r>
      <w:r>
        <w:rPr>
          <w:rFonts w:ascii="Courier New" w:cs="Courier New" w:eastAsia="Courier New" w:hAnsi="Courier New"/>
          <w:sz w:val="14"/>
          <w:szCs w:val="14"/>
          <w:color w:val="auto"/>
        </w:rPr>
        <w:t>Prison Realty Trust, Inc. Dividend Reinvestment and Stock Purchase Plan (previously filed as Exhibit 4.1 to the Company's Quarterly Report on Form 10-Q for the quarterly period ending March 31, 1999 (Commission File No. 0-25245), filed with the Commission on May 14, 1999 and incorporated herein by reference).</w:t>
      </w:r>
    </w:p>
    <w:p>
      <w:pPr>
        <w:spacing w:after="0" w:line="59" w:lineRule="exact"/>
        <w:rPr>
          <w:sz w:val="20"/>
          <w:szCs w:val="20"/>
          <w:color w:val="auto"/>
        </w:rPr>
      </w:pPr>
    </w:p>
    <w:p>
      <w:pPr>
        <w:jc w:val="both"/>
        <w:ind w:left="520" w:right="2099" w:hanging="762"/>
        <w:spacing w:after="0" w:line="306" w:lineRule="auto"/>
        <w:tabs>
          <w:tab w:leader="none" w:pos="500" w:val="left"/>
        </w:tabs>
        <w:rPr>
          <w:sz w:val="20"/>
          <w:szCs w:val="20"/>
          <w:color w:val="auto"/>
        </w:rPr>
      </w:pPr>
      <w:r>
        <w:rPr>
          <w:rFonts w:ascii="Courier New" w:cs="Courier New" w:eastAsia="Courier New" w:hAnsi="Courier New"/>
          <w:sz w:val="14"/>
          <w:szCs w:val="14"/>
          <w:color w:val="auto"/>
        </w:rPr>
        <w:t>4.13</w:t>
      </w:r>
      <w:r>
        <w:rPr>
          <w:sz w:val="20"/>
          <w:szCs w:val="20"/>
          <w:color w:val="auto"/>
        </w:rPr>
        <w:tab/>
      </w:r>
      <w:r>
        <w:rPr>
          <w:rFonts w:ascii="Courier New" w:cs="Courier New" w:eastAsia="Courier New" w:hAnsi="Courier New"/>
          <w:sz w:val="14"/>
          <w:szCs w:val="14"/>
          <w:color w:val="auto"/>
        </w:rPr>
        <w:t>Indenture, dated as of June 10, 1999, by and between the Company and State Street Bank and Trust Company, as trustee, relating to the issuance of debt securities (previously filed as Exhibit 4.1 to the Company's Quarterly</w:t>
      </w:r>
    </w:p>
    <w:p>
      <w:pPr>
        <w:sectPr>
          <w:pgSz w:w="11900" w:h="16838" w:orient="portrait"/>
          <w:cols w:equalWidth="0" w:num="1">
            <w:col w:w="9899"/>
          </w:cols>
          <w:pgMar w:left="560" w:top="257"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 w:right="2099"/>
        <w:spacing w:after="0" w:line="306" w:lineRule="auto"/>
        <w:rPr>
          <w:sz w:val="20"/>
          <w:szCs w:val="20"/>
          <w:color w:val="auto"/>
        </w:rPr>
      </w:pPr>
      <w:r>
        <w:rPr>
          <w:rFonts w:ascii="Courier New" w:cs="Courier New" w:eastAsia="Courier New" w:hAnsi="Courier New"/>
          <w:sz w:val="14"/>
          <w:szCs w:val="14"/>
          <w:color w:val="auto"/>
        </w:rPr>
        <w:t>Report on Form 10-Q for the quarterly period ending June 30, 1999 (Commission File No. 0-25245), filed with the Commission on August 17, 1999 and incorporated herein by reference).</w:t>
      </w:r>
    </w:p>
    <w:p>
      <w:pPr>
        <w:spacing w:after="0" w:line="46" w:lineRule="exact"/>
        <w:rPr>
          <w:sz w:val="20"/>
          <w:szCs w:val="20"/>
          <w:color w:val="auto"/>
        </w:rPr>
      </w:pPr>
    </w:p>
    <w:p>
      <w:pPr>
        <w:ind w:left="520" w:right="2179" w:hanging="762"/>
        <w:spacing w:after="0" w:line="270" w:lineRule="auto"/>
        <w:tabs>
          <w:tab w:leader="none" w:pos="500" w:val="left"/>
        </w:tabs>
        <w:rPr>
          <w:sz w:val="20"/>
          <w:szCs w:val="20"/>
          <w:color w:val="auto"/>
        </w:rPr>
      </w:pPr>
      <w:r>
        <w:rPr>
          <w:rFonts w:ascii="Courier New" w:cs="Courier New" w:eastAsia="Courier New" w:hAnsi="Courier New"/>
          <w:sz w:val="14"/>
          <w:szCs w:val="14"/>
          <w:color w:val="auto"/>
        </w:rPr>
        <w:t>4.14</w:t>
      </w:r>
      <w:r>
        <w:rPr>
          <w:sz w:val="20"/>
          <w:szCs w:val="20"/>
          <w:color w:val="auto"/>
        </w:rPr>
        <w:tab/>
      </w:r>
      <w:r>
        <w:rPr>
          <w:rFonts w:ascii="Courier New" w:cs="Courier New" w:eastAsia="Courier New" w:hAnsi="Courier New"/>
          <w:sz w:val="14"/>
          <w:szCs w:val="14"/>
          <w:color w:val="auto"/>
        </w:rPr>
        <w:t>First Supplemental Indenture, by and between the Company and State Street Bank and Trust Company, as trustee, dated as of June 11, 1999, relating to the $100.0 million aggregate principal amount of the Company's 12% Senior Notes due 2006 (previously filed as Exhibit 4.2 to the Company's Quarterly Report on Form 10-Q for the quarterly period ending June 30, 1999 (Commission File No. 0-25245), filed with the Commission on August 17, 1999 and incorporated herein by reference).</w:t>
      </w:r>
    </w:p>
    <w:p>
      <w:pPr>
        <w:spacing w:after="0" w:line="71" w:lineRule="exact"/>
        <w:rPr>
          <w:sz w:val="20"/>
          <w:szCs w:val="20"/>
          <w:color w:val="auto"/>
        </w:rPr>
      </w:pPr>
    </w:p>
    <w:p>
      <w:pPr>
        <w:ind w:left="520" w:right="217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Stock Repurchase Agreement, dated March 2, 1998, between Old CCA and Doctor R. Crants (previously filed as Exhibit 10.193 to Old CCA's Annual Report on Form 10-K (Commission File no. 1-13560), filed with the Commission on March 30, 1998 and incorporated herein by reference).</w:t>
      </w:r>
    </w:p>
    <w:p>
      <w:pPr>
        <w:spacing w:after="0" w:line="59" w:lineRule="exact"/>
        <w:rPr>
          <w:sz w:val="20"/>
          <w:szCs w:val="20"/>
          <w:color w:val="auto"/>
        </w:rPr>
      </w:pPr>
    </w:p>
    <w:p>
      <w:pPr>
        <w:ind w:left="520" w:right="2099" w:hanging="762"/>
        <w:spacing w:after="0" w:line="254" w:lineRule="auto"/>
        <w:tabs>
          <w:tab w:leader="none" w:pos="50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Amended and Restated Credit Agreement, dated as of June 24, 1998, by and among Old CCA as Borrower, certain subsidiaries of Old CCA, certain Lenders, First Union National Bank, as the Administrative Agent for the Lenders, Canadian Imperial Bank of Commerce, as Documentation Agent, and NationsBank, N.A., as Syndication Agent (previously filed as Exhibit 10.1 to Old CCA's Quarterly Report on Form 10-Q (Commission File no.</w:t>
      </w:r>
    </w:p>
    <w:p>
      <w:pPr>
        <w:spacing w:after="0" w:line="2" w:lineRule="exact"/>
        <w:rPr>
          <w:sz w:val="20"/>
          <w:szCs w:val="20"/>
          <w:color w:val="auto"/>
        </w:rPr>
      </w:pPr>
    </w:p>
    <w:p>
      <w:pPr>
        <w:ind w:left="520" w:right="2519"/>
        <w:spacing w:after="0" w:line="327" w:lineRule="auto"/>
        <w:rPr>
          <w:sz w:val="20"/>
          <w:szCs w:val="20"/>
          <w:color w:val="auto"/>
        </w:rPr>
      </w:pPr>
      <w:r>
        <w:rPr>
          <w:rFonts w:ascii="Courier New" w:cs="Courier New" w:eastAsia="Courier New" w:hAnsi="Courier New"/>
          <w:sz w:val="14"/>
          <w:szCs w:val="14"/>
          <w:color w:val="auto"/>
        </w:rPr>
        <w:t>1-13560), filed with the Commission on August 14, 1998 and incorporated herein by reference).</w:t>
      </w:r>
    </w:p>
    <w:p>
      <w:pPr>
        <w:spacing w:after="0" w:line="31" w:lineRule="exact"/>
        <w:rPr>
          <w:sz w:val="20"/>
          <w:szCs w:val="20"/>
          <w:color w:val="auto"/>
        </w:rPr>
      </w:pPr>
    </w:p>
    <w:p>
      <w:pPr>
        <w:ind w:left="520" w:right="225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Master Agreement to Lease, dated as of January 1, 1999, by and between the Company, USCC, Inc. and CCA (previously filed as Exhibit 10.1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520" w:right="2699" w:hanging="762"/>
        <w:spacing w:after="0" w:line="266" w:lineRule="auto"/>
        <w:tabs>
          <w:tab w:leader="none" w:pos="50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Form of Lease Agreement by and between the Company and CCA (previously filed as Exhibit 10.2 to the Company's Current Report on Form 8-K (Commission File no.</w:t>
      </w:r>
    </w:p>
    <w:p>
      <w:pPr>
        <w:spacing w:after="0" w:line="1" w:lineRule="exact"/>
        <w:rPr>
          <w:sz w:val="20"/>
          <w:szCs w:val="20"/>
          <w:color w:val="auto"/>
        </w:rPr>
      </w:pPr>
    </w:p>
    <w:p>
      <w:pPr>
        <w:ind w:left="520" w:right="2519"/>
        <w:spacing w:after="0" w:line="327" w:lineRule="auto"/>
        <w:rPr>
          <w:sz w:val="20"/>
          <w:szCs w:val="20"/>
          <w:color w:val="auto"/>
        </w:rPr>
      </w:pPr>
      <w:r>
        <w:rPr>
          <w:rFonts w:ascii="Courier New" w:cs="Courier New" w:eastAsia="Courier New" w:hAnsi="Courier New"/>
          <w:sz w:val="14"/>
          <w:szCs w:val="14"/>
          <w:color w:val="auto"/>
        </w:rPr>
        <w:t>0-25245), filed with the Commission on January 6, 1999 and incorporated herein by reference).</w:t>
      </w:r>
    </w:p>
    <w:p>
      <w:pPr>
        <w:spacing w:after="0" w:line="31" w:lineRule="exact"/>
        <w:rPr>
          <w:sz w:val="20"/>
          <w:szCs w:val="20"/>
          <w:color w:val="auto"/>
        </w:rPr>
      </w:pPr>
    </w:p>
    <w:p>
      <w:pPr>
        <w:ind w:left="520" w:right="217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Right to Purchase Agreement, dated as of January 1, 1999, by and between the Company and CCA (previously filed as Exhibit 10.3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Service Mark and Trade Name Use Agreement, dated as of December 31, 1998, by and between Old CCA and CCA (previously filed as Exhibit 10.4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Service Mark and Trade Name Use Agreement, dated as of December 31, 1998, by and between CCA and Prison Management Services, LLC (previously filed as Exhibit 10.5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520" w:right="2179" w:hanging="762"/>
        <w:spacing w:after="0" w:line="259" w:lineRule="auto"/>
        <w:tabs>
          <w:tab w:leader="none" w:pos="50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Service Mark and Trade Name Use Agreement, dated as of December 31, 1998, by and between CCA and Juvenile and Jail Facility Management Services, LLC (previously filed as Exhibit 10.6 to the Company's Current Report on Form 8-K (Commission File no.</w:t>
      </w:r>
    </w:p>
    <w:p>
      <w:pPr>
        <w:spacing w:after="0" w:line="2" w:lineRule="exact"/>
        <w:rPr>
          <w:sz w:val="20"/>
          <w:szCs w:val="20"/>
          <w:color w:val="auto"/>
        </w:rPr>
      </w:pPr>
    </w:p>
    <w:p>
      <w:pPr>
        <w:ind w:left="520" w:right="2519"/>
        <w:spacing w:after="0" w:line="327" w:lineRule="auto"/>
        <w:rPr>
          <w:sz w:val="20"/>
          <w:szCs w:val="20"/>
          <w:color w:val="auto"/>
        </w:rPr>
      </w:pPr>
      <w:r>
        <w:rPr>
          <w:rFonts w:ascii="Courier New" w:cs="Courier New" w:eastAsia="Courier New" w:hAnsi="Courier New"/>
          <w:sz w:val="14"/>
          <w:szCs w:val="14"/>
          <w:color w:val="auto"/>
        </w:rPr>
        <w:t>0-25245), filed with the Commission on January 6, 1999 and incorporated herein by reference).</w:t>
      </w:r>
    </w:p>
    <w:p>
      <w:pPr>
        <w:spacing w:after="0" w:line="31"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Promissory Note, dated as of December 31, 1998, executed by CCA made payable to Old CCA in the principal amount of $137.0 million (previously filed as Exhibit 10.7 to the Company's Current Report on Form 8-K (Commission File no. 0-25245), filed with the Commission on January 6, 1999 and incorporated herein by reference).</w:t>
      </w:r>
    </w:p>
    <w:p>
      <w:pPr>
        <w:sectPr>
          <w:pgSz w:w="11900" w:h="16838" w:orient="portrait"/>
          <w:cols w:equalWidth="0" w:num="1">
            <w:col w:w="9899"/>
          </w:cols>
          <w:pgMar w:left="560" w:top="257"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113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80" w:right="2099" w:hanging="762"/>
        <w:spacing w:after="0" w:line="286" w:lineRule="auto"/>
        <w:tabs>
          <w:tab w:leader="none" w:pos="76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Guaranty Agreement, dated as of December 31, 1998, executed and delivered by Doctor R. Crants to Old CCA (previously filed as Exhibit 10.8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780" w:right="2179" w:hanging="762"/>
        <w:spacing w:after="0" w:line="286" w:lineRule="auto"/>
        <w:tabs>
          <w:tab w:leader="none" w:pos="76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Assignment Agreement, dated as of December 31, 1998, by and between Old CCA and Corrections Partners, Inc. and related Bill of Sale (previously filed as Exhibit 10.9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780" w:right="2099" w:hanging="762"/>
        <w:spacing w:after="0" w:line="276" w:lineRule="auto"/>
        <w:tabs>
          <w:tab w:leader="none" w:pos="76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Assignment Agreement, dated as of December 31, 1998, by and among Corrections Partners, Inc., Concept Incorporated, TransCor America, Inc., certain other subsidiaries of Old CCA, and CCA and related Bill of Sale (previously filed as Exhibit 10.10 to the Company's Current Report on Form 8-K (Commission File no. 0-25245), filed with the Commission on January 6, 1999 and incorporated herein by reference).</w:t>
      </w:r>
    </w:p>
    <w:p>
      <w:pPr>
        <w:spacing w:after="0" w:line="67" w:lineRule="exact"/>
        <w:rPr>
          <w:sz w:val="20"/>
          <w:szCs w:val="20"/>
          <w:color w:val="auto"/>
        </w:rPr>
      </w:pPr>
    </w:p>
    <w:p>
      <w:pPr>
        <w:ind w:left="780" w:right="2179" w:hanging="762"/>
        <w:spacing w:after="0" w:line="286" w:lineRule="auto"/>
        <w:tabs>
          <w:tab w:leader="none" w:pos="76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Contribution Agreement, dated as of December 31, 1998, by and between Old CCA and CCA (previously filed as Exhibit 10.11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780" w:right="2099" w:hanging="762"/>
        <w:spacing w:after="0" w:line="286" w:lineRule="auto"/>
        <w:tabs>
          <w:tab w:leader="none" w:pos="76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Contribution Agreement, dated as of December 31, 1998, by and between Old CCA and Prison Management Services, LLC (previously filed as Exhibit 10.12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780" w:right="2099" w:hanging="762"/>
        <w:spacing w:after="0" w:line="286" w:lineRule="auto"/>
        <w:tabs>
          <w:tab w:leader="none" w:pos="76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Contribution Agreement, dated as of December 31, 1998, by and between Old CCA and Juvenile and Jail Facility Management Services, LLC (previously filed as Exhibit 10.13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780" w:right="2099" w:hanging="762"/>
        <w:spacing w:after="0" w:line="276" w:lineRule="auto"/>
        <w:tabs>
          <w:tab w:leader="none" w:pos="76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Assignment and Assumption Agreement, dated as of December 31, 1998, by and among Old CCA, Corrections Partners, Inc., Gadsden Correctional Institution, Inc., and Prison Management Services, LLC (previously filed as Exhibit 10.14 to the Company's Current Report on Form 8-K (Commission File no. 0-25245), filed with the Commission on January 6, 1999 and incorporated herein by reference).</w:t>
      </w:r>
    </w:p>
    <w:p>
      <w:pPr>
        <w:spacing w:after="0" w:line="67" w:lineRule="exact"/>
        <w:rPr>
          <w:sz w:val="20"/>
          <w:szCs w:val="20"/>
          <w:color w:val="auto"/>
        </w:rPr>
      </w:pPr>
    </w:p>
    <w:p>
      <w:pPr>
        <w:ind w:left="780" w:right="2099" w:hanging="762"/>
        <w:spacing w:after="0" w:line="276" w:lineRule="auto"/>
        <w:tabs>
          <w:tab w:leader="none" w:pos="76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Assignment and Assumption Agreement, dated as of December 31, 1998, by and among Old CCA, Concept Incorporated, Corrections Partners, Inc. and Juvenile and Jail Facility Management Services, LLC (previously filed as Exhibit 10.15 to the Company's Current Report on Form 8-K (Commission File no. 0-25245), filed with the Commission on January 6, 1999 and incorporated herein by reference).</w:t>
      </w:r>
    </w:p>
    <w:p>
      <w:pPr>
        <w:spacing w:after="0" w:line="67" w:lineRule="exact"/>
        <w:rPr>
          <w:sz w:val="20"/>
          <w:szCs w:val="20"/>
          <w:color w:val="auto"/>
        </w:rPr>
      </w:pPr>
    </w:p>
    <w:p>
      <w:pPr>
        <w:ind w:left="780" w:right="2359" w:hanging="762"/>
        <w:spacing w:after="0" w:line="286" w:lineRule="auto"/>
        <w:tabs>
          <w:tab w:leader="none" w:pos="76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Services Agreement, dated as of January 1, 1999, by and between the Company and CCA (previously filed as Exhibit 10.16 to the Company's Current Report on Form 8-K (Commission File no. 0-25245), filed with the Commission on January 6, 1999 and incorporated herein by reference).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10.19</w:t>
            </w:r>
          </w:p>
        </w:tc>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Tenant Incentive Agreement, dated as</w:t>
            </w: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January 1, 1999, by</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and between the Company</w:t>
            </w:r>
          </w:p>
        </w:tc>
      </w:tr>
      <w:tr>
        <w:trPr>
          <w:trHeight w:val="163"/>
        </w:trPr>
        <w:tc>
          <w:tcPr>
            <w:tcW w:w="600" w:type="dxa"/>
            <w:vAlign w:val="bottom"/>
          </w:tcPr>
          <w:p>
            <w:pPr>
              <w:spacing w:after="0"/>
              <w:rPr>
                <w:sz w:val="14"/>
                <w:szCs w:val="14"/>
                <w:color w:val="auto"/>
              </w:rPr>
            </w:pPr>
          </w:p>
        </w:tc>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and CCA (previously filed as Exhibit</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10.17 to</w:t>
            </w:r>
          </w:p>
        </w:tc>
        <w:tc>
          <w:tcPr>
            <w:tcW w:w="1200" w:type="dxa"/>
            <w:vAlign w:val="bottom"/>
          </w:tcPr>
          <w:p>
            <w:pPr>
              <w:ind w:left="60"/>
              <w:spacing w:after="0"/>
              <w:rPr>
                <w:sz w:val="20"/>
                <w:szCs w:val="20"/>
                <w:color w:val="auto"/>
              </w:rPr>
            </w:pPr>
            <w:r>
              <w:rPr>
                <w:rFonts w:ascii="Courier New" w:cs="Courier New" w:eastAsia="Courier New" w:hAnsi="Courier New"/>
                <w:sz w:val="14"/>
                <w:szCs w:val="14"/>
                <w:color w:val="auto"/>
              </w:rPr>
              <w:t>the Company's</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w w:val="99"/>
              </w:rPr>
              <w:t>Current Report on Form 8-K</w:t>
            </w:r>
          </w:p>
        </w:tc>
      </w:tr>
      <w:tr>
        <w:trPr>
          <w:trHeight w:val="163"/>
        </w:trPr>
        <w:tc>
          <w:tcPr>
            <w:tcW w:w="600" w:type="dxa"/>
            <w:vAlign w:val="bottom"/>
          </w:tcPr>
          <w:p>
            <w:pPr>
              <w:spacing w:after="0"/>
              <w:rPr>
                <w:sz w:val="14"/>
                <w:szCs w:val="14"/>
                <w:color w:val="auto"/>
              </w:rPr>
            </w:pPr>
          </w:p>
        </w:tc>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(Commission File no. 0-25245), filed</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with the</w:t>
            </w:r>
          </w:p>
        </w:tc>
        <w:tc>
          <w:tcPr>
            <w:tcW w:w="34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Commission on January 6, 1999 and</w:t>
            </w:r>
          </w:p>
        </w:tc>
      </w:tr>
      <w:tr>
        <w:trPr>
          <w:trHeight w:val="238"/>
        </w:trPr>
        <w:tc>
          <w:tcPr>
            <w:tcW w:w="600" w:type="dxa"/>
            <w:vAlign w:val="bottom"/>
          </w:tcPr>
          <w:p>
            <w:pPr>
              <w:spacing w:after="0"/>
              <w:rPr>
                <w:sz w:val="20"/>
                <w:szCs w:val="20"/>
                <w:color w:val="auto"/>
              </w:rPr>
            </w:pPr>
          </w:p>
        </w:tc>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incorporated herein by reference).</w:t>
            </w: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88" w:lineRule="exact"/>
        <w:rPr>
          <w:sz w:val="20"/>
          <w:szCs w:val="20"/>
          <w:color w:val="auto"/>
        </w:rPr>
      </w:pPr>
    </w:p>
    <w:p>
      <w:pPr>
        <w:ind w:left="780" w:right="2359" w:hanging="762"/>
        <w:spacing w:after="0" w:line="270" w:lineRule="auto"/>
        <w:tabs>
          <w:tab w:leader="none" w:pos="76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Note Purchase Agreement, dated as of January 1, 1999, by and between CCA and PMI Mezzanine Fund, L.P., including, as Exhibit R-1 thereto, Registration Rights Agreement, dated as of January 1, 1999, by and between CCA and PMI Mezzanine Fund, L.P. (previously filed as Exhibit 10.22 to the Company's Current Report on Form 8-K (Commission File no. 0-25245), filed with the Commission on January 6, 1999 and incorporated herein by reference).</w:t>
      </w:r>
    </w:p>
    <w:p>
      <w:pPr>
        <w:sectPr>
          <w:pgSz w:w="11900" w:h="16838" w:orient="portrait"/>
          <w:cols w:equalWidth="0" w:num="1">
            <w:col w:w="10159"/>
          </w:cols>
          <w:pgMar w:left="300" w:top="256"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4"/>
          <w:szCs w:val="14"/>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Agreement in Principle by and among Sodexho, Old CCA and Old Prison Realty (previously filed as Exhibit 10.13 to the Company's Registration Statement on Form S-4 (Commission File no. 333-65017), filed with the Commission on September 30, 1998 and incorporated herein by reference).</w:t>
      </w:r>
    </w:p>
    <w:p>
      <w:pPr>
        <w:spacing w:after="0" w:line="59" w:lineRule="exact"/>
        <w:rPr>
          <w:sz w:val="20"/>
          <w:szCs w:val="20"/>
          <w:color w:val="auto"/>
        </w:rPr>
      </w:pPr>
    </w:p>
    <w:p>
      <w:pPr>
        <w:ind w:left="520" w:right="217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1998 Amendment to 1994 Securities Purchase Agreement by and between Old CCA and Sodexho S.A., dated as of December 30, 1998 (previously filed as Exhibit 10.86 to the Company's Annual Report on Form 10-K (Commission File no. 0-25245), filed with the Commission on March 30, 1999 and incorporated herein by reference).</w:t>
      </w:r>
    </w:p>
    <w:p>
      <w:pPr>
        <w:spacing w:after="0" w:line="59" w:lineRule="exact"/>
        <w:rPr>
          <w:sz w:val="20"/>
          <w:szCs w:val="20"/>
          <w:color w:val="auto"/>
        </w:rPr>
      </w:pPr>
    </w:p>
    <w:p>
      <w:pPr>
        <w:ind w:left="520" w:right="2099" w:hanging="762"/>
        <w:spacing w:after="0" w:line="256" w:lineRule="auto"/>
        <w:tabs>
          <w:tab w:leader="none" w:pos="50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Agreement in Principle, dated as of October 15, 1998, by and between Baron Asset Fund, and all series thereof, on behalf of itself and one or more mutual funds managed by it, or its affiliates, Old CCA, Old Prison Realty and CCA (previously filed as Exhibit 10.14 to the Company's Registration Statement on Form S-4 (Commission File no.</w:t>
      </w:r>
    </w:p>
    <w:p>
      <w:pPr>
        <w:spacing w:after="0" w:line="2" w:lineRule="exact"/>
        <w:rPr>
          <w:sz w:val="20"/>
          <w:szCs w:val="20"/>
          <w:color w:val="auto"/>
        </w:rPr>
      </w:pPr>
    </w:p>
    <w:p>
      <w:pPr>
        <w:ind w:left="520" w:right="2699"/>
        <w:spacing w:after="0" w:line="327" w:lineRule="auto"/>
        <w:rPr>
          <w:sz w:val="20"/>
          <w:szCs w:val="20"/>
          <w:color w:val="auto"/>
        </w:rPr>
      </w:pPr>
      <w:r>
        <w:rPr>
          <w:rFonts w:ascii="Courier New" w:cs="Courier New" w:eastAsia="Courier New" w:hAnsi="Courier New"/>
          <w:sz w:val="14"/>
          <w:szCs w:val="14"/>
          <w:color w:val="auto"/>
        </w:rPr>
        <w:t>333-65017) Amendment no. 4, filed with the Commission on September 30, 1998 and incorporated herein by reference).</w:t>
      </w:r>
    </w:p>
    <w:p>
      <w:pPr>
        <w:spacing w:after="0" w:line="31"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10.24</w:t>
      </w:r>
      <w:r>
        <w:rPr>
          <w:sz w:val="20"/>
          <w:szCs w:val="20"/>
          <w:color w:val="auto"/>
        </w:rPr>
        <w:tab/>
      </w:r>
      <w:r>
        <w:rPr>
          <w:rFonts w:ascii="Courier New" w:cs="Courier New" w:eastAsia="Courier New" w:hAnsi="Courier New"/>
          <w:sz w:val="14"/>
          <w:szCs w:val="14"/>
          <w:color w:val="auto"/>
        </w:rPr>
        <w:t>Administrative Services Agreement, dated as of January 1, 1999, by and between CCA and PMSI (previously filed as Exhibit 10.26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10.25</w:t>
      </w:r>
      <w:r>
        <w:rPr>
          <w:sz w:val="20"/>
          <w:szCs w:val="20"/>
          <w:color w:val="auto"/>
        </w:rPr>
        <w:tab/>
      </w:r>
      <w:r>
        <w:rPr>
          <w:rFonts w:ascii="Courier New" w:cs="Courier New" w:eastAsia="Courier New" w:hAnsi="Courier New"/>
          <w:sz w:val="14"/>
          <w:szCs w:val="14"/>
          <w:color w:val="auto"/>
        </w:rPr>
        <w:t>Administrative Services Agreement, dated as of January 1, 1999, by and between CCA and JJFMSI (previously filed as Exhibit 10.27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10.26</w:t>
      </w:r>
      <w:r>
        <w:rPr>
          <w:sz w:val="20"/>
          <w:szCs w:val="20"/>
          <w:color w:val="auto"/>
        </w:rPr>
        <w:tab/>
      </w:r>
      <w:r>
        <w:rPr>
          <w:rFonts w:ascii="Courier New" w:cs="Courier New" w:eastAsia="Courier New" w:hAnsi="Courier New"/>
          <w:sz w:val="14"/>
          <w:szCs w:val="14"/>
          <w:color w:val="auto"/>
        </w:rPr>
        <w:t>Employment Agreement, dated as of January 1, 1999, by and between Doctor R. Crants and the Company (previously filed as Exhibit 10.28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10.27</w:t>
      </w:r>
      <w:r>
        <w:rPr>
          <w:sz w:val="20"/>
          <w:szCs w:val="20"/>
          <w:color w:val="auto"/>
        </w:rPr>
        <w:tab/>
      </w:r>
      <w:r>
        <w:rPr>
          <w:rFonts w:ascii="Courier New" w:cs="Courier New" w:eastAsia="Courier New" w:hAnsi="Courier New"/>
          <w:sz w:val="14"/>
          <w:szCs w:val="14"/>
          <w:color w:val="auto"/>
        </w:rPr>
        <w:t>Employment Agreement, dated as of January 1, 1999, by and between Doctor R. Crants and CCA (previously filed as Exhibit 10.29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520" w:right="2439" w:hanging="762"/>
        <w:spacing w:after="0" w:line="266" w:lineRule="auto"/>
        <w:tabs>
          <w:tab w:leader="none" w:pos="500" w:val="left"/>
        </w:tabs>
        <w:rPr>
          <w:sz w:val="20"/>
          <w:szCs w:val="20"/>
          <w:color w:val="auto"/>
        </w:rPr>
      </w:pPr>
      <w:r>
        <w:rPr>
          <w:rFonts w:ascii="Courier New" w:cs="Courier New" w:eastAsia="Courier New" w:hAnsi="Courier New"/>
          <w:sz w:val="14"/>
          <w:szCs w:val="14"/>
          <w:color w:val="auto"/>
        </w:rPr>
        <w:t>10.28</w:t>
      </w:r>
      <w:r>
        <w:rPr>
          <w:sz w:val="20"/>
          <w:szCs w:val="20"/>
          <w:color w:val="auto"/>
        </w:rPr>
        <w:tab/>
      </w:r>
      <w:r>
        <w:rPr>
          <w:rFonts w:ascii="Courier New" w:cs="Courier New" w:eastAsia="Courier New" w:hAnsi="Courier New"/>
          <w:sz w:val="14"/>
          <w:szCs w:val="14"/>
          <w:color w:val="auto"/>
        </w:rPr>
        <w:t>Employment Agreement by and between D. Robert Crants, III and Old Prison Realty (previously filed as Exhibit 10.23 to Old Prison Realty's Quarterly Report on Form</w:t>
      </w:r>
    </w:p>
    <w:p>
      <w:pPr>
        <w:spacing w:after="0" w:line="1" w:lineRule="exact"/>
        <w:rPr>
          <w:sz w:val="20"/>
          <w:szCs w:val="20"/>
          <w:color w:val="auto"/>
        </w:rPr>
      </w:pPr>
    </w:p>
    <w:p>
      <w:pPr>
        <w:ind w:left="520" w:right="2259"/>
        <w:spacing w:after="0" w:line="327" w:lineRule="auto"/>
        <w:rPr>
          <w:sz w:val="20"/>
          <w:szCs w:val="20"/>
          <w:color w:val="auto"/>
        </w:rPr>
      </w:pPr>
      <w:r>
        <w:rPr>
          <w:rFonts w:ascii="Courier New" w:cs="Courier New" w:eastAsia="Courier New" w:hAnsi="Courier New"/>
          <w:sz w:val="14"/>
          <w:szCs w:val="14"/>
          <w:color w:val="auto"/>
        </w:rPr>
        <w:t>10-Q (Commission File no. 1-13049), filed with the Commission on August 25, 1997 and incorporated herein by reference).</w:t>
      </w:r>
    </w:p>
    <w:p>
      <w:pPr>
        <w:spacing w:after="0" w:line="31" w:lineRule="exact"/>
        <w:rPr>
          <w:sz w:val="20"/>
          <w:szCs w:val="20"/>
          <w:color w:val="auto"/>
        </w:rPr>
      </w:pPr>
    </w:p>
    <w:p>
      <w:pPr>
        <w:ind w:left="520" w:right="2439" w:hanging="762"/>
        <w:spacing w:after="0" w:line="266" w:lineRule="auto"/>
        <w:tabs>
          <w:tab w:leader="none" w:pos="500" w:val="left"/>
        </w:tabs>
        <w:rPr>
          <w:sz w:val="20"/>
          <w:szCs w:val="20"/>
          <w:color w:val="auto"/>
        </w:rPr>
      </w:pPr>
      <w:r>
        <w:rPr>
          <w:rFonts w:ascii="Courier New" w:cs="Courier New" w:eastAsia="Courier New" w:hAnsi="Courier New"/>
          <w:sz w:val="14"/>
          <w:szCs w:val="14"/>
          <w:color w:val="auto"/>
        </w:rPr>
        <w:t>10.29</w:t>
      </w:r>
      <w:r>
        <w:rPr>
          <w:sz w:val="20"/>
          <w:szCs w:val="20"/>
          <w:color w:val="auto"/>
        </w:rPr>
        <w:tab/>
      </w:r>
      <w:r>
        <w:rPr>
          <w:rFonts w:ascii="Courier New" w:cs="Courier New" w:eastAsia="Courier New" w:hAnsi="Courier New"/>
          <w:sz w:val="14"/>
          <w:szCs w:val="14"/>
          <w:color w:val="auto"/>
        </w:rPr>
        <w:t>Employment Agreement by and between Michael W. Devlin and Old Prison Realty (previously filed as Exhibit 10.24 to Old Prison Realty's Quarterly Report on Form</w:t>
      </w:r>
    </w:p>
    <w:p>
      <w:pPr>
        <w:spacing w:after="0" w:line="1" w:lineRule="exact"/>
        <w:rPr>
          <w:sz w:val="20"/>
          <w:szCs w:val="20"/>
          <w:color w:val="auto"/>
        </w:rPr>
      </w:pPr>
    </w:p>
    <w:p>
      <w:pPr>
        <w:ind w:left="520" w:right="2259"/>
        <w:spacing w:after="0" w:line="327" w:lineRule="auto"/>
        <w:rPr>
          <w:sz w:val="20"/>
          <w:szCs w:val="20"/>
          <w:color w:val="auto"/>
        </w:rPr>
      </w:pPr>
      <w:r>
        <w:rPr>
          <w:rFonts w:ascii="Courier New" w:cs="Courier New" w:eastAsia="Courier New" w:hAnsi="Courier New"/>
          <w:sz w:val="14"/>
          <w:szCs w:val="14"/>
          <w:color w:val="auto"/>
        </w:rPr>
        <w:t>10-Q (Commission File no. 1-13049), filed with the Commission on August 25, 1997 and incorporated herein by reference).</w:t>
      </w:r>
    </w:p>
    <w:p>
      <w:pPr>
        <w:spacing w:after="0" w:line="31" w:lineRule="exact"/>
        <w:rPr>
          <w:sz w:val="20"/>
          <w:szCs w:val="20"/>
          <w:color w:val="auto"/>
        </w:rPr>
      </w:pPr>
    </w:p>
    <w:p>
      <w:pPr>
        <w:ind w:left="520" w:right="217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10.30</w:t>
      </w:r>
      <w:r>
        <w:rPr>
          <w:sz w:val="20"/>
          <w:szCs w:val="20"/>
          <w:color w:val="auto"/>
        </w:rPr>
        <w:tab/>
      </w:r>
      <w:r>
        <w:rPr>
          <w:rFonts w:ascii="Courier New" w:cs="Courier New" w:eastAsia="Courier New" w:hAnsi="Courier New"/>
          <w:sz w:val="14"/>
          <w:szCs w:val="14"/>
          <w:color w:val="auto"/>
        </w:rPr>
        <w:t>Form of Officer and Director Indemnification Agreement by and between the Company and its officers and directors (previously filed as Exhibit 10.48 to the Company's Registration Statement on Form S-4 (Commission File no. 333-65017), filed with the Commission on September 30, 1998 and incorporated herein by reference).</w:t>
      </w:r>
    </w:p>
    <w:p>
      <w:pPr>
        <w:spacing w:after="0" w:line="59" w:lineRule="exact"/>
        <w:rPr>
          <w:sz w:val="20"/>
          <w:szCs w:val="20"/>
          <w:color w:val="auto"/>
        </w:rPr>
      </w:pPr>
    </w:p>
    <w:p>
      <w:pPr>
        <w:ind w:left="520" w:right="217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10.31</w:t>
      </w:r>
      <w:r>
        <w:rPr>
          <w:sz w:val="20"/>
          <w:szCs w:val="20"/>
          <w:color w:val="auto"/>
        </w:rPr>
        <w:tab/>
      </w:r>
      <w:r>
        <w:rPr>
          <w:rFonts w:ascii="Courier New" w:cs="Courier New" w:eastAsia="Courier New" w:hAnsi="Courier New"/>
          <w:sz w:val="14"/>
          <w:szCs w:val="14"/>
          <w:color w:val="auto"/>
        </w:rPr>
        <w:t>Form of Lockup Agreement by and between the Company and officers and directors of the Company, CCA, PMSI and JJFMSI (previously filed as Exhibit 10.49 to the Company's Registration Statement on Form S-4 (Commission File no. 333-65017), filed with the Commission on September 30, 1998 and incorporated herein by reference).</w:t>
      </w:r>
    </w:p>
    <w:p>
      <w:pPr>
        <w:spacing w:after="0" w:line="59" w:lineRule="exact"/>
        <w:rPr>
          <w:sz w:val="20"/>
          <w:szCs w:val="20"/>
          <w:color w:val="auto"/>
        </w:rPr>
      </w:pPr>
    </w:p>
    <w:p>
      <w:pPr>
        <w:ind w:left="520" w:right="2359" w:hanging="762"/>
        <w:spacing w:after="0" w:line="306" w:lineRule="auto"/>
        <w:tabs>
          <w:tab w:leader="none" w:pos="500" w:val="left"/>
        </w:tabs>
        <w:rPr>
          <w:sz w:val="20"/>
          <w:szCs w:val="20"/>
          <w:color w:val="auto"/>
        </w:rPr>
      </w:pPr>
      <w:r>
        <w:rPr>
          <w:rFonts w:ascii="Courier New" w:cs="Courier New" w:eastAsia="Courier New" w:hAnsi="Courier New"/>
          <w:sz w:val="14"/>
          <w:szCs w:val="14"/>
          <w:color w:val="auto"/>
        </w:rPr>
        <w:t>10.32</w:t>
      </w:r>
      <w:r>
        <w:rPr>
          <w:sz w:val="20"/>
          <w:szCs w:val="20"/>
          <w:color w:val="auto"/>
        </w:rPr>
        <w:tab/>
      </w:r>
      <w:r>
        <w:rPr>
          <w:rFonts w:ascii="Courier New" w:cs="Courier New" w:eastAsia="Courier New" w:hAnsi="Courier New"/>
          <w:sz w:val="14"/>
          <w:szCs w:val="14"/>
          <w:color w:val="auto"/>
        </w:rPr>
        <w:t>Amended and Restated Charter of CCA (previously filed as Exhibit 10.50 to the Company's Registration Statement on Form S-4 (Commission File no. 333-65017), filed with the Commission on September 30, 1998 and incorporated herein by reference).</w:t>
      </w:r>
    </w:p>
    <w:p>
      <w:pPr>
        <w:sectPr>
          <w:pgSz w:w="11900" w:h="16838" w:orient="portrait"/>
          <w:cols w:equalWidth="0" w:num="1">
            <w:col w:w="9899"/>
          </w:cols>
          <w:pgMar w:left="560" w:top="257"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80" w:right="2359" w:hanging="762"/>
        <w:spacing w:after="0" w:line="306" w:lineRule="auto"/>
        <w:tabs>
          <w:tab w:leader="none" w:pos="760" w:val="left"/>
        </w:tabs>
        <w:rPr>
          <w:sz w:val="20"/>
          <w:szCs w:val="20"/>
          <w:color w:val="auto"/>
        </w:rPr>
      </w:pPr>
      <w:r>
        <w:rPr>
          <w:rFonts w:ascii="Courier New" w:cs="Courier New" w:eastAsia="Courier New" w:hAnsi="Courier New"/>
          <w:sz w:val="14"/>
          <w:szCs w:val="14"/>
          <w:color w:val="auto"/>
        </w:rPr>
        <w:t>10.33</w:t>
      </w:r>
      <w:r>
        <w:rPr>
          <w:sz w:val="20"/>
          <w:szCs w:val="20"/>
          <w:color w:val="auto"/>
        </w:rPr>
        <w:tab/>
      </w:r>
      <w:r>
        <w:rPr>
          <w:rFonts w:ascii="Courier New" w:cs="Courier New" w:eastAsia="Courier New" w:hAnsi="Courier New"/>
          <w:sz w:val="14"/>
          <w:szCs w:val="14"/>
          <w:color w:val="auto"/>
        </w:rPr>
        <w:t>Bylaws of CCA (previously filed as Exhibit 10.51 to the Company's Registration Statement on Form S-4 (Commission File no. 333-65017), filed with the Commission on September 30, 1998 and incorporated herein by reference).</w:t>
      </w:r>
    </w:p>
    <w:p>
      <w:pPr>
        <w:spacing w:after="0" w:line="46" w:lineRule="exact"/>
        <w:rPr>
          <w:sz w:val="20"/>
          <w:szCs w:val="20"/>
          <w:color w:val="auto"/>
        </w:rPr>
      </w:pPr>
    </w:p>
    <w:p>
      <w:pPr>
        <w:ind w:left="780" w:right="2439" w:hanging="762"/>
        <w:spacing w:after="0" w:line="306" w:lineRule="auto"/>
        <w:tabs>
          <w:tab w:leader="none" w:pos="760" w:val="left"/>
        </w:tabs>
        <w:rPr>
          <w:sz w:val="20"/>
          <w:szCs w:val="20"/>
          <w:color w:val="auto"/>
        </w:rPr>
      </w:pPr>
      <w:r>
        <w:rPr>
          <w:rFonts w:ascii="Courier New" w:cs="Courier New" w:eastAsia="Courier New" w:hAnsi="Courier New"/>
          <w:sz w:val="14"/>
          <w:szCs w:val="14"/>
          <w:color w:val="auto"/>
        </w:rPr>
        <w:t>10.34</w:t>
      </w:r>
      <w:r>
        <w:rPr>
          <w:sz w:val="20"/>
          <w:szCs w:val="20"/>
          <w:color w:val="auto"/>
        </w:rPr>
        <w:tab/>
      </w:r>
      <w:r>
        <w:rPr>
          <w:rFonts w:ascii="Courier New" w:cs="Courier New" w:eastAsia="Courier New" w:hAnsi="Courier New"/>
          <w:sz w:val="14"/>
          <w:szCs w:val="14"/>
          <w:color w:val="auto"/>
        </w:rPr>
        <w:t>Amended and Restated Charter of PMSI (previously filed as Exhibit 10.31 to the Company's Current Report on Form 8-K (Commission File no. 0-25245), filed with the Commission on January 6, 1999 and incorporated herein by reference).</w:t>
      </w:r>
    </w:p>
    <w:p>
      <w:pPr>
        <w:spacing w:after="0" w:line="46" w:lineRule="exact"/>
        <w:rPr>
          <w:sz w:val="20"/>
          <w:szCs w:val="20"/>
          <w:color w:val="auto"/>
        </w:rPr>
      </w:pPr>
    </w:p>
    <w:p>
      <w:pPr>
        <w:ind w:left="780" w:right="2359" w:hanging="762"/>
        <w:spacing w:after="0" w:line="306" w:lineRule="auto"/>
        <w:tabs>
          <w:tab w:leader="none" w:pos="760" w:val="left"/>
        </w:tabs>
        <w:rPr>
          <w:sz w:val="20"/>
          <w:szCs w:val="20"/>
          <w:color w:val="auto"/>
        </w:rPr>
      </w:pPr>
      <w:r>
        <w:rPr>
          <w:rFonts w:ascii="Courier New" w:cs="Courier New" w:eastAsia="Courier New" w:hAnsi="Courier New"/>
          <w:sz w:val="14"/>
          <w:szCs w:val="14"/>
          <w:color w:val="auto"/>
        </w:rPr>
        <w:t>10.35</w:t>
      </w:r>
      <w:r>
        <w:rPr>
          <w:sz w:val="20"/>
          <w:szCs w:val="20"/>
          <w:color w:val="auto"/>
        </w:rPr>
        <w:tab/>
      </w:r>
      <w:r>
        <w:rPr>
          <w:rFonts w:ascii="Courier New" w:cs="Courier New" w:eastAsia="Courier New" w:hAnsi="Courier New"/>
          <w:sz w:val="14"/>
          <w:szCs w:val="14"/>
          <w:color w:val="auto"/>
        </w:rPr>
        <w:t>Bylaws of PMSI (previously filed as Exhibit 10.53 to the Company's Registration Statement on Form S-4 (Commission File no. 333-65017), filed with the Commission on September 30, 1998 and incorporated herein by reference).</w:t>
      </w:r>
    </w:p>
    <w:p>
      <w:pPr>
        <w:spacing w:after="0" w:line="46" w:lineRule="exact"/>
        <w:rPr>
          <w:sz w:val="20"/>
          <w:szCs w:val="20"/>
          <w:color w:val="auto"/>
        </w:rPr>
      </w:pPr>
    </w:p>
    <w:p>
      <w:pPr>
        <w:ind w:left="780" w:right="2439" w:hanging="762"/>
        <w:spacing w:after="0" w:line="306" w:lineRule="auto"/>
        <w:tabs>
          <w:tab w:leader="none" w:pos="760" w:val="left"/>
        </w:tabs>
        <w:rPr>
          <w:sz w:val="20"/>
          <w:szCs w:val="20"/>
          <w:color w:val="auto"/>
        </w:rPr>
      </w:pPr>
      <w:r>
        <w:rPr>
          <w:rFonts w:ascii="Courier New" w:cs="Courier New" w:eastAsia="Courier New" w:hAnsi="Courier New"/>
          <w:sz w:val="14"/>
          <w:szCs w:val="14"/>
          <w:color w:val="auto"/>
        </w:rPr>
        <w:t>10.36</w:t>
      </w:r>
      <w:r>
        <w:rPr>
          <w:sz w:val="20"/>
          <w:szCs w:val="20"/>
          <w:color w:val="auto"/>
        </w:rPr>
        <w:tab/>
      </w:r>
      <w:r>
        <w:rPr>
          <w:rFonts w:ascii="Courier New" w:cs="Courier New" w:eastAsia="Courier New" w:hAnsi="Courier New"/>
          <w:sz w:val="14"/>
          <w:szCs w:val="14"/>
          <w:color w:val="auto"/>
        </w:rPr>
        <w:t>Amended and Restated Charter of JJFMSI (previously filed as Exhibit 10.32 to the Company's Current Report on Form 8-K (Commission File no. 0-25245), filed with the Commission on January 6, 1999 and incorporated herein by reference).</w:t>
      </w:r>
    </w:p>
    <w:p>
      <w:pPr>
        <w:spacing w:after="0" w:line="46" w:lineRule="exact"/>
        <w:rPr>
          <w:sz w:val="20"/>
          <w:szCs w:val="20"/>
          <w:color w:val="auto"/>
        </w:rPr>
      </w:pPr>
    </w:p>
    <w:p>
      <w:pPr>
        <w:ind w:left="780" w:right="2359" w:hanging="762"/>
        <w:spacing w:after="0" w:line="306" w:lineRule="auto"/>
        <w:tabs>
          <w:tab w:leader="none" w:pos="760" w:val="left"/>
        </w:tabs>
        <w:rPr>
          <w:sz w:val="20"/>
          <w:szCs w:val="20"/>
          <w:color w:val="auto"/>
        </w:rPr>
      </w:pPr>
      <w:r>
        <w:rPr>
          <w:rFonts w:ascii="Courier New" w:cs="Courier New" w:eastAsia="Courier New" w:hAnsi="Courier New"/>
          <w:sz w:val="14"/>
          <w:szCs w:val="14"/>
          <w:color w:val="auto"/>
        </w:rPr>
        <w:t>10.37</w:t>
      </w:r>
      <w:r>
        <w:rPr>
          <w:sz w:val="20"/>
          <w:szCs w:val="20"/>
          <w:color w:val="auto"/>
        </w:rPr>
        <w:tab/>
      </w:r>
      <w:r>
        <w:rPr>
          <w:rFonts w:ascii="Courier New" w:cs="Courier New" w:eastAsia="Courier New" w:hAnsi="Courier New"/>
          <w:sz w:val="14"/>
          <w:szCs w:val="14"/>
          <w:color w:val="auto"/>
        </w:rPr>
        <w:t>Bylaws of JJFMSI (previously filed as Exhibit 10.55 to the Company's Registration Statement on Form S-4 (Commission File no. 333-65017), filed with the Commission on September 30, 1998 and incorporated herein by reference).</w:t>
      </w:r>
    </w:p>
    <w:p>
      <w:pPr>
        <w:spacing w:after="0" w:line="46" w:lineRule="exact"/>
        <w:rPr>
          <w:sz w:val="20"/>
          <w:szCs w:val="20"/>
          <w:color w:val="auto"/>
        </w:rPr>
      </w:pPr>
    </w:p>
    <w:p>
      <w:pPr>
        <w:ind w:left="780" w:right="2099" w:hanging="762"/>
        <w:spacing w:after="0" w:line="270" w:lineRule="auto"/>
        <w:tabs>
          <w:tab w:leader="none" w:pos="760" w:val="left"/>
        </w:tabs>
        <w:rPr>
          <w:sz w:val="20"/>
          <w:szCs w:val="20"/>
          <w:color w:val="auto"/>
        </w:rPr>
      </w:pPr>
      <w:r>
        <w:rPr>
          <w:rFonts w:ascii="Courier New" w:cs="Courier New" w:eastAsia="Courier New" w:hAnsi="Courier New"/>
          <w:sz w:val="14"/>
          <w:szCs w:val="14"/>
          <w:color w:val="auto"/>
        </w:rPr>
        <w:t>10.38</w:t>
      </w:r>
      <w:r>
        <w:rPr>
          <w:sz w:val="20"/>
          <w:szCs w:val="20"/>
          <w:color w:val="auto"/>
        </w:rPr>
        <w:tab/>
      </w:r>
      <w:r>
        <w:rPr>
          <w:rFonts w:ascii="Courier New" w:cs="Courier New" w:eastAsia="Courier New" w:hAnsi="Courier New"/>
          <w:sz w:val="14"/>
          <w:szCs w:val="14"/>
          <w:color w:val="auto"/>
        </w:rPr>
        <w:t>Credit Agreement, dated as of January 1, 1999, by and among the Company and certain of its subsidiaries and NationsBank, N.A., as Administrative Agent, Lehman Commercial Paper, Inc., as Documentation Agent, and the Bank of Nova Scotia, as Syndication Agent (previously filed as Exhibit 10.33 to the Company's Current Report on Form 8-K (Commission File no. 0-25245), filed with the Commission on January 6, 1999 and incorporated herein by reference).</w:t>
      </w:r>
    </w:p>
    <w:p>
      <w:pPr>
        <w:spacing w:after="0" w:line="71" w:lineRule="exact"/>
        <w:rPr>
          <w:sz w:val="20"/>
          <w:szCs w:val="20"/>
          <w:color w:val="auto"/>
        </w:rPr>
      </w:pPr>
    </w:p>
    <w:p>
      <w:pPr>
        <w:ind w:left="780" w:right="2099" w:hanging="762"/>
        <w:spacing w:after="0" w:line="286" w:lineRule="auto"/>
        <w:tabs>
          <w:tab w:leader="none" w:pos="760" w:val="left"/>
        </w:tabs>
        <w:rPr>
          <w:sz w:val="20"/>
          <w:szCs w:val="20"/>
          <w:color w:val="auto"/>
        </w:rPr>
      </w:pPr>
      <w:r>
        <w:rPr>
          <w:rFonts w:ascii="Courier New" w:cs="Courier New" w:eastAsia="Courier New" w:hAnsi="Courier New"/>
          <w:sz w:val="14"/>
          <w:szCs w:val="14"/>
          <w:color w:val="auto"/>
        </w:rPr>
        <w:t>10.39</w:t>
      </w:r>
      <w:r>
        <w:rPr>
          <w:sz w:val="20"/>
          <w:szCs w:val="20"/>
          <w:color w:val="auto"/>
        </w:rPr>
        <w:tab/>
      </w:r>
      <w:r>
        <w:rPr>
          <w:rFonts w:ascii="Courier New" w:cs="Courier New" w:eastAsia="Courier New" w:hAnsi="Courier New"/>
          <w:sz w:val="14"/>
          <w:szCs w:val="14"/>
          <w:color w:val="auto"/>
        </w:rPr>
        <w:t>Note Purchase Agreement, dated as of December 31, 1998, by and between the Company and MDP Ventures IV LLC (previously filed as Exhibit 10.36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780" w:right="2099" w:hanging="762"/>
        <w:spacing w:after="0" w:line="286" w:lineRule="auto"/>
        <w:tabs>
          <w:tab w:leader="none" w:pos="760" w:val="left"/>
        </w:tabs>
        <w:rPr>
          <w:sz w:val="20"/>
          <w:szCs w:val="20"/>
          <w:color w:val="auto"/>
        </w:rPr>
      </w:pPr>
      <w:r>
        <w:rPr>
          <w:rFonts w:ascii="Courier New" w:cs="Courier New" w:eastAsia="Courier New" w:hAnsi="Courier New"/>
          <w:sz w:val="14"/>
          <w:szCs w:val="14"/>
          <w:color w:val="auto"/>
        </w:rPr>
        <w:t>10.40</w:t>
      </w:r>
      <w:r>
        <w:rPr>
          <w:sz w:val="20"/>
          <w:szCs w:val="20"/>
          <w:color w:val="auto"/>
        </w:rPr>
        <w:tab/>
      </w:r>
      <w:r>
        <w:rPr>
          <w:rFonts w:ascii="Courier New" w:cs="Courier New" w:eastAsia="Courier New" w:hAnsi="Courier New"/>
          <w:sz w:val="14"/>
          <w:szCs w:val="14"/>
          <w:color w:val="auto"/>
        </w:rPr>
        <w:t>Registration Rights Agreement, dated as of December 31, 1998, by and between the Company and MDP Ventures IV LLC (previously filed as Exhibit 10.37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780" w:right="2099" w:hanging="762"/>
        <w:spacing w:after="0" w:line="286" w:lineRule="auto"/>
        <w:tabs>
          <w:tab w:leader="none" w:pos="760" w:val="left"/>
        </w:tabs>
        <w:rPr>
          <w:sz w:val="20"/>
          <w:szCs w:val="20"/>
          <w:color w:val="auto"/>
        </w:rPr>
      </w:pPr>
      <w:r>
        <w:rPr>
          <w:rFonts w:ascii="Courier New" w:cs="Courier New" w:eastAsia="Courier New" w:hAnsi="Courier New"/>
          <w:sz w:val="14"/>
          <w:szCs w:val="14"/>
          <w:color w:val="auto"/>
        </w:rPr>
        <w:t>10.41</w:t>
      </w:r>
      <w:r>
        <w:rPr>
          <w:sz w:val="20"/>
          <w:szCs w:val="20"/>
          <w:color w:val="auto"/>
        </w:rPr>
        <w:tab/>
      </w:r>
      <w:r>
        <w:rPr>
          <w:rFonts w:ascii="Courier New" w:cs="Courier New" w:eastAsia="Courier New" w:hAnsi="Courier New"/>
          <w:sz w:val="14"/>
          <w:szCs w:val="14"/>
          <w:color w:val="auto"/>
        </w:rPr>
        <w:t>Preemptive Rights Agreement, dated as of January 1, 1999, by and between the Company and CCA (previously filed as Exhibit 10.38 to the Company's Current Report on Form 8-K (Commission File no. 0-25245), filed with the Commission on January 6, 1999 and incorporated herein by reference).</w:t>
      </w:r>
    </w:p>
    <w:p>
      <w:pPr>
        <w:spacing w:after="0" w:line="59" w:lineRule="exact"/>
        <w:rPr>
          <w:sz w:val="20"/>
          <w:szCs w:val="20"/>
          <w:color w:val="auto"/>
        </w:rPr>
      </w:pPr>
    </w:p>
    <w:p>
      <w:pPr>
        <w:ind w:left="780" w:right="2099" w:hanging="762"/>
        <w:spacing w:after="0" w:line="286" w:lineRule="auto"/>
        <w:tabs>
          <w:tab w:leader="none" w:pos="760" w:val="left"/>
        </w:tabs>
        <w:rPr>
          <w:sz w:val="20"/>
          <w:szCs w:val="20"/>
          <w:color w:val="auto"/>
        </w:rPr>
      </w:pPr>
      <w:r>
        <w:rPr>
          <w:rFonts w:ascii="Courier New" w:cs="Courier New" w:eastAsia="Courier New" w:hAnsi="Courier New"/>
          <w:sz w:val="14"/>
          <w:szCs w:val="14"/>
          <w:color w:val="auto"/>
        </w:rPr>
        <w:t>10.42</w:t>
      </w:r>
      <w:r>
        <w:rPr>
          <w:sz w:val="20"/>
          <w:szCs w:val="20"/>
          <w:color w:val="auto"/>
        </w:rPr>
        <w:tab/>
      </w:r>
      <w:r>
        <w:rPr>
          <w:rFonts w:ascii="Courier New" w:cs="Courier New" w:eastAsia="Courier New" w:hAnsi="Courier New"/>
          <w:sz w:val="14"/>
          <w:szCs w:val="14"/>
          <w:color w:val="auto"/>
        </w:rPr>
        <w:t>REIT Management Agreement, dated as of July 21, 1997, by and between Old Prison Realty and Prison Realty Management, Inc. (previously filed as Exhibit 10(hh) to Old Prison Realty's Annual Report on Form 10-K (Commission File no. 1-13049), filed with the Commission on March 18, 1998 and incorporated herein by reference).</w:t>
      </w:r>
    </w:p>
    <w:p>
      <w:pPr>
        <w:spacing w:after="0" w:line="5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10.43</w:t>
      </w:r>
      <w:r>
        <w:rPr>
          <w:sz w:val="20"/>
          <w:szCs w:val="20"/>
          <w:color w:val="auto"/>
        </w:rPr>
        <w:tab/>
      </w:r>
      <w:r>
        <w:rPr>
          <w:rFonts w:ascii="Courier New" w:cs="Courier New" w:eastAsia="Courier New" w:hAnsi="Courier New"/>
          <w:sz w:val="14"/>
          <w:szCs w:val="14"/>
          <w:color w:val="auto"/>
        </w:rPr>
        <w:t>Old Prison Realty's 1997 Employee Share Incentive Plan (previously filed as Exhibit</w:t>
      </w:r>
    </w:p>
    <w:p>
      <w:pPr>
        <w:spacing w:after="0" w:line="3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10.25 to Old Prison Realty's Quarterly Report on Form 10-Q (Commission File no.</w:t>
      </w:r>
    </w:p>
    <w:p>
      <w:pPr>
        <w:spacing w:after="0" w:line="4" w:lineRule="exact"/>
        <w:rPr>
          <w:sz w:val="20"/>
          <w:szCs w:val="20"/>
          <w:color w:val="auto"/>
        </w:rPr>
      </w:pPr>
    </w:p>
    <w:p>
      <w:pPr>
        <w:ind w:left="780" w:right="2519"/>
        <w:spacing w:after="0" w:line="327" w:lineRule="auto"/>
        <w:rPr>
          <w:sz w:val="20"/>
          <w:szCs w:val="20"/>
          <w:color w:val="auto"/>
        </w:rPr>
      </w:pPr>
      <w:r>
        <w:rPr>
          <w:rFonts w:ascii="Courier New" w:cs="Courier New" w:eastAsia="Courier New" w:hAnsi="Courier New"/>
          <w:sz w:val="14"/>
          <w:szCs w:val="14"/>
          <w:color w:val="auto"/>
        </w:rPr>
        <w:t>1-13049), filed with the Commission on August 25, 1997 and incorporated herein by reference).</w:t>
      </w:r>
    </w:p>
    <w:p>
      <w:pPr>
        <w:spacing w:after="0" w:line="3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10.44</w:t>
      </w:r>
      <w:r>
        <w:rPr>
          <w:sz w:val="20"/>
          <w:szCs w:val="20"/>
          <w:color w:val="auto"/>
        </w:rPr>
        <w:tab/>
      </w:r>
      <w:r>
        <w:rPr>
          <w:rFonts w:ascii="Courier New" w:cs="Courier New" w:eastAsia="Courier New" w:hAnsi="Courier New"/>
          <w:sz w:val="14"/>
          <w:szCs w:val="14"/>
          <w:color w:val="auto"/>
        </w:rPr>
        <w:t>Old Prison Realty's Non-Employee Trustees' Share Option Plan, as amended (previously</w:t>
      </w:r>
    </w:p>
    <w:p>
      <w:pPr>
        <w:spacing w:after="0" w:line="30" w:lineRule="exact"/>
        <w:rPr>
          <w:sz w:val="20"/>
          <w:szCs w:val="20"/>
          <w:color w:val="auto"/>
        </w:rPr>
      </w:pPr>
    </w:p>
    <w:p>
      <w:pPr>
        <w:ind w:left="780" w:right="2699"/>
        <w:spacing w:after="0" w:line="286" w:lineRule="auto"/>
        <w:rPr>
          <w:sz w:val="20"/>
          <w:szCs w:val="20"/>
          <w:color w:val="auto"/>
        </w:rPr>
      </w:pPr>
      <w:r>
        <w:rPr>
          <w:rFonts w:ascii="Courier New" w:cs="Courier New" w:eastAsia="Courier New" w:hAnsi="Courier New"/>
          <w:sz w:val="14"/>
          <w:szCs w:val="14"/>
          <w:color w:val="auto"/>
        </w:rPr>
        <w:t>filed as Exhibit 10.26 to Old Prison Realty's Quarterly Report on Form 10-Q (Commission File no. 1-13049), filed with the Commission on August 25, 1997 and incorporated herein by reference).</w:t>
      </w:r>
    </w:p>
    <w:p>
      <w:pPr>
        <w:sectPr>
          <w:pgSz w:w="11900" w:h="16838" w:orient="portrait"/>
          <w:cols w:equalWidth="0" w:num="1">
            <w:col w:w="10159"/>
          </w:cols>
          <w:pgMar w:left="300" w:top="257"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4"/>
          <w:szCs w:val="14"/>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10.45</w:t>
      </w:r>
      <w:r>
        <w:rPr>
          <w:sz w:val="20"/>
          <w:szCs w:val="20"/>
          <w:color w:val="auto"/>
        </w:rPr>
        <w:tab/>
      </w:r>
      <w:r>
        <w:rPr>
          <w:rFonts w:ascii="Courier New" w:cs="Courier New" w:eastAsia="Courier New" w:hAnsi="Courier New"/>
          <w:sz w:val="14"/>
          <w:szCs w:val="14"/>
          <w:color w:val="auto"/>
        </w:rPr>
        <w:t>Old Prison Realty's Non-Employee Trustees' Compensation Plan (previously filed as Exhibit 4.3 to Old Prison Realty's Registration Statement on Form S-8 (Commission File no. 333-58339), filed with the Commission on July 1, 1998 and incorporated herein by reference).</w:t>
      </w:r>
    </w:p>
    <w:p>
      <w:pPr>
        <w:spacing w:after="0" w:line="59" w:lineRule="exact"/>
        <w:rPr>
          <w:sz w:val="20"/>
          <w:szCs w:val="20"/>
          <w:color w:val="auto"/>
        </w:rPr>
      </w:pPr>
    </w:p>
    <w:p>
      <w:pPr>
        <w:ind w:left="520" w:right="2099" w:hanging="762"/>
        <w:spacing w:after="0" w:line="276" w:lineRule="auto"/>
        <w:tabs>
          <w:tab w:leader="none" w:pos="500" w:val="left"/>
        </w:tabs>
        <w:rPr>
          <w:sz w:val="20"/>
          <w:szCs w:val="20"/>
          <w:color w:val="auto"/>
        </w:rPr>
      </w:pPr>
      <w:r>
        <w:rPr>
          <w:rFonts w:ascii="Courier New" w:cs="Courier New" w:eastAsia="Courier New" w:hAnsi="Courier New"/>
          <w:sz w:val="14"/>
          <w:szCs w:val="14"/>
          <w:color w:val="auto"/>
        </w:rPr>
        <w:t>10.46</w:t>
      </w:r>
      <w:r>
        <w:rPr>
          <w:sz w:val="20"/>
          <w:szCs w:val="20"/>
          <w:color w:val="auto"/>
        </w:rPr>
        <w:tab/>
      </w:r>
      <w:r>
        <w:rPr>
          <w:rFonts w:ascii="Courier New" w:cs="Courier New" w:eastAsia="Courier New" w:hAnsi="Courier New"/>
          <w:sz w:val="14"/>
          <w:szCs w:val="14"/>
          <w:color w:val="auto"/>
        </w:rPr>
        <w:t>Old CCA's Option Plan, dated as of January 23, 1985, as amended by First Amendment to Old CCA's Stock Option Plan, together with forms of Incentive Stock Option Agreement and Non-Qualified Stock Option Agreement (previously filed as Exhibit 10(c) to Old CCA's Registration Statement on Form S-1 (Commission File no. 33-8052), filed with the Commission on August 15, 1986 and incorporated herein by reference).</w:t>
      </w:r>
    </w:p>
    <w:p>
      <w:pPr>
        <w:spacing w:after="0" w:line="67" w:lineRule="exact"/>
        <w:rPr>
          <w:sz w:val="20"/>
          <w:szCs w:val="20"/>
          <w:color w:val="auto"/>
        </w:rPr>
      </w:pPr>
    </w:p>
    <w:p>
      <w:pPr>
        <w:jc w:val="both"/>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10.47</w:t>
      </w:r>
      <w:r>
        <w:rPr>
          <w:sz w:val="20"/>
          <w:szCs w:val="20"/>
          <w:color w:val="auto"/>
        </w:rPr>
        <w:tab/>
      </w:r>
      <w:r>
        <w:rPr>
          <w:rFonts w:ascii="Courier New" w:cs="Courier New" w:eastAsia="Courier New" w:hAnsi="Courier New"/>
          <w:sz w:val="14"/>
          <w:szCs w:val="14"/>
          <w:color w:val="auto"/>
        </w:rPr>
        <w:t>Non-Qualified Stock Option Plan of Old CCA, dated as of January 16, 1986, and related form of Non-Qualified Stock Option Agreement (previously filed as Exhibit 10(d) to Old CCA's Registration Statement on Form S-1 (Commission File no. 33-8052), filed with the Commission on August 15, 1986 and incorporated herein by reference).</w:t>
      </w:r>
    </w:p>
    <w:p>
      <w:pPr>
        <w:spacing w:after="0" w:line="59" w:lineRule="exact"/>
        <w:rPr>
          <w:sz w:val="20"/>
          <w:szCs w:val="20"/>
          <w:color w:val="auto"/>
        </w:rPr>
      </w:pPr>
    </w:p>
    <w:p>
      <w:pPr>
        <w:ind w:left="520" w:right="217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10.48</w:t>
      </w:r>
      <w:r>
        <w:rPr>
          <w:sz w:val="20"/>
          <w:szCs w:val="20"/>
          <w:color w:val="auto"/>
        </w:rPr>
        <w:tab/>
      </w:r>
      <w:r>
        <w:rPr>
          <w:rFonts w:ascii="Courier New" w:cs="Courier New" w:eastAsia="Courier New" w:hAnsi="Courier New"/>
          <w:sz w:val="14"/>
          <w:szCs w:val="14"/>
          <w:color w:val="auto"/>
        </w:rPr>
        <w:t>Old CCA's 1988 Flexible Stock Option Plan (previously filed as Exhibit A to Old CCA's definitive Proxy Statement relating to Old CCA's 1988 Annual Meeting of Shareholders (Commission File no. 0-15719), filed with the Commission on April 29, 1988 and incorporated herein by reference).</w:t>
      </w:r>
    </w:p>
    <w:p>
      <w:pPr>
        <w:spacing w:after="0" w:line="59" w:lineRule="exact"/>
        <w:rPr>
          <w:sz w:val="20"/>
          <w:szCs w:val="20"/>
          <w:color w:val="auto"/>
        </w:rPr>
      </w:pPr>
    </w:p>
    <w:p>
      <w:pPr>
        <w:ind w:left="520" w:right="217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10.49</w:t>
      </w:r>
      <w:r>
        <w:rPr>
          <w:sz w:val="20"/>
          <w:szCs w:val="20"/>
          <w:color w:val="auto"/>
        </w:rPr>
        <w:tab/>
      </w:r>
      <w:r>
        <w:rPr>
          <w:rFonts w:ascii="Courier New" w:cs="Courier New" w:eastAsia="Courier New" w:hAnsi="Courier New"/>
          <w:sz w:val="14"/>
          <w:szCs w:val="14"/>
          <w:color w:val="auto"/>
        </w:rPr>
        <w:t>Second Amendment to Old CCA's Stock Option Plan, dated as of March 27, 1987, together with form of Incentive Stock Option Agreement (previously filed as Exhibit 10(aa) to Old CCA's Annual Report on Form 10-K (Commission File no. 0-15719), filed with the Commission on March 31, 1987 and incorporated herein by reference).</w:t>
      </w:r>
    </w:p>
    <w:p>
      <w:pPr>
        <w:spacing w:after="0" w:line="59"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10.50</w:t>
      </w:r>
      <w:r>
        <w:rPr>
          <w:sz w:val="20"/>
          <w:szCs w:val="20"/>
          <w:color w:val="auto"/>
        </w:rPr>
        <w:tab/>
      </w:r>
      <w:r>
        <w:rPr>
          <w:rFonts w:ascii="Courier New" w:cs="Courier New" w:eastAsia="Courier New" w:hAnsi="Courier New"/>
          <w:sz w:val="14"/>
          <w:szCs w:val="14"/>
          <w:color w:val="auto"/>
        </w:rPr>
        <w:t>Third Amendment to Old CCA's Stock Option Plan, dated as of March 18, 1988 (previously filed as Exhibit B to Old CCA's definitive Proxy Statement relating to Old CCA's 1988 Annual Meeting of Shareholders (Commission File no. 0-15719), filed with the Commission on April 29, 1988 and incorporated herein by reference).</w:t>
      </w:r>
    </w:p>
    <w:p>
      <w:pPr>
        <w:spacing w:after="0" w:line="59" w:lineRule="exact"/>
        <w:rPr>
          <w:sz w:val="20"/>
          <w:szCs w:val="20"/>
          <w:color w:val="auto"/>
        </w:rPr>
      </w:pPr>
    </w:p>
    <w:p>
      <w:pPr>
        <w:ind w:left="520" w:right="2099" w:hanging="762"/>
        <w:spacing w:after="0" w:line="306" w:lineRule="auto"/>
        <w:tabs>
          <w:tab w:leader="none" w:pos="500" w:val="left"/>
        </w:tabs>
        <w:rPr>
          <w:sz w:val="20"/>
          <w:szCs w:val="20"/>
          <w:color w:val="auto"/>
        </w:rPr>
      </w:pPr>
      <w:r>
        <w:rPr>
          <w:rFonts w:ascii="Courier New" w:cs="Courier New" w:eastAsia="Courier New" w:hAnsi="Courier New"/>
          <w:sz w:val="14"/>
          <w:szCs w:val="14"/>
          <w:color w:val="auto"/>
        </w:rPr>
        <w:t>10.51</w:t>
      </w:r>
      <w:r>
        <w:rPr>
          <w:sz w:val="20"/>
          <w:szCs w:val="20"/>
          <w:color w:val="auto"/>
        </w:rPr>
        <w:tab/>
      </w:r>
      <w:r>
        <w:rPr>
          <w:rFonts w:ascii="Courier New" w:cs="Courier New" w:eastAsia="Courier New" w:hAnsi="Courier New"/>
          <w:sz w:val="14"/>
          <w:szCs w:val="14"/>
          <w:color w:val="auto"/>
        </w:rPr>
        <w:t>Old CCA's 1989 Stock Bonus Plan (previously filed as Exhibit 10(zz) to Old CCA's Annual Report on Form 10-K (Commission File no. 0-15719), filed with the Commission on March 30, 1990 and incorporated herein by reference).</w:t>
      </w:r>
    </w:p>
    <w:p>
      <w:pPr>
        <w:spacing w:after="0" w:line="46"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10.52</w:t>
      </w:r>
      <w:r>
        <w:rPr>
          <w:sz w:val="20"/>
          <w:szCs w:val="20"/>
          <w:color w:val="auto"/>
        </w:rPr>
        <w:tab/>
      </w:r>
      <w:r>
        <w:rPr>
          <w:rFonts w:ascii="Courier New" w:cs="Courier New" w:eastAsia="Courier New" w:hAnsi="Courier New"/>
          <w:sz w:val="14"/>
          <w:szCs w:val="14"/>
          <w:color w:val="auto"/>
        </w:rPr>
        <w:t>First Amendment to Old CCA's 1988 Flexible Stock Option Plan, dated as of June 8, 1989 (previously filed as Exhibit 10(mmm) to Old CCA's Annual Report on Form 10-K (Commission File no. 0-15719), filed with the Commission on March 30, 1990 and incorporated herein by reference).</w:t>
      </w:r>
    </w:p>
    <w:p>
      <w:pPr>
        <w:spacing w:after="0" w:line="59"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10.53</w:t>
      </w:r>
      <w:r>
        <w:rPr>
          <w:sz w:val="20"/>
          <w:szCs w:val="20"/>
          <w:color w:val="auto"/>
        </w:rPr>
        <w:tab/>
      </w:r>
      <w:r>
        <w:rPr>
          <w:rFonts w:ascii="Courier New" w:cs="Courier New" w:eastAsia="Courier New" w:hAnsi="Courier New"/>
          <w:sz w:val="14"/>
          <w:szCs w:val="14"/>
          <w:color w:val="auto"/>
        </w:rPr>
        <w:t>First Amendment to Old CCA's Non-Qualified Stock Option Plan, dated as of June 8, 1989 (previously filed as Exhibit 10(nnn) to Old CCA's Annual Report on Form 10-K (Commission File no. 0-15719), filed with the Commission on March 30, 1990 and incorporated herein by reference).</w:t>
      </w:r>
    </w:p>
    <w:p>
      <w:pPr>
        <w:spacing w:after="0" w:line="59" w:lineRule="exact"/>
        <w:rPr>
          <w:sz w:val="20"/>
          <w:szCs w:val="20"/>
          <w:color w:val="auto"/>
        </w:rPr>
      </w:pPr>
    </w:p>
    <w:p>
      <w:pPr>
        <w:ind w:left="520" w:right="2179" w:hanging="762"/>
        <w:spacing w:after="0" w:line="306" w:lineRule="auto"/>
        <w:tabs>
          <w:tab w:leader="none" w:pos="500" w:val="left"/>
        </w:tabs>
        <w:rPr>
          <w:sz w:val="20"/>
          <w:szCs w:val="20"/>
          <w:color w:val="auto"/>
        </w:rPr>
      </w:pPr>
      <w:r>
        <w:rPr>
          <w:rFonts w:ascii="Courier New" w:cs="Courier New" w:eastAsia="Courier New" w:hAnsi="Courier New"/>
          <w:sz w:val="14"/>
          <w:szCs w:val="14"/>
          <w:color w:val="auto"/>
        </w:rPr>
        <w:t>10.54</w:t>
      </w:r>
      <w:r>
        <w:rPr>
          <w:sz w:val="20"/>
          <w:szCs w:val="20"/>
          <w:color w:val="auto"/>
        </w:rPr>
        <w:tab/>
      </w:r>
      <w:r>
        <w:rPr>
          <w:rFonts w:ascii="Courier New" w:cs="Courier New" w:eastAsia="Courier New" w:hAnsi="Courier New"/>
          <w:sz w:val="14"/>
          <w:szCs w:val="14"/>
          <w:color w:val="auto"/>
        </w:rPr>
        <w:t>Amended and Restated Employee Stock Ownership Plan (previously filed as Exhibit 10(iiii) to Old CCA's Annual Report on Form 10-K (Commission File no. 0-15719), filed with the Commission on March 30, 1992 and incorporated herein by reference).</w:t>
      </w:r>
    </w:p>
    <w:p>
      <w:pPr>
        <w:spacing w:after="0" w:line="46" w:lineRule="exact"/>
        <w:rPr>
          <w:sz w:val="20"/>
          <w:szCs w:val="20"/>
          <w:color w:val="auto"/>
        </w:rPr>
      </w:pPr>
    </w:p>
    <w:p>
      <w:pPr>
        <w:ind w:left="520" w:right="2179" w:hanging="762"/>
        <w:spacing w:after="0" w:line="306" w:lineRule="auto"/>
        <w:tabs>
          <w:tab w:leader="none" w:pos="500" w:val="left"/>
        </w:tabs>
        <w:rPr>
          <w:sz w:val="20"/>
          <w:szCs w:val="20"/>
          <w:color w:val="auto"/>
        </w:rPr>
      </w:pPr>
      <w:r>
        <w:rPr>
          <w:rFonts w:ascii="Courier New" w:cs="Courier New" w:eastAsia="Courier New" w:hAnsi="Courier New"/>
          <w:sz w:val="14"/>
          <w:szCs w:val="14"/>
          <w:color w:val="auto"/>
        </w:rPr>
        <w:t>10.55</w:t>
      </w:r>
      <w:r>
        <w:rPr>
          <w:sz w:val="20"/>
          <w:szCs w:val="20"/>
          <w:color w:val="auto"/>
        </w:rPr>
        <w:tab/>
      </w:r>
      <w:r>
        <w:rPr>
          <w:rFonts w:ascii="Courier New" w:cs="Courier New" w:eastAsia="Courier New" w:hAnsi="Courier New"/>
          <w:sz w:val="14"/>
          <w:szCs w:val="14"/>
          <w:color w:val="auto"/>
        </w:rPr>
        <w:t>Old CCA's Non-Employee Director Stock Option Plan (previously filed as Exhibit 10(yyyy) to Old CCA's Annual Report on Form 10-K (Commission File no. 0-15719), filed with the Commission on March 31, 1994 and incorporated herein by reference).</w:t>
      </w:r>
    </w:p>
    <w:p>
      <w:pPr>
        <w:spacing w:after="0" w:line="46" w:lineRule="exact"/>
        <w:rPr>
          <w:sz w:val="20"/>
          <w:szCs w:val="20"/>
          <w:color w:val="auto"/>
        </w:rPr>
      </w:pPr>
    </w:p>
    <w:p>
      <w:pPr>
        <w:ind w:left="520" w:right="235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10.56</w:t>
      </w:r>
      <w:r>
        <w:rPr>
          <w:sz w:val="20"/>
          <w:szCs w:val="20"/>
          <w:color w:val="auto"/>
        </w:rPr>
        <w:tab/>
      </w:r>
      <w:r>
        <w:rPr>
          <w:rFonts w:ascii="Courier New" w:cs="Courier New" w:eastAsia="Courier New" w:hAnsi="Courier New"/>
          <w:sz w:val="14"/>
          <w:szCs w:val="14"/>
          <w:color w:val="auto"/>
        </w:rPr>
        <w:t>First Amendment to Old CCA's 1991 Flexible Stock Option Plan, dated as of March 11, 1994 (previously filed as Exhibit 10.102 to Old CCA's Annual Report on Form 10-K (Commission File no. 1-13049), filed with the Commission on March 31, 1995 and incorporated herein by reference).</w:t>
      </w:r>
    </w:p>
    <w:p>
      <w:pPr>
        <w:sectPr>
          <w:pgSz w:w="11900" w:h="16838" w:orient="portrait"/>
          <w:cols w:equalWidth="0" w:num="1">
            <w:col w:w="9899"/>
          </w:cols>
          <w:pgMar w:left="560" w:top="257"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4"/>
          <w:szCs w:val="14"/>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10.57</w:t>
      </w:r>
      <w:r>
        <w:rPr>
          <w:sz w:val="20"/>
          <w:szCs w:val="20"/>
          <w:color w:val="auto"/>
        </w:rPr>
        <w:tab/>
      </w:r>
      <w:r>
        <w:rPr>
          <w:rFonts w:ascii="Courier New" w:cs="Courier New" w:eastAsia="Courier New" w:hAnsi="Courier New"/>
          <w:sz w:val="14"/>
          <w:szCs w:val="14"/>
          <w:color w:val="auto"/>
        </w:rPr>
        <w:t>Amendments to the Amended and Restated Old CCA Employee Stock Ownership Plan, dated as of June 3, 1994 (previously filed as Exhibit 10.109 to Old CCA's Annual Report on Form 10-K (Commission File no. 1-13049), filed with the Commission on March 31, 1995 and incorporated herein by reference).</w:t>
      </w:r>
    </w:p>
    <w:p>
      <w:pPr>
        <w:spacing w:after="0" w:line="59" w:lineRule="exact"/>
        <w:rPr>
          <w:sz w:val="20"/>
          <w:szCs w:val="20"/>
          <w:color w:val="auto"/>
        </w:rPr>
      </w:pPr>
    </w:p>
    <w:p>
      <w:pPr>
        <w:ind w:left="520" w:right="251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10.58</w:t>
      </w:r>
      <w:r>
        <w:rPr>
          <w:sz w:val="20"/>
          <w:szCs w:val="20"/>
          <w:color w:val="auto"/>
        </w:rPr>
        <w:tab/>
      </w:r>
      <w:r>
        <w:rPr>
          <w:rFonts w:ascii="Courier New" w:cs="Courier New" w:eastAsia="Courier New" w:hAnsi="Courier New"/>
          <w:sz w:val="14"/>
          <w:szCs w:val="14"/>
          <w:color w:val="auto"/>
        </w:rPr>
        <w:t>Amended and Restated Old CCA 1989 Stock Bonus Plan, dated as of February 20, 1995 (previously filed as Exhibit 10.138 to Old CCA's Annual Report on Form 10-K (Commission File no. 1-13560), filed with the Commission on March 31, 1995 and incorporated herein by reference).</w:t>
      </w:r>
    </w:p>
    <w:p>
      <w:pPr>
        <w:spacing w:after="0" w:line="59" w:lineRule="exact"/>
        <w:rPr>
          <w:sz w:val="20"/>
          <w:szCs w:val="20"/>
          <w:color w:val="auto"/>
        </w:rPr>
      </w:pPr>
    </w:p>
    <w:p>
      <w:pPr>
        <w:ind w:left="520" w:right="25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10.59</w:t>
      </w:r>
      <w:r>
        <w:rPr>
          <w:sz w:val="20"/>
          <w:szCs w:val="20"/>
          <w:color w:val="auto"/>
        </w:rPr>
        <w:tab/>
      </w:r>
      <w:r>
        <w:rPr>
          <w:rFonts w:ascii="Courier New" w:cs="Courier New" w:eastAsia="Courier New" w:hAnsi="Courier New"/>
          <w:sz w:val="14"/>
          <w:szCs w:val="14"/>
          <w:color w:val="auto"/>
        </w:rPr>
        <w:t>Old CCA's 1995 Employee Stock Incentive Plan, effective as of March 20, 1995 (previously filed as Exhibit 4.3 to Old CCA's Registration Statement on Form S-8 (Commission File no. 33-61173), filed with the Commission on July 20, 1995 and incorporated herein by reference).</w:t>
      </w:r>
    </w:p>
    <w:p>
      <w:pPr>
        <w:spacing w:after="0" w:line="59" w:lineRule="exact"/>
        <w:rPr>
          <w:sz w:val="20"/>
          <w:szCs w:val="20"/>
          <w:color w:val="auto"/>
        </w:rPr>
      </w:pPr>
    </w:p>
    <w:p>
      <w:pPr>
        <w:ind w:left="520" w:right="225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10.60</w:t>
      </w:r>
      <w:r>
        <w:rPr>
          <w:sz w:val="20"/>
          <w:szCs w:val="20"/>
          <w:color w:val="auto"/>
        </w:rPr>
        <w:tab/>
      </w:r>
      <w:r>
        <w:rPr>
          <w:rFonts w:ascii="Courier New" w:cs="Courier New" w:eastAsia="Courier New" w:hAnsi="Courier New"/>
          <w:sz w:val="14"/>
          <w:szCs w:val="14"/>
          <w:color w:val="auto"/>
        </w:rPr>
        <w:t>First Amendment to Amended and Restated Old CCA 1989 Stock Bonus Plan, dated as of November 3, 1995 (previously filed as Exhibit 10.153 to Old CCA's Annual Report on Form 10-K (Commission File no. 1-13560), filed with the Commission on March 29, 1996 and incorporated herein by reference).</w:t>
      </w:r>
    </w:p>
    <w:p>
      <w:pPr>
        <w:spacing w:after="0" w:line="59" w:lineRule="exact"/>
        <w:rPr>
          <w:sz w:val="20"/>
          <w:szCs w:val="20"/>
          <w:color w:val="auto"/>
        </w:rPr>
      </w:pPr>
    </w:p>
    <w:p>
      <w:pPr>
        <w:ind w:left="520" w:right="2099" w:hanging="762"/>
        <w:spacing w:after="0" w:line="276" w:lineRule="auto"/>
        <w:tabs>
          <w:tab w:leader="none" w:pos="500" w:val="left"/>
        </w:tabs>
        <w:rPr>
          <w:sz w:val="20"/>
          <w:szCs w:val="20"/>
          <w:color w:val="auto"/>
        </w:rPr>
      </w:pPr>
      <w:r>
        <w:rPr>
          <w:rFonts w:ascii="Courier New" w:cs="Courier New" w:eastAsia="Courier New" w:hAnsi="Courier New"/>
          <w:sz w:val="14"/>
          <w:szCs w:val="14"/>
          <w:color w:val="auto"/>
        </w:rPr>
        <w:t>10.61</w:t>
      </w:r>
      <w:r>
        <w:rPr>
          <w:sz w:val="20"/>
          <w:szCs w:val="20"/>
          <w:color w:val="auto"/>
        </w:rPr>
        <w:tab/>
      </w:r>
      <w:r>
        <w:rPr>
          <w:rFonts w:ascii="Courier New" w:cs="Courier New" w:eastAsia="Courier New" w:hAnsi="Courier New"/>
          <w:sz w:val="14"/>
          <w:szCs w:val="14"/>
          <w:color w:val="auto"/>
        </w:rPr>
        <w:t>Option Agreement, dated March 31, 1997, by and between Old CCA and Joseph F. Johnson, Jr. relating to the grant of an option to purchase 80,000 shares of Old CCA Common Stock (previously filed as Appendix B to Old CCA's definitive Proxy Statement relating to Old CCA's 1998 Annual Meeting of Shareholders (Commission File no. 0-15719), filed with the Commission on March 31, 1998 and incorporated herein by reference).</w:t>
      </w:r>
    </w:p>
    <w:p>
      <w:pPr>
        <w:spacing w:after="0" w:line="67"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10.62</w:t>
      </w:r>
      <w:r>
        <w:rPr>
          <w:sz w:val="20"/>
          <w:szCs w:val="20"/>
          <w:color w:val="auto"/>
        </w:rPr>
        <w:tab/>
      </w:r>
      <w:r>
        <w:rPr>
          <w:rFonts w:ascii="Courier New" w:cs="Courier New" w:eastAsia="Courier New" w:hAnsi="Courier New"/>
          <w:sz w:val="14"/>
          <w:szCs w:val="14"/>
          <w:color w:val="auto"/>
        </w:rPr>
        <w:t>Old CCA's Non-Employee Directors' Compensation Plan (previously filed as Appendix A to Old CCA's definitive Proxy Statement relating to Old CCA's 1998 Annual Meeting of Shareholders (Commission File no. 0-15719), filed with the Commission on March 31, 1998 and incorporated herein by reference).</w:t>
      </w:r>
    </w:p>
    <w:p>
      <w:pPr>
        <w:spacing w:after="0" w:line="59" w:lineRule="exact"/>
        <w:rPr>
          <w:sz w:val="20"/>
          <w:szCs w:val="20"/>
          <w:color w:val="auto"/>
        </w:rPr>
      </w:pPr>
    </w:p>
    <w:p>
      <w:pPr>
        <w:ind w:left="520" w:right="225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10.63</w:t>
      </w:r>
      <w:r>
        <w:rPr>
          <w:sz w:val="20"/>
          <w:szCs w:val="20"/>
          <w:color w:val="auto"/>
        </w:rPr>
        <w:tab/>
      </w:r>
      <w:r>
        <w:rPr>
          <w:rFonts w:ascii="Courier New" w:cs="Courier New" w:eastAsia="Courier New" w:hAnsi="Courier New"/>
          <w:sz w:val="14"/>
          <w:szCs w:val="14"/>
          <w:color w:val="auto"/>
        </w:rPr>
        <w:t>Amended and Restated Tenant Incentive Agreement by and between the Company and CCA (previously filed as Exhibit 10.1 to the Company's Quarterly Report on Form 10-Q for the quarterly ended March 31, 1999 (Commission File no. 0-25245), filed with the Commission on May 14, 1999 and incorporated herein by reference).</w:t>
      </w:r>
    </w:p>
    <w:p>
      <w:pPr>
        <w:spacing w:after="0" w:line="59" w:lineRule="exact"/>
        <w:rPr>
          <w:sz w:val="20"/>
          <w:szCs w:val="20"/>
          <w:color w:val="auto"/>
        </w:rPr>
      </w:pPr>
    </w:p>
    <w:p>
      <w:pPr>
        <w:ind w:left="520" w:right="2099" w:hanging="762"/>
        <w:spacing w:after="0" w:line="286" w:lineRule="auto"/>
        <w:tabs>
          <w:tab w:leader="none" w:pos="500" w:val="left"/>
        </w:tabs>
        <w:rPr>
          <w:sz w:val="20"/>
          <w:szCs w:val="20"/>
          <w:color w:val="auto"/>
        </w:rPr>
      </w:pPr>
      <w:r>
        <w:rPr>
          <w:rFonts w:ascii="Courier New" w:cs="Courier New" w:eastAsia="Courier New" w:hAnsi="Courier New"/>
          <w:sz w:val="14"/>
          <w:szCs w:val="14"/>
          <w:color w:val="auto"/>
        </w:rPr>
        <w:t>10.64</w:t>
      </w:r>
      <w:r>
        <w:rPr>
          <w:sz w:val="20"/>
          <w:szCs w:val="20"/>
          <w:color w:val="auto"/>
        </w:rPr>
        <w:tab/>
      </w:r>
      <w:r>
        <w:rPr>
          <w:rFonts w:ascii="Courier New" w:cs="Courier New" w:eastAsia="Courier New" w:hAnsi="Courier New"/>
          <w:sz w:val="14"/>
          <w:szCs w:val="14"/>
          <w:color w:val="auto"/>
        </w:rPr>
        <w:t>Business Development Agreement by and between the Company and CCA (previously filed as Exhibit 10.2 to the Company's Quarterly Report on Form 10-Q for the quarterly ended March 31, 1999 (Commission File no. 0-25245), filed with the Commission on May 14, 1999 and incorporated herein by reference).</w:t>
      </w:r>
    </w:p>
    <w:p>
      <w:pPr>
        <w:spacing w:after="0" w:line="59" w:lineRule="exact"/>
        <w:rPr>
          <w:sz w:val="20"/>
          <w:szCs w:val="20"/>
          <w:color w:val="auto"/>
        </w:rPr>
      </w:pPr>
    </w:p>
    <w:p>
      <w:pPr>
        <w:ind w:left="520" w:right="2179" w:hanging="762"/>
        <w:spacing w:after="0" w:line="261" w:lineRule="auto"/>
        <w:tabs>
          <w:tab w:leader="none" w:pos="500" w:val="left"/>
        </w:tabs>
        <w:rPr>
          <w:sz w:val="20"/>
          <w:szCs w:val="20"/>
          <w:color w:val="auto"/>
        </w:rPr>
      </w:pPr>
      <w:r>
        <w:rPr>
          <w:rFonts w:ascii="Courier New" w:cs="Courier New" w:eastAsia="Courier New" w:hAnsi="Courier New"/>
          <w:sz w:val="14"/>
          <w:szCs w:val="14"/>
          <w:color w:val="auto"/>
        </w:rPr>
        <w:t>10.65</w:t>
      </w:r>
      <w:r>
        <w:rPr>
          <w:sz w:val="20"/>
          <w:szCs w:val="20"/>
          <w:color w:val="auto"/>
        </w:rPr>
        <w:tab/>
      </w:r>
      <w:r>
        <w:rPr>
          <w:rFonts w:ascii="Courier New" w:cs="Courier New" w:eastAsia="Courier New" w:hAnsi="Courier New"/>
          <w:sz w:val="14"/>
          <w:szCs w:val="14"/>
          <w:color w:val="auto"/>
        </w:rPr>
        <w:t>Amended and Restated Credit Agreement, dated as of August 4, 1999, by and among the Company, as Borrower, certain subsidiaries of the Company, as Guarantor, the several lenders from time to time party thereto, Lehman Commercial Paper Inc., as Administrative Agent, Societe Generale, as Documentation Agent, The Bank of Nova Scotia, as Syndication Agent, SouthTrust Bank, N.A., as Co-Agent, and Lehman Brothers Inc., as Advisor, as Lead Arranger, and as Book Manager (previously filed as Exhibit 10.1 to the Company's Quarterly Report on Form 10-Q for the quarterly ended June 30, 1999 (Commission File no. 0-25245), filed with the Commission on August 17, 1999 and incorporated herein by reference).</w:t>
      </w:r>
    </w:p>
    <w:p>
      <w:pPr>
        <w:spacing w:after="0" w:line="78" w:lineRule="exact"/>
        <w:rPr>
          <w:sz w:val="20"/>
          <w:szCs w:val="20"/>
          <w:color w:val="auto"/>
        </w:rPr>
      </w:pPr>
    </w:p>
    <w:p>
      <w:pPr>
        <w:ind w:left="520" w:right="2099" w:hanging="762"/>
        <w:spacing w:after="0" w:line="258" w:lineRule="auto"/>
        <w:tabs>
          <w:tab w:leader="none" w:pos="500" w:val="left"/>
        </w:tabs>
        <w:rPr>
          <w:sz w:val="20"/>
          <w:szCs w:val="20"/>
          <w:color w:val="auto"/>
        </w:rPr>
      </w:pPr>
      <w:r>
        <w:rPr>
          <w:rFonts w:ascii="Courier New" w:cs="Courier New" w:eastAsia="Courier New" w:hAnsi="Courier New"/>
          <w:sz w:val="14"/>
          <w:szCs w:val="14"/>
          <w:color w:val="auto"/>
        </w:rPr>
        <w:t>10.66</w:t>
      </w:r>
      <w:r>
        <w:rPr>
          <w:sz w:val="20"/>
          <w:szCs w:val="20"/>
          <w:color w:val="auto"/>
        </w:rPr>
        <w:tab/>
      </w:r>
      <w:r>
        <w:rPr>
          <w:rFonts w:ascii="Courier New" w:cs="Courier New" w:eastAsia="Courier New" w:hAnsi="Courier New"/>
          <w:sz w:val="14"/>
          <w:szCs w:val="14"/>
          <w:color w:val="auto"/>
        </w:rPr>
        <w:t>Securities Purchase Agreement, dated as of December 26, 1999, by and between the Company, CCA, PMSI, and JJFMSI, on the one hand, and Prison Acquisition Company, L.L.C., on the other hand, including: (i) as Exhibit A thereto, the Agreement and Plan of Merger; (ii) as Exhibit B thereto, the Form of Articles of Amendment and Restatement of the Company; (iii) as Exhibit C thereto, the Amended and Restated Bylaws of the Company; (iv) as Exhibit D thereto, the Form of Articles Supplementary for Series B Cumulative Convertible Preferred Stock; (v) as Exhibit E thereto, the Form of Warrant; (vi) as Exhibit F thereto, the Form of Articles Supplementary for Series C Cumulative Convertible Preferred Stock; (vii) as Exhibit G thereto, the Form of Registration Rights Agreement; and (viii) as Exhibit H thereto, the Financing Commitment Letter</w:t>
      </w:r>
    </w:p>
    <w:p>
      <w:pPr>
        <w:sectPr>
          <w:pgSz w:w="11900" w:h="16838" w:orient="portrait"/>
          <w:cols w:equalWidth="0" w:num="1">
            <w:col w:w="9899"/>
          </w:cols>
          <w:pgMar w:left="560" w:top="257"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118</w:t>
      </w:r>
    </w:p>
    <w:p>
      <w:pPr>
        <w:spacing w:after="0" w:line="200" w:lineRule="exact"/>
        <w:rPr>
          <w:sz w:val="20"/>
          <w:szCs w:val="20"/>
          <w:color w:val="auto"/>
        </w:rPr>
      </w:pPr>
    </w:p>
    <w:p>
      <w:pPr>
        <w:spacing w:after="0" w:line="294" w:lineRule="exact"/>
        <w:rPr>
          <w:sz w:val="20"/>
          <w:szCs w:val="20"/>
          <w:color w:val="auto"/>
        </w:rPr>
      </w:pPr>
    </w:p>
    <w:p>
      <w:pPr>
        <w:ind w:left="780" w:right="2099"/>
        <w:spacing w:after="0" w:line="270" w:lineRule="auto"/>
        <w:rPr>
          <w:sz w:val="20"/>
          <w:szCs w:val="20"/>
          <w:color w:val="auto"/>
        </w:rPr>
      </w:pPr>
      <w:r>
        <w:rPr>
          <w:rFonts w:ascii="Courier New" w:cs="Courier New" w:eastAsia="Courier New" w:hAnsi="Courier New"/>
          <w:sz w:val="14"/>
          <w:szCs w:val="14"/>
          <w:color w:val="auto"/>
        </w:rPr>
        <w:t>(previously filed as Exhibit 10.1 to the Company's Current Report on Form 8-K (Commission File no. 0- 25245), filed with the Commission on December 28, 1999 and incorporated herein by reference) (as directed by Item 601(b)(2) of Regulation S-K, certain schedules and exhibits to this document were omitted from that filing, and the Company agreed to furnish supplementally a copy of any omitted schedule or exhibit to the Commission upon request).</w:t>
      </w:r>
    </w:p>
    <w:p>
      <w:pPr>
        <w:spacing w:after="0" w:line="71" w:lineRule="exact"/>
        <w:rPr>
          <w:sz w:val="20"/>
          <w:szCs w:val="20"/>
          <w:color w:val="auto"/>
        </w:rPr>
      </w:pPr>
    </w:p>
    <w:p>
      <w:pPr>
        <w:ind w:left="780" w:right="2359" w:hanging="762"/>
        <w:spacing w:after="0" w:line="366" w:lineRule="auto"/>
        <w:tabs>
          <w:tab w:leader="none" w:pos="760" w:val="left"/>
        </w:tabs>
        <w:rPr>
          <w:sz w:val="20"/>
          <w:szCs w:val="20"/>
          <w:color w:val="auto"/>
        </w:rPr>
      </w:pPr>
      <w:r>
        <w:rPr>
          <w:rFonts w:ascii="Courier New" w:cs="Courier New" w:eastAsia="Courier New" w:hAnsi="Courier New"/>
          <w:sz w:val="14"/>
          <w:szCs w:val="14"/>
          <w:color w:val="auto"/>
        </w:rPr>
        <w:t>10.67*</w:t>
      </w:r>
      <w:r>
        <w:rPr>
          <w:sz w:val="20"/>
          <w:szCs w:val="20"/>
          <w:color w:val="auto"/>
        </w:rPr>
        <w:tab/>
      </w:r>
      <w:r>
        <w:rPr>
          <w:rFonts w:ascii="Courier New" w:cs="Courier New" w:eastAsia="Courier New" w:hAnsi="Courier New"/>
          <w:sz w:val="14"/>
          <w:szCs w:val="14"/>
          <w:color w:val="auto"/>
        </w:rPr>
        <w:t>First Amendment to Master Agreement to Lease, dated as of December 31, 1999, by and between the Company and CCA.</w:t>
      </w:r>
    </w:p>
    <w:p>
      <w:pPr>
        <w:spacing w:after="0" w:line="6" w:lineRule="exact"/>
        <w:rPr>
          <w:sz w:val="20"/>
          <w:szCs w:val="20"/>
          <w:color w:val="auto"/>
        </w:rPr>
      </w:pPr>
    </w:p>
    <w:p>
      <w:pPr>
        <w:ind w:left="780" w:right="2359" w:hanging="762"/>
        <w:spacing w:after="0" w:line="366" w:lineRule="auto"/>
        <w:tabs>
          <w:tab w:leader="none" w:pos="760" w:val="left"/>
        </w:tabs>
        <w:rPr>
          <w:sz w:val="20"/>
          <w:szCs w:val="20"/>
          <w:color w:val="auto"/>
        </w:rPr>
      </w:pPr>
      <w:r>
        <w:rPr>
          <w:rFonts w:ascii="Courier New" w:cs="Courier New" w:eastAsia="Courier New" w:hAnsi="Courier New"/>
          <w:sz w:val="14"/>
          <w:szCs w:val="14"/>
          <w:color w:val="auto"/>
        </w:rPr>
        <w:t>10.68*</w:t>
      </w:r>
      <w:r>
        <w:rPr>
          <w:sz w:val="20"/>
          <w:szCs w:val="20"/>
          <w:color w:val="auto"/>
        </w:rPr>
        <w:tab/>
      </w:r>
      <w:r>
        <w:rPr>
          <w:rFonts w:ascii="Courier New" w:cs="Courier New" w:eastAsia="Courier New" w:hAnsi="Courier New"/>
          <w:sz w:val="14"/>
          <w:szCs w:val="14"/>
          <w:color w:val="auto"/>
        </w:rPr>
        <w:t>Master Amendment to Lease Agreements, dated as of December 31, 1999, by and between the Company and CCA.</w:t>
      </w:r>
    </w:p>
    <w:p>
      <w:pPr>
        <w:spacing w:after="0" w:line="6" w:lineRule="exact"/>
        <w:rPr>
          <w:sz w:val="20"/>
          <w:szCs w:val="20"/>
          <w:color w:val="auto"/>
        </w:rPr>
      </w:pPr>
    </w:p>
    <w:p>
      <w:pPr>
        <w:ind w:left="780" w:right="3959" w:hanging="762"/>
        <w:spacing w:after="0" w:line="366" w:lineRule="auto"/>
        <w:tabs>
          <w:tab w:leader="none" w:pos="760" w:val="left"/>
        </w:tabs>
        <w:rPr>
          <w:sz w:val="20"/>
          <w:szCs w:val="20"/>
          <w:color w:val="auto"/>
        </w:rPr>
      </w:pPr>
      <w:r>
        <w:rPr>
          <w:rFonts w:ascii="Courier New" w:cs="Courier New" w:eastAsia="Courier New" w:hAnsi="Courier New"/>
          <w:sz w:val="14"/>
          <w:szCs w:val="14"/>
          <w:color w:val="auto"/>
        </w:rPr>
        <w:t>10.69*</w:t>
      </w:r>
      <w:r>
        <w:rPr>
          <w:sz w:val="20"/>
          <w:szCs w:val="20"/>
          <w:color w:val="auto"/>
        </w:rPr>
        <w:tab/>
      </w:r>
      <w:r>
        <w:rPr>
          <w:rFonts w:ascii="Courier New" w:cs="Courier New" w:eastAsia="Courier New" w:hAnsi="Courier New"/>
          <w:sz w:val="14"/>
          <w:szCs w:val="14"/>
          <w:color w:val="auto"/>
        </w:rPr>
        <w:t>Severance Agreement, dated as of December 31, 1999, by and among D. Robert Crants, III, the Company and CCA.</w:t>
      </w:r>
    </w:p>
    <w:p>
      <w:pPr>
        <w:spacing w:after="0" w:line="6" w:lineRule="exact"/>
        <w:rPr>
          <w:sz w:val="20"/>
          <w:szCs w:val="20"/>
          <w:color w:val="auto"/>
        </w:rPr>
      </w:pPr>
    </w:p>
    <w:p>
      <w:pPr>
        <w:ind w:left="780" w:right="3959" w:hanging="762"/>
        <w:spacing w:after="0" w:line="366" w:lineRule="auto"/>
        <w:tabs>
          <w:tab w:leader="none" w:pos="760" w:val="left"/>
        </w:tabs>
        <w:rPr>
          <w:sz w:val="20"/>
          <w:szCs w:val="20"/>
          <w:color w:val="auto"/>
        </w:rPr>
      </w:pPr>
      <w:r>
        <w:rPr>
          <w:rFonts w:ascii="Courier New" w:cs="Courier New" w:eastAsia="Courier New" w:hAnsi="Courier New"/>
          <w:sz w:val="14"/>
          <w:szCs w:val="14"/>
          <w:color w:val="auto"/>
        </w:rPr>
        <w:t>10.70*</w:t>
      </w:r>
      <w:r>
        <w:rPr>
          <w:sz w:val="20"/>
          <w:szCs w:val="20"/>
          <w:color w:val="auto"/>
        </w:rPr>
        <w:tab/>
      </w:r>
      <w:r>
        <w:rPr>
          <w:rFonts w:ascii="Courier New" w:cs="Courier New" w:eastAsia="Courier New" w:hAnsi="Courier New"/>
          <w:sz w:val="14"/>
          <w:szCs w:val="14"/>
          <w:color w:val="auto"/>
        </w:rPr>
        <w:t>Severance Agreement, dated as of December 31, 1999, by and among Michael W. Devlin, the Company and CCA.</w:t>
      </w:r>
    </w:p>
    <w:p>
      <w:pPr>
        <w:spacing w:after="0" w:line="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Subsidiaries of the Company.</w:t>
      </w:r>
    </w:p>
    <w:p>
      <w:pPr>
        <w:spacing w:after="0" w:line="16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Arthur Andersen LLP with respect to the Company.</w:t>
      </w:r>
    </w:p>
    <w:p>
      <w:pPr>
        <w:spacing w:after="0" w:line="16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Arthur Andersen LLP with respect to CCA.</w:t>
      </w:r>
    </w:p>
    <w:p>
      <w:pPr>
        <w:spacing w:after="0" w:line="168" w:lineRule="exact"/>
        <w:rPr>
          <w:sz w:val="20"/>
          <w:szCs w:val="20"/>
          <w:color w:val="auto"/>
        </w:rPr>
      </w:pPr>
    </w:p>
    <w:p>
      <w:pPr>
        <w:ind w:left="780" w:hanging="773"/>
        <w:spacing w:after="0"/>
        <w:tabs>
          <w:tab w:leader="none" w:pos="7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of Attorney (included on signature pages).</w:t>
      </w:r>
    </w:p>
    <w:p>
      <w:pPr>
        <w:spacing w:after="0" w:line="16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27.1*Financial Data Schedule (for Commission use only).</w:t>
      </w:r>
    </w:p>
    <w:p>
      <w:pPr>
        <w:sectPr>
          <w:pgSz w:w="11900" w:h="16838" w:orient="portrait"/>
          <w:cols w:equalWidth="0" w:num="1">
            <w:col w:w="10159"/>
          </w:cols>
          <w:pgMar w:left="300" w:top="257"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119</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ind w:left="2120"/>
              <w:spacing w:after="0"/>
              <w:rPr>
                <w:sz w:val="20"/>
                <w:szCs w:val="20"/>
                <w:color w:val="auto"/>
              </w:rPr>
            </w:pPr>
            <w:r>
              <w:rPr>
                <w:rFonts w:ascii="Courier New" w:cs="Courier New" w:eastAsia="Courier New" w:hAnsi="Courier New"/>
                <w:sz w:val="14"/>
                <w:szCs w:val="14"/>
                <w:color w:val="auto"/>
              </w:rPr>
              <w:t>INDEX TO FINANCIAL STATEMENTS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2"/>
        </w:trPr>
        <w:tc>
          <w:tcPr>
            <w:tcW w:w="602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w w:val="95"/>
              </w:rPr>
              <w:t>Page</w:t>
            </w: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Courier New" w:cs="Courier New" w:eastAsia="Courier New" w:hAnsi="Courier New"/>
                <w:sz w:val="14"/>
                <w:szCs w:val="14"/>
                <w:color w:val="auto"/>
              </w:rPr>
              <w:t>CONSOLIDATED FINANCIAL STATEMENTS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r>
              <w:rPr>
                <w:rFonts w:ascii="Courier New" w:cs="Courier New" w:eastAsia="Courier New" w:hAnsi="Courier New"/>
                <w:sz w:val="14"/>
                <w:szCs w:val="14"/>
                <w:color w:val="auto"/>
              </w:rPr>
              <w:t>OF PRISON REALTY TRUST, INC.</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Courier New" w:cs="Courier New" w:eastAsia="Courier New" w:hAnsi="Courier New"/>
                <w:sz w:val="14"/>
                <w:szCs w:val="14"/>
                <w:color w:val="auto"/>
              </w:rPr>
              <w:t>Report of Independent Public Accountants.</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F-3</w:t>
            </w:r>
          </w:p>
        </w:tc>
        <w:tc>
          <w:tcPr>
            <w:tcW w:w="0" w:type="dxa"/>
            <w:vAlign w:val="bottom"/>
          </w:tcPr>
          <w:p>
            <w:pPr>
              <w:spacing w:after="0"/>
              <w:rPr>
                <w:sz w:val="1"/>
                <w:szCs w:val="1"/>
                <w:color w:val="auto"/>
              </w:rPr>
            </w:pPr>
          </w:p>
        </w:tc>
      </w:tr>
      <w:tr>
        <w:trPr>
          <w:trHeight w:val="163"/>
        </w:trPr>
        <w:tc>
          <w:tcPr>
            <w:tcW w:w="6020" w:type="dxa"/>
            <w:vAlign w:val="bottom"/>
          </w:tcPr>
          <w:p>
            <w:pPr>
              <w:spacing w:after="0"/>
              <w:rPr>
                <w:sz w:val="20"/>
                <w:szCs w:val="20"/>
                <w:color w:val="auto"/>
              </w:rPr>
            </w:pPr>
            <w:r>
              <w:rPr>
                <w:rFonts w:ascii="Courier New" w:cs="Courier New" w:eastAsia="Courier New" w:hAnsi="Courier New"/>
                <w:sz w:val="14"/>
                <w:szCs w:val="14"/>
                <w:color w:val="auto"/>
              </w:rPr>
              <w:t>Consolidated Balance Sheets as of December 31, 1999 and 1998.</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F-4</w:t>
            </w:r>
          </w:p>
        </w:tc>
        <w:tc>
          <w:tcPr>
            <w:tcW w:w="0" w:type="dxa"/>
            <w:vAlign w:val="bottom"/>
          </w:tcPr>
          <w:p>
            <w:pPr>
              <w:spacing w:after="0"/>
              <w:rPr>
                <w:sz w:val="1"/>
                <w:szCs w:val="1"/>
                <w:color w:val="auto"/>
              </w:rPr>
            </w:pPr>
          </w:p>
        </w:tc>
      </w:tr>
      <w:tr>
        <w:trPr>
          <w:trHeight w:val="163"/>
        </w:trPr>
        <w:tc>
          <w:tcPr>
            <w:tcW w:w="602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 for the years ended</w:t>
            </w:r>
          </w:p>
        </w:tc>
        <w:tc>
          <w:tcPr>
            <w:tcW w:w="7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F-6</w:t>
            </w:r>
          </w:p>
        </w:tc>
        <w:tc>
          <w:tcPr>
            <w:tcW w:w="0" w:type="dxa"/>
            <w:vAlign w:val="bottom"/>
          </w:tcPr>
          <w:p>
            <w:pPr>
              <w:spacing w:after="0"/>
              <w:rPr>
                <w:sz w:val="1"/>
                <w:szCs w:val="1"/>
                <w:color w:val="auto"/>
              </w:rPr>
            </w:pPr>
          </w:p>
        </w:tc>
      </w:tr>
      <w:tr>
        <w:trPr>
          <w:trHeight w:val="163"/>
        </w:trPr>
        <w:tc>
          <w:tcPr>
            <w:tcW w:w="602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1999, 1998 and 1997.</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20" w:type="dxa"/>
            <w:vAlign w:val="bottom"/>
          </w:tcPr>
          <w:p>
            <w:pPr>
              <w:spacing w:after="0"/>
              <w:rPr>
                <w:sz w:val="20"/>
                <w:szCs w:val="20"/>
                <w:color w:val="auto"/>
              </w:rPr>
            </w:pPr>
            <w:r>
              <w:rPr>
                <w:rFonts w:ascii="Courier New" w:cs="Courier New" w:eastAsia="Courier New" w:hAnsi="Courier New"/>
                <w:sz w:val="14"/>
                <w:szCs w:val="14"/>
                <w:color w:val="auto"/>
              </w:rPr>
              <w:t>Consolidated Statements of Stockholders' Equity for the</w:t>
            </w:r>
          </w:p>
        </w:tc>
        <w:tc>
          <w:tcPr>
            <w:tcW w:w="7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F-8</w:t>
            </w:r>
          </w:p>
        </w:tc>
        <w:tc>
          <w:tcPr>
            <w:tcW w:w="0" w:type="dxa"/>
            <w:vAlign w:val="bottom"/>
          </w:tcPr>
          <w:p>
            <w:pPr>
              <w:spacing w:after="0"/>
              <w:rPr>
                <w:sz w:val="1"/>
                <w:szCs w:val="1"/>
                <w:color w:val="auto"/>
              </w:rPr>
            </w:pPr>
          </w:p>
        </w:tc>
      </w:tr>
      <w:tr>
        <w:trPr>
          <w:trHeight w:val="163"/>
        </w:trPr>
        <w:tc>
          <w:tcPr>
            <w:tcW w:w="6020" w:type="dxa"/>
            <w:vAlign w:val="bottom"/>
          </w:tcPr>
          <w:p>
            <w:pPr>
              <w:ind w:left="440"/>
              <w:spacing w:after="0"/>
              <w:rPr>
                <w:sz w:val="20"/>
                <w:szCs w:val="20"/>
                <w:color w:val="auto"/>
              </w:rPr>
            </w:pPr>
            <w:r>
              <w:rPr>
                <w:rFonts w:ascii="Courier New" w:cs="Courier New" w:eastAsia="Courier New" w:hAnsi="Courier New"/>
                <w:sz w:val="14"/>
                <w:szCs w:val="14"/>
                <w:color w:val="auto"/>
              </w:rPr>
              <w:t>years ended December 31, 1999, 1998 and 1997.</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2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 for the years</w:t>
            </w:r>
          </w:p>
        </w:tc>
        <w:tc>
          <w:tcPr>
            <w:tcW w:w="7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w w:val="95"/>
              </w:rPr>
              <w:t>F-10</w:t>
            </w:r>
          </w:p>
        </w:tc>
        <w:tc>
          <w:tcPr>
            <w:tcW w:w="0" w:type="dxa"/>
            <w:vAlign w:val="bottom"/>
          </w:tcPr>
          <w:p>
            <w:pPr>
              <w:spacing w:after="0"/>
              <w:rPr>
                <w:sz w:val="1"/>
                <w:szCs w:val="1"/>
                <w:color w:val="auto"/>
              </w:rPr>
            </w:pPr>
          </w:p>
        </w:tc>
      </w:tr>
      <w:tr>
        <w:trPr>
          <w:trHeight w:val="163"/>
        </w:trPr>
        <w:tc>
          <w:tcPr>
            <w:tcW w:w="602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1999, 1998 and 1997.</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r>
              <w:rPr>
                <w:rFonts w:ascii="Courier New" w:cs="Courier New" w:eastAsia="Courier New" w:hAnsi="Courier New"/>
                <w:sz w:val="14"/>
                <w:szCs w:val="14"/>
                <w:color w:val="auto"/>
              </w:rPr>
              <w:t>Notes to the Consolidated Financial Statements.</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w w:val="95"/>
              </w:rPr>
              <w:t>F-14</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Courier New" w:cs="Courier New" w:eastAsia="Courier New" w:hAnsi="Courier New"/>
                <w:sz w:val="14"/>
                <w:szCs w:val="14"/>
                <w:color w:val="auto"/>
              </w:rPr>
              <w:t>CONSOLIDATED FINANCIAL STATEMENTS OF</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6020" w:type="dxa"/>
            <w:vAlign w:val="bottom"/>
          </w:tcPr>
          <w:p>
            <w:pPr>
              <w:spacing w:after="0"/>
              <w:rPr>
                <w:sz w:val="20"/>
                <w:szCs w:val="20"/>
                <w:color w:val="auto"/>
              </w:rPr>
            </w:pPr>
            <w:r>
              <w:rPr>
                <w:rFonts w:ascii="Courier New" w:cs="Courier New" w:eastAsia="Courier New" w:hAnsi="Courier New"/>
                <w:sz w:val="14"/>
                <w:szCs w:val="14"/>
                <w:color w:val="auto"/>
              </w:rPr>
              <w:t>CORRECTIONS CORPORATION OF AMERICA</w:t>
            </w:r>
          </w:p>
        </w:tc>
        <w:tc>
          <w:tcPr>
            <w:tcW w:w="7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w w:val="95"/>
              </w:rPr>
              <w:t>F-59</w:t>
            </w:r>
          </w:p>
        </w:tc>
        <w:tc>
          <w:tcPr>
            <w:tcW w:w="0" w:type="dxa"/>
            <w:vAlign w:val="bottom"/>
          </w:tcPr>
          <w:p>
            <w:pPr>
              <w:spacing w:after="0"/>
              <w:rPr>
                <w:sz w:val="1"/>
                <w:szCs w:val="1"/>
                <w:color w:val="auto"/>
              </w:rPr>
            </w:pPr>
          </w:p>
        </w:tc>
      </w:tr>
      <w:tr>
        <w:trPr>
          <w:trHeight w:val="163"/>
        </w:trPr>
        <w:tc>
          <w:tcPr>
            <w:tcW w:w="6020" w:type="dxa"/>
            <w:vAlign w:val="bottom"/>
          </w:tcPr>
          <w:p>
            <w:pPr>
              <w:spacing w:after="0"/>
              <w:rPr>
                <w:sz w:val="20"/>
                <w:szCs w:val="20"/>
                <w:color w:val="auto"/>
              </w:rPr>
            </w:pPr>
            <w:r>
              <w:rPr>
                <w:rFonts w:ascii="Courier New" w:cs="Courier New" w:eastAsia="Courier New" w:hAnsi="Courier New"/>
                <w:sz w:val="14"/>
                <w:szCs w:val="14"/>
                <w:color w:val="auto"/>
              </w:rPr>
              <w:t>Report of Independent Public Accountants.</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20" w:type="dxa"/>
            <w:vAlign w:val="bottom"/>
          </w:tcPr>
          <w:p>
            <w:pPr>
              <w:spacing w:after="0"/>
              <w:rPr>
                <w:sz w:val="20"/>
                <w:szCs w:val="20"/>
                <w:color w:val="auto"/>
              </w:rPr>
            </w:pPr>
            <w:r>
              <w:rPr>
                <w:rFonts w:ascii="Courier New" w:cs="Courier New" w:eastAsia="Courier New" w:hAnsi="Courier New"/>
                <w:sz w:val="14"/>
                <w:szCs w:val="14"/>
                <w:color w:val="auto"/>
              </w:rPr>
              <w:t>Consolidated Balance Sheet as of December 31, 1999 and 1998.</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w w:val="95"/>
              </w:rPr>
              <w:t>F-60</w:t>
            </w:r>
          </w:p>
        </w:tc>
        <w:tc>
          <w:tcPr>
            <w:tcW w:w="0" w:type="dxa"/>
            <w:vAlign w:val="bottom"/>
          </w:tcPr>
          <w:p>
            <w:pPr>
              <w:spacing w:after="0"/>
              <w:rPr>
                <w:sz w:val="1"/>
                <w:szCs w:val="1"/>
                <w:color w:val="auto"/>
              </w:rPr>
            </w:pPr>
          </w:p>
        </w:tc>
      </w:tr>
      <w:tr>
        <w:trPr>
          <w:trHeight w:val="163"/>
        </w:trPr>
        <w:tc>
          <w:tcPr>
            <w:tcW w:w="6020" w:type="dxa"/>
            <w:vAlign w:val="bottom"/>
          </w:tcPr>
          <w:p>
            <w:pPr>
              <w:spacing w:after="0"/>
              <w:rPr>
                <w:sz w:val="20"/>
                <w:szCs w:val="20"/>
                <w:color w:val="auto"/>
              </w:rPr>
            </w:pPr>
            <w:r>
              <w:rPr>
                <w:rFonts w:ascii="Courier New" w:cs="Courier New" w:eastAsia="Courier New" w:hAnsi="Courier New"/>
                <w:sz w:val="14"/>
                <w:szCs w:val="14"/>
                <w:color w:val="auto"/>
              </w:rPr>
              <w:t>Consolidated Statement of Operations for the year ended</w:t>
            </w:r>
          </w:p>
        </w:tc>
        <w:tc>
          <w:tcPr>
            <w:tcW w:w="7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w w:val="95"/>
              </w:rPr>
              <w:t>F-61</w:t>
            </w:r>
          </w:p>
        </w:tc>
        <w:tc>
          <w:tcPr>
            <w:tcW w:w="0" w:type="dxa"/>
            <w:vAlign w:val="bottom"/>
          </w:tcPr>
          <w:p>
            <w:pPr>
              <w:spacing w:after="0"/>
              <w:rPr>
                <w:sz w:val="1"/>
                <w:szCs w:val="1"/>
                <w:color w:val="auto"/>
              </w:rPr>
            </w:pPr>
          </w:p>
        </w:tc>
      </w:tr>
      <w:tr>
        <w:trPr>
          <w:trHeight w:val="163"/>
        </w:trPr>
        <w:tc>
          <w:tcPr>
            <w:tcW w:w="602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1999.</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20" w:type="dxa"/>
            <w:vAlign w:val="bottom"/>
          </w:tcPr>
          <w:p>
            <w:pPr>
              <w:spacing w:after="0"/>
              <w:rPr>
                <w:sz w:val="20"/>
                <w:szCs w:val="20"/>
                <w:color w:val="auto"/>
              </w:rPr>
            </w:pPr>
            <w:r>
              <w:rPr>
                <w:rFonts w:ascii="Courier New" w:cs="Courier New" w:eastAsia="Courier New" w:hAnsi="Courier New"/>
                <w:sz w:val="14"/>
                <w:szCs w:val="14"/>
                <w:color w:val="auto"/>
              </w:rPr>
              <w:t>Consolidated Statements of Stockholders' Equity for the year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2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1999 and for the period from September 11, 1998</w:t>
            </w:r>
          </w:p>
        </w:tc>
        <w:tc>
          <w:tcPr>
            <w:tcW w:w="7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w w:val="95"/>
              </w:rPr>
              <w:t>F-62</w:t>
            </w:r>
          </w:p>
        </w:tc>
        <w:tc>
          <w:tcPr>
            <w:tcW w:w="0" w:type="dxa"/>
            <w:vAlign w:val="bottom"/>
          </w:tcPr>
          <w:p>
            <w:pPr>
              <w:spacing w:after="0"/>
              <w:rPr>
                <w:sz w:val="1"/>
                <w:szCs w:val="1"/>
                <w:color w:val="auto"/>
              </w:rPr>
            </w:pPr>
          </w:p>
        </w:tc>
      </w:tr>
      <w:tr>
        <w:trPr>
          <w:trHeight w:val="163"/>
        </w:trPr>
        <w:tc>
          <w:tcPr>
            <w:tcW w:w="6020" w:type="dxa"/>
            <w:vAlign w:val="bottom"/>
          </w:tcPr>
          <w:p>
            <w:pPr>
              <w:ind w:left="440"/>
              <w:spacing w:after="0"/>
              <w:rPr>
                <w:sz w:val="20"/>
                <w:szCs w:val="20"/>
                <w:color w:val="auto"/>
              </w:rPr>
            </w:pPr>
            <w:r>
              <w:rPr>
                <w:rFonts w:ascii="Courier New" w:cs="Courier New" w:eastAsia="Courier New" w:hAnsi="Courier New"/>
                <w:sz w:val="14"/>
                <w:szCs w:val="14"/>
                <w:color w:val="auto"/>
              </w:rPr>
              <w:t>through December 31, 1998.</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2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 for the year</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20" w:type="dxa"/>
            <w:vAlign w:val="bottom"/>
          </w:tcPr>
          <w:p>
            <w:pPr>
              <w:ind w:left="440"/>
              <w:spacing w:after="0"/>
              <w:rPr>
                <w:sz w:val="20"/>
                <w:szCs w:val="20"/>
                <w:color w:val="auto"/>
              </w:rPr>
            </w:pPr>
            <w:r>
              <w:rPr>
                <w:rFonts w:ascii="Courier New" w:cs="Courier New" w:eastAsia="Courier New" w:hAnsi="Courier New"/>
                <w:sz w:val="14"/>
                <w:szCs w:val="14"/>
                <w:color w:val="auto"/>
              </w:rPr>
              <w:t>ended December 31, 1999 and for the period from</w:t>
            </w:r>
          </w:p>
        </w:tc>
        <w:tc>
          <w:tcPr>
            <w:tcW w:w="7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w w:val="95"/>
              </w:rPr>
              <w:t>F-63</w:t>
            </w:r>
          </w:p>
        </w:tc>
        <w:tc>
          <w:tcPr>
            <w:tcW w:w="0" w:type="dxa"/>
            <w:vAlign w:val="bottom"/>
          </w:tcPr>
          <w:p>
            <w:pPr>
              <w:spacing w:after="0"/>
              <w:rPr>
                <w:sz w:val="1"/>
                <w:szCs w:val="1"/>
                <w:color w:val="auto"/>
              </w:rPr>
            </w:pPr>
          </w:p>
        </w:tc>
      </w:tr>
      <w:tr>
        <w:trPr>
          <w:trHeight w:val="163"/>
        </w:trPr>
        <w:tc>
          <w:tcPr>
            <w:tcW w:w="6020" w:type="dxa"/>
            <w:vAlign w:val="bottom"/>
          </w:tcPr>
          <w:p>
            <w:pPr>
              <w:ind w:left="440"/>
              <w:spacing w:after="0"/>
              <w:rPr>
                <w:sz w:val="20"/>
                <w:szCs w:val="20"/>
                <w:color w:val="auto"/>
              </w:rPr>
            </w:pPr>
            <w:r>
              <w:rPr>
                <w:rFonts w:ascii="Courier New" w:cs="Courier New" w:eastAsia="Courier New" w:hAnsi="Courier New"/>
                <w:sz w:val="14"/>
                <w:szCs w:val="14"/>
                <w:color w:val="auto"/>
              </w:rPr>
              <w:t>September 11, 1998 through December 31, 1998.</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r>
              <w:rPr>
                <w:rFonts w:ascii="Courier New" w:cs="Courier New" w:eastAsia="Courier New" w:hAnsi="Courier New"/>
                <w:sz w:val="14"/>
                <w:szCs w:val="14"/>
                <w:color w:val="auto"/>
              </w:rPr>
              <w:t>Notes to the Consolidated Financial Statements.</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w w:val="95"/>
              </w:rPr>
              <w:t>F-65</w:t>
            </w:r>
          </w:p>
        </w:tc>
        <w:tc>
          <w:tcPr>
            <w:tcW w:w="0" w:type="dxa"/>
            <w:vAlign w:val="bottom"/>
          </w:tcPr>
          <w:p>
            <w:pPr>
              <w:spacing w:after="0"/>
              <w:rPr>
                <w:sz w:val="1"/>
                <w:szCs w:val="1"/>
                <w:color w:val="auto"/>
              </w:rPr>
            </w:pPr>
          </w:p>
        </w:tc>
      </w:tr>
      <w:tr>
        <w:trPr>
          <w:trHeight w:val="652"/>
        </w:trPr>
        <w:tc>
          <w:tcPr>
            <w:tcW w:w="6020" w:type="dxa"/>
            <w:vAlign w:val="bottom"/>
          </w:tcPr>
          <w:p>
            <w:pPr>
              <w:ind w:left="3220"/>
              <w:spacing w:after="0"/>
              <w:rPr>
                <w:sz w:val="20"/>
                <w:szCs w:val="20"/>
                <w:color w:val="auto"/>
              </w:rPr>
            </w:pPr>
            <w:r>
              <w:rPr>
                <w:rFonts w:ascii="Courier New" w:cs="Courier New" w:eastAsia="Courier New" w:hAnsi="Courier New"/>
                <w:sz w:val="14"/>
                <w:szCs w:val="14"/>
                <w:color w:val="auto"/>
              </w:rPr>
              <w:t>F-1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257"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120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December 31, 1999 and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with Report of Independent Public Accountants</w:t>
      </w:r>
    </w:p>
    <w:p>
      <w:pPr>
        <w:spacing w:after="0" w:line="30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159"/>
          </w:cols>
          <w:pgMar w:left="300" w:top="257"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121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Prison Realty Trust, Inc:</w:t>
      </w:r>
    </w:p>
    <w:p>
      <w:pPr>
        <w:spacing w:after="0" w:line="168"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We have audited the accompanying consolidated balance sheets of PRISON REALTY TRUST, INC. (a Maryland corporation and formerly Prison Realty Corporation - See Note 1) and subsidiaries as of December 31, 1999 and 1998, and the related consolidated statements of operations, stockholders' equity and cash flows for each of the three years in the period ended December 31, 1999. These financial statements are the responsibility of Prison Realty Trust, Inc.'s management. Our responsibility is to express an opinion on these financial statements based on our audits.</w:t>
      </w:r>
    </w:p>
    <w:p>
      <w:pPr>
        <w:spacing w:after="0" w:line="77"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8"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Prison Realty Trust, Inc. and subsidiaries as of December 31, 1999 and 1998, and the results of their operations and their cash flows for each of the three years in the period ended December 31, 1999, in conformity with accounting principles generally accepted in the United States.</w:t>
      </w:r>
    </w:p>
    <w:p>
      <w:pPr>
        <w:spacing w:after="0" w:line="71" w:lineRule="exact"/>
        <w:rPr>
          <w:sz w:val="20"/>
          <w:szCs w:val="20"/>
          <w:color w:val="auto"/>
        </w:rPr>
      </w:pPr>
    </w:p>
    <w:p>
      <w:pPr>
        <w:ind w:right="3359"/>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Prison Realty Trust, Inc. will continue as a going concern. As discussed in Notes 2, 12 and 22 to the consolidated financial statements, Prison Realty Trust, Inc. is in default under its secured bank credit facility, is in default under certain of its convertible subordinated notes payable obligations and has significant outstanding shareholder and other litigation matters. Also, Prison Realty Trust, Inc. has limited resources currently available to meet its operating, capital expenditure and debt service requirements during 2000. In addition, as discussed in Notes 2 and 5 to the consolidated financial statements, Prison Realty Trust, Inc.'s primary lessee, Corrections Corporation of America, incurred a net loss of $202.9 million for the year ended December 31, 1999, has a net working capital deficiency and a net capital deficiency at December 31, 1999, is in default under its revolving credit facility and is in default under its promissory note payable to Prison Realty Trust, Inc. Also, the independent public accountants of Corrections Corporation of America have indicated in their opinion on the respective 1999 consolidated financial statements that there is substantial doubt about Corrections Corporation of America's ability to continue as a going concern. These matters concerning Prison Realty Trust, Inc. and Corrections Corporation of America raise substantial doubt about Prison Realty Trust, Inc.'s ability to continue as a going concern. Management's plans in regard to these matters are described in Notes 2 and 23. The accompanying consolidated financial statements do not include any adjustments relating to the recoverability of asset carrying amounts or the amounts of liabilities that might result should Prison Realty Trust, Inc. be unable to continue as a going concern.</w:t>
      </w:r>
    </w:p>
    <w:p>
      <w:pPr>
        <w:sectPr>
          <w:pgSz w:w="11900" w:h="16838" w:orient="portrait"/>
          <w:cols w:equalWidth="0" w:num="1">
            <w:col w:w="10159"/>
          </w:cols>
          <w:pgMar w:left="300" w:top="257" w:right="1440" w:bottom="1440" w:gutter="0" w:footer="0" w:header="0"/>
        </w:sectPr>
      </w:pP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2000</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389" w:lineRule="exact"/>
        <w:rPr>
          <w:sz w:val="20"/>
          <w:szCs w:val="20"/>
          <w:color w:val="auto"/>
        </w:rPr>
      </w:pPr>
    </w:p>
    <w:p>
      <w:pPr>
        <w:sectPr>
          <w:pgSz w:w="11900" w:h="16838" w:orient="portrait"/>
          <w:cols w:equalWidth="0" w:num="2">
            <w:col w:w="3780" w:space="720"/>
            <w:col w:w="5659"/>
          </w:cols>
          <w:pgMar w:left="300" w:top="257" w:right="1440" w:bottom="1440" w:gutter="0" w:footer="0" w:header="0"/>
          <w:type w:val="continuous"/>
        </w:sectPr>
      </w:pPr>
    </w:p>
    <w:p>
      <w:pPr>
        <w:spacing w:after="0" w:line="10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159"/>
          </w:cols>
          <w:pgMar w:left="300" w:top="257" w:right="1440"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122</w:t>
            </w:r>
          </w:p>
        </w:tc>
        <w:tc>
          <w:tcPr>
            <w:tcW w:w="1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2"/>
        </w:trPr>
        <w:tc>
          <w:tcPr>
            <w:tcW w:w="5560" w:type="dxa"/>
            <w:vAlign w:val="bottom"/>
            <w:gridSpan w:val="2"/>
          </w:tcPr>
          <w:p>
            <w:pPr>
              <w:jc w:val="center"/>
              <w:ind w:left="1169"/>
              <w:spacing w:after="0"/>
              <w:rPr>
                <w:sz w:val="20"/>
                <w:szCs w:val="20"/>
                <w:color w:val="auto"/>
              </w:rPr>
            </w:pPr>
            <w:r>
              <w:rPr>
                <w:rFonts w:ascii="Courier New" w:cs="Courier New" w:eastAsia="Courier New" w:hAnsi="Courier New"/>
                <w:sz w:val="14"/>
                <w:szCs w:val="14"/>
                <w:color w:val="auto"/>
              </w:rPr>
              <w:t>PRISON REALTY TRUST, INC. AND SUBSIDIARIES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5560" w:type="dxa"/>
            <w:vAlign w:val="bottom"/>
            <w:gridSpan w:val="2"/>
          </w:tcPr>
          <w:p>
            <w:pPr>
              <w:jc w:val="right"/>
              <w:ind w:right="909"/>
              <w:spacing w:after="0"/>
              <w:rPr>
                <w:sz w:val="20"/>
                <w:szCs w:val="20"/>
                <w:color w:val="auto"/>
              </w:rPr>
            </w:pPr>
            <w:r>
              <w:rPr>
                <w:rFonts w:ascii="Courier New" w:cs="Courier New" w:eastAsia="Courier New" w:hAnsi="Courier New"/>
                <w:sz w:val="14"/>
                <w:szCs w:val="14"/>
                <w:color w:val="auto"/>
              </w:rPr>
              <w:t>CONSOLIDATED BALANCE SHEETS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5560" w:type="dxa"/>
            <w:vAlign w:val="bottom"/>
            <w:gridSpan w:val="2"/>
          </w:tcPr>
          <w:p>
            <w:pPr>
              <w:jc w:val="center"/>
              <w:ind w:left="1169"/>
              <w:spacing w:after="0"/>
              <w:rPr>
                <w:sz w:val="20"/>
                <w:szCs w:val="20"/>
                <w:color w:val="auto"/>
              </w:rPr>
            </w:pPr>
            <w:r>
              <w:rPr>
                <w:rFonts w:ascii="Courier New" w:cs="Courier New" w:eastAsia="Courier New" w:hAnsi="Courier New"/>
                <w:sz w:val="14"/>
                <w:szCs w:val="14"/>
                <w:color w:val="auto"/>
              </w:rPr>
              <w:t>DECEMBER 31, 1999 AND 1998</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080" w:type="dxa"/>
            <w:vAlign w:val="bottom"/>
          </w:tcPr>
          <w:p>
            <w:pPr>
              <w:jc w:val="center"/>
              <w:ind w:left="2649"/>
              <w:spacing w:after="0"/>
              <w:rPr>
                <w:sz w:val="20"/>
                <w:szCs w:val="20"/>
                <w:color w:val="auto"/>
              </w:rPr>
            </w:pPr>
            <w:r>
              <w:rPr>
                <w:rFonts w:ascii="Courier New" w:cs="Courier New" w:eastAsia="Courier New" w:hAnsi="Courier New"/>
                <w:sz w:val="14"/>
                <w:szCs w:val="14"/>
                <w:color w:val="auto"/>
              </w:rPr>
              <w:t>(IN THOUSANDS)</w:t>
            </w: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1"/>
        </w:trPr>
        <w:tc>
          <w:tcPr>
            <w:tcW w:w="4080" w:type="dxa"/>
            <w:vAlign w:val="bottom"/>
          </w:tcPr>
          <w:p>
            <w:pPr>
              <w:ind w:left="1780"/>
              <w:spacing w:after="0"/>
              <w:rPr>
                <w:sz w:val="20"/>
                <w:szCs w:val="20"/>
                <w:color w:val="auto"/>
              </w:rPr>
            </w:pPr>
            <w:r>
              <w:rPr>
                <w:rFonts w:ascii="Courier New" w:cs="Courier New" w:eastAsia="Courier New" w:hAnsi="Courier New"/>
                <w:sz w:val="14"/>
                <w:szCs w:val="14"/>
                <w:color w:val="auto"/>
              </w:rPr>
              <w:t>ASSETS</w:t>
            </w:r>
          </w:p>
        </w:tc>
        <w:tc>
          <w:tcPr>
            <w:tcW w:w="148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1999</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4080" w:type="dxa"/>
            <w:vAlign w:val="bottom"/>
          </w:tcPr>
          <w:p>
            <w:pPr>
              <w:spacing w:after="0"/>
              <w:rPr>
                <w:sz w:val="20"/>
                <w:szCs w:val="20"/>
                <w:color w:val="auto"/>
              </w:rPr>
            </w:pPr>
            <w:r>
              <w:rPr>
                <w:rFonts w:ascii="Courier New" w:cs="Courier New" w:eastAsia="Courier New" w:hAnsi="Courier New"/>
                <w:sz w:val="14"/>
                <w:szCs w:val="14"/>
                <w:color w:val="auto"/>
              </w:rPr>
              <w:t>Real estate properties:</w:t>
            </w:r>
          </w:p>
        </w:tc>
        <w:tc>
          <w:tcPr>
            <w:tcW w:w="148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$ 2,258,281</w:t>
            </w:r>
          </w:p>
        </w:tc>
        <w:tc>
          <w:tcPr>
            <w:tcW w:w="14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   637,640</w:t>
            </w:r>
          </w:p>
        </w:tc>
        <w:tc>
          <w:tcPr>
            <w:tcW w:w="0" w:type="dxa"/>
            <w:vAlign w:val="bottom"/>
          </w:tcPr>
          <w:p>
            <w:pPr>
              <w:spacing w:after="0"/>
              <w:rPr>
                <w:sz w:val="1"/>
                <w:szCs w:val="1"/>
                <w:color w:val="auto"/>
              </w:rPr>
            </w:pPr>
          </w:p>
        </w:tc>
      </w:tr>
      <w:tr>
        <w:trPr>
          <w:trHeight w:val="163"/>
        </w:trPr>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Correctional and detention facilities</w:t>
            </w:r>
          </w:p>
        </w:tc>
        <w:tc>
          <w:tcPr>
            <w:tcW w:w="14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Less accumulated depreciation</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(49,785)</w:t>
            </w:r>
          </w:p>
        </w:tc>
        <w:tc>
          <w:tcPr>
            <w:tcW w:w="14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(10,251)</w:t>
            </w:r>
          </w:p>
        </w:tc>
        <w:tc>
          <w:tcPr>
            <w:tcW w:w="0" w:type="dxa"/>
            <w:vAlign w:val="bottom"/>
          </w:tcPr>
          <w:p>
            <w:pPr>
              <w:spacing w:after="0"/>
              <w:rPr>
                <w:sz w:val="1"/>
                <w:szCs w:val="1"/>
                <w:color w:val="auto"/>
              </w:rPr>
            </w:pPr>
          </w:p>
        </w:tc>
      </w:tr>
      <w:tr>
        <w:trPr>
          <w:trHeight w:val="163"/>
        </w:trPr>
        <w:tc>
          <w:tcPr>
            <w:tcW w:w="4080" w:type="dxa"/>
            <w:vAlign w:val="bottom"/>
            <w:vMerge w:val="restart"/>
          </w:tcPr>
          <w:p>
            <w:pPr>
              <w:ind w:left="860"/>
              <w:spacing w:after="0"/>
              <w:rPr>
                <w:sz w:val="20"/>
                <w:szCs w:val="20"/>
                <w:color w:val="auto"/>
              </w:rPr>
            </w:pPr>
            <w:r>
              <w:rPr>
                <w:rFonts w:ascii="Courier New" w:cs="Courier New" w:eastAsia="Courier New" w:hAnsi="Courier New"/>
                <w:sz w:val="14"/>
                <w:szCs w:val="14"/>
                <w:color w:val="auto"/>
              </w:rPr>
              <w:t>Net real estate properties</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4080" w:type="dxa"/>
            <w:vAlign w:val="bottom"/>
            <w:vMerge w:val="continue"/>
          </w:tcPr>
          <w:p>
            <w:pPr>
              <w:spacing w:after="0"/>
              <w:rPr>
                <w:sz w:val="20"/>
                <w:szCs w:val="20"/>
                <w:color w:val="auto"/>
              </w:rPr>
            </w:pP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2,208,496</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627,389</w:t>
            </w:r>
          </w:p>
        </w:tc>
        <w:tc>
          <w:tcPr>
            <w:tcW w:w="0" w:type="dxa"/>
            <w:vAlign w:val="bottom"/>
          </w:tcPr>
          <w:p>
            <w:pPr>
              <w:spacing w:after="0"/>
              <w:rPr>
                <w:sz w:val="1"/>
                <w:szCs w:val="1"/>
                <w:color w:val="auto"/>
              </w:rPr>
            </w:pPr>
          </w:p>
        </w:tc>
      </w:tr>
      <w:tr>
        <w:trPr>
          <w:trHeight w:val="252"/>
        </w:trPr>
        <w:tc>
          <w:tcPr>
            <w:tcW w:w="40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84,493</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31,141</w:t>
            </w:r>
          </w:p>
        </w:tc>
        <w:tc>
          <w:tcPr>
            <w:tcW w:w="0" w:type="dxa"/>
            <w:vAlign w:val="bottom"/>
          </w:tcPr>
          <w:p>
            <w:pPr>
              <w:spacing w:after="0"/>
              <w:rPr>
                <w:sz w:val="1"/>
                <w:szCs w:val="1"/>
                <w:color w:val="auto"/>
              </w:rPr>
            </w:pP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24,409</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Note receivable from New CCA</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137,000</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137,000</w:t>
            </w:r>
          </w:p>
        </w:tc>
        <w:tc>
          <w:tcPr>
            <w:tcW w:w="0" w:type="dxa"/>
            <w:vAlign w:val="bottom"/>
          </w:tcPr>
          <w:p>
            <w:pPr>
              <w:spacing w:after="0"/>
              <w:rPr>
                <w:sz w:val="1"/>
                <w:szCs w:val="1"/>
                <w:color w:val="auto"/>
              </w:rPr>
            </w:pP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Investments in affiliates</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118,232</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127,691</w:t>
            </w:r>
          </w:p>
        </w:tc>
        <w:tc>
          <w:tcPr>
            <w:tcW w:w="0" w:type="dxa"/>
            <w:vAlign w:val="bottom"/>
          </w:tcPr>
          <w:p>
            <w:pPr>
              <w:spacing w:after="0"/>
              <w:rPr>
                <w:sz w:val="1"/>
                <w:szCs w:val="1"/>
                <w:color w:val="auto"/>
              </w:rPr>
            </w:pP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Investments in direct financing leases</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74,059</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77,809</w:t>
            </w:r>
          </w:p>
        </w:tc>
        <w:tc>
          <w:tcPr>
            <w:tcW w:w="0" w:type="dxa"/>
            <w:vAlign w:val="bottom"/>
          </w:tcPr>
          <w:p>
            <w:pPr>
              <w:spacing w:after="0"/>
              <w:rPr>
                <w:sz w:val="1"/>
                <w:szCs w:val="1"/>
                <w:color w:val="auto"/>
              </w:rPr>
            </w:pP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51,200</w:t>
            </w:r>
          </w:p>
        </w:tc>
        <w:tc>
          <w:tcPr>
            <w:tcW w:w="0" w:type="dxa"/>
            <w:vAlign w:val="bottom"/>
          </w:tcPr>
          <w:p>
            <w:pPr>
              <w:spacing w:after="0"/>
              <w:rPr>
                <w:sz w:val="1"/>
                <w:szCs w:val="1"/>
                <w:color w:val="auto"/>
              </w:rPr>
            </w:pP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Receivable from New CCA</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28,608</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60,625</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38,207</w:t>
            </w:r>
          </w:p>
        </w:tc>
        <w:tc>
          <w:tcPr>
            <w:tcW w:w="0" w:type="dxa"/>
            <w:vAlign w:val="bottom"/>
          </w:tcPr>
          <w:p>
            <w:pPr>
              <w:spacing w:after="0"/>
              <w:rPr>
                <w:sz w:val="1"/>
                <w:szCs w:val="1"/>
                <w:color w:val="auto"/>
              </w:rPr>
            </w:pPr>
          </w:p>
        </w:tc>
      </w:tr>
      <w:tr>
        <w:trPr>
          <w:trHeight w:val="163"/>
        </w:trPr>
        <w:tc>
          <w:tcPr>
            <w:tcW w:w="4080" w:type="dxa"/>
            <w:vAlign w:val="bottom"/>
            <w:vMerge w:val="restart"/>
          </w:tcPr>
          <w:p>
            <w:pPr>
              <w:ind w:left="860"/>
              <w:spacing w:after="0"/>
              <w:rPr>
                <w:sz w:val="20"/>
                <w:szCs w:val="20"/>
                <w:color w:val="auto"/>
              </w:rPr>
            </w:pPr>
            <w:r>
              <w:rPr>
                <w:rFonts w:ascii="Courier New" w:cs="Courier New" w:eastAsia="Courier New" w:hAnsi="Courier New"/>
                <w:sz w:val="14"/>
                <w:szCs w:val="14"/>
                <w:color w:val="auto"/>
              </w:rPr>
              <w:t>Total assets</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80" w:type="dxa"/>
            <w:vAlign w:val="bottom"/>
            <w:vMerge w:val="continue"/>
          </w:tcPr>
          <w:p>
            <w:pPr>
              <w:spacing w:after="0"/>
              <w:rPr>
                <w:sz w:val="14"/>
                <w:szCs w:val="14"/>
                <w:color w:val="auto"/>
              </w:rPr>
            </w:pP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$ 2,735,922</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$ 1,090,437</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(Continued)</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159"/>
          </w:cols>
          <w:pgMar w:left="300" w:top="257" w:right="1440"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8"/>
        </w:trPr>
        <w:tc>
          <w:tcPr>
            <w:tcW w:w="7180" w:type="dxa"/>
            <w:vAlign w:val="bottom"/>
          </w:tcPr>
          <w:p>
            <w:pPr>
              <w:ind w:left="260"/>
              <w:spacing w:after="0"/>
              <w:rPr>
                <w:sz w:val="20"/>
                <w:szCs w:val="20"/>
                <w:color w:val="auto"/>
              </w:rPr>
            </w:pPr>
            <w:r>
              <w:rPr>
                <w:rFonts w:ascii="Courier New" w:cs="Courier New" w:eastAsia="Courier New" w:hAnsi="Courier New"/>
                <w:sz w:val="14"/>
                <w:szCs w:val="14"/>
                <w:color w:val="auto"/>
              </w:rPr>
              <w:t>123</w:t>
            </w: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2"/>
        </w:trPr>
        <w:tc>
          <w:tcPr>
            <w:tcW w:w="7180" w:type="dxa"/>
            <w:vAlign w:val="bottom"/>
          </w:tcPr>
          <w:p>
            <w:pPr>
              <w:jc w:val="center"/>
              <w:ind w:right="309"/>
              <w:spacing w:after="0"/>
              <w:rPr>
                <w:sz w:val="20"/>
                <w:szCs w:val="20"/>
                <w:color w:val="auto"/>
              </w:rPr>
            </w:pPr>
            <w:r>
              <w:rPr>
                <w:rFonts w:ascii="Courier New" w:cs="Courier New" w:eastAsia="Courier New" w:hAnsi="Courier New"/>
                <w:sz w:val="14"/>
                <w:szCs w:val="14"/>
                <w:color w:val="auto"/>
              </w:rPr>
              <w:t>PRISON REALTY TRUST, INC. AND SUBSIDIARIES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7180" w:type="dxa"/>
            <w:vAlign w:val="bottom"/>
          </w:tcPr>
          <w:p>
            <w:pPr>
              <w:ind w:left="2300"/>
              <w:spacing w:after="0"/>
              <w:rPr>
                <w:sz w:val="20"/>
                <w:szCs w:val="20"/>
                <w:color w:val="auto"/>
              </w:rPr>
            </w:pPr>
            <w:r>
              <w:rPr>
                <w:rFonts w:ascii="Courier New" w:cs="Courier New" w:eastAsia="Courier New" w:hAnsi="Courier New"/>
                <w:sz w:val="14"/>
                <w:szCs w:val="14"/>
                <w:color w:val="auto"/>
              </w:rPr>
              <w:t>CONSOLIDATED BALANCE SHEETS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180" w:type="dxa"/>
            <w:vAlign w:val="bottom"/>
          </w:tcPr>
          <w:p>
            <w:pPr>
              <w:jc w:val="center"/>
              <w:ind w:right="309"/>
              <w:spacing w:after="0"/>
              <w:rPr>
                <w:sz w:val="20"/>
                <w:szCs w:val="20"/>
                <w:color w:val="auto"/>
              </w:rPr>
            </w:pPr>
            <w:r>
              <w:rPr>
                <w:rFonts w:ascii="Courier New" w:cs="Courier New" w:eastAsia="Courier New" w:hAnsi="Courier New"/>
                <w:sz w:val="14"/>
                <w:szCs w:val="14"/>
                <w:color w:val="auto"/>
              </w:rPr>
              <w:t>DECEMBER 31, 1999 AND 1998</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180" w:type="dxa"/>
            <w:vAlign w:val="bottom"/>
          </w:tcPr>
          <w:p>
            <w:pPr>
              <w:jc w:val="center"/>
              <w:ind w:right="309"/>
              <w:spacing w:after="0"/>
              <w:rPr>
                <w:sz w:val="20"/>
                <w:szCs w:val="20"/>
                <w:color w:val="auto"/>
              </w:rPr>
            </w:pPr>
            <w:r>
              <w:rPr>
                <w:rFonts w:ascii="Courier New" w:cs="Courier New" w:eastAsia="Courier New" w:hAnsi="Courier New"/>
                <w:sz w:val="14"/>
                <w:szCs w:val="14"/>
                <w:color w:val="auto"/>
              </w:rPr>
              <w:t>(IN THOUSANDS)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180" w:type="dxa"/>
            <w:vAlign w:val="bottom"/>
          </w:tcPr>
          <w:p>
            <w:pPr>
              <w:ind w:left="2980"/>
              <w:spacing w:after="0"/>
              <w:rPr>
                <w:sz w:val="20"/>
                <w:szCs w:val="20"/>
                <w:color w:val="auto"/>
              </w:rPr>
            </w:pPr>
            <w:r>
              <w:rPr>
                <w:rFonts w:ascii="Courier New" w:cs="Courier New" w:eastAsia="Courier New" w:hAnsi="Courier New"/>
                <w:sz w:val="14"/>
                <w:szCs w:val="14"/>
                <w:color w:val="auto"/>
              </w:rPr>
              <w:t>(Continued)</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LIABILITIES AND STOCKHOLDERS' EQUITY</w:t>
            </w:r>
          </w:p>
        </w:tc>
        <w:tc>
          <w:tcPr>
            <w:tcW w:w="460" w:type="dxa"/>
            <w:vAlign w:val="bottom"/>
          </w:tcPr>
          <w:p>
            <w:pPr>
              <w:spacing w:after="0"/>
              <w:rPr>
                <w:sz w:val="24"/>
                <w:szCs w:val="24"/>
                <w:color w:val="auto"/>
              </w:rPr>
            </w:pPr>
          </w:p>
        </w:tc>
        <w:tc>
          <w:tcPr>
            <w:tcW w:w="122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24"/>
                <w:szCs w:val="24"/>
                <w:color w:val="auto"/>
              </w:rPr>
            </w:pPr>
          </w:p>
        </w:tc>
        <w:tc>
          <w:tcPr>
            <w:tcW w:w="9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38"/>
        </w:trPr>
        <w:tc>
          <w:tcPr>
            <w:tcW w:w="7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60" w:type="dxa"/>
            <w:vAlign w:val="bottom"/>
          </w:tcPr>
          <w:p>
            <w:pPr>
              <w:spacing w:after="0"/>
              <w:rPr>
                <w:sz w:val="20"/>
                <w:szCs w:val="20"/>
                <w:color w:val="auto"/>
              </w:rPr>
            </w:pP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9"/>
              </w:rPr>
              <w:t>-----------</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718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460" w:type="dxa"/>
            <w:vAlign w:val="bottom"/>
            <w:vMerge w:val="restart"/>
          </w:tcPr>
          <w:p>
            <w:pPr>
              <w:ind w:left="280"/>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2,150</w:t>
            </w:r>
          </w:p>
        </w:tc>
        <w:tc>
          <w:tcPr>
            <w:tcW w:w="4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Distributions payable</w:t>
            </w:r>
          </w:p>
        </w:tc>
        <w:tc>
          <w:tcPr>
            <w:tcW w:w="4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Bank credit facility</w:t>
            </w:r>
          </w:p>
        </w:tc>
        <w:tc>
          <w:tcPr>
            <w:tcW w:w="460" w:type="dxa"/>
            <w:vAlign w:val="bottom"/>
          </w:tcPr>
          <w:p>
            <w:pPr>
              <w:spacing w:after="0"/>
              <w:rPr>
                <w:sz w:val="14"/>
                <w:szCs w:val="14"/>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928,234</w:t>
            </w: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222,000</w:t>
            </w: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Senior notes payable</w:t>
            </w:r>
          </w:p>
        </w:tc>
        <w:tc>
          <w:tcPr>
            <w:tcW w:w="460" w:type="dxa"/>
            <w:vAlign w:val="bottom"/>
          </w:tcPr>
          <w:p>
            <w:pPr>
              <w:spacing w:after="0"/>
              <w:rPr>
                <w:sz w:val="14"/>
                <w:szCs w:val="14"/>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100,000</w:t>
            </w: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Convertible subordinated notes and other debt</w:t>
            </w:r>
          </w:p>
        </w:tc>
        <w:tc>
          <w:tcPr>
            <w:tcW w:w="460" w:type="dxa"/>
            <w:vAlign w:val="bottom"/>
          </w:tcPr>
          <w:p>
            <w:pPr>
              <w:spacing w:after="0"/>
              <w:rPr>
                <w:sz w:val="14"/>
                <w:szCs w:val="14"/>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70,757</w:t>
            </w: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77,833</w:t>
            </w: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Accounts payable and accrued expenses</w:t>
            </w:r>
          </w:p>
        </w:tc>
        <w:tc>
          <w:tcPr>
            <w:tcW w:w="460" w:type="dxa"/>
            <w:vAlign w:val="bottom"/>
          </w:tcPr>
          <w:p>
            <w:pPr>
              <w:spacing w:after="0"/>
              <w:rPr>
                <w:sz w:val="14"/>
                <w:szCs w:val="14"/>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70,911</w:t>
            </w: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81,200</w:t>
            </w: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Income taxes payable</w:t>
            </w:r>
          </w:p>
        </w:tc>
        <w:tc>
          <w:tcPr>
            <w:tcW w:w="460" w:type="dxa"/>
            <w:vAlign w:val="bottom"/>
          </w:tcPr>
          <w:p>
            <w:pPr>
              <w:spacing w:after="0"/>
              <w:rPr>
                <w:sz w:val="14"/>
                <w:szCs w:val="14"/>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5,476</w:t>
            </w: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14,966</w:t>
            </w: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Deferred gains on real estate transactions</w:t>
            </w:r>
          </w:p>
        </w:tc>
        <w:tc>
          <w:tcPr>
            <w:tcW w:w="460" w:type="dxa"/>
            <w:vAlign w:val="bottom"/>
          </w:tcPr>
          <w:p>
            <w:pPr>
              <w:spacing w:after="0"/>
              <w:rPr>
                <w:sz w:val="14"/>
                <w:szCs w:val="14"/>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125,751</w:t>
            </w: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Deferred gains on sales of contracts</w:t>
            </w:r>
          </w:p>
        </w:tc>
        <w:tc>
          <w:tcPr>
            <w:tcW w:w="460" w:type="dxa"/>
            <w:vAlign w:val="bottom"/>
          </w:tcPr>
          <w:p>
            <w:pPr>
              <w:spacing w:after="0"/>
              <w:rPr>
                <w:sz w:val="14"/>
                <w:szCs w:val="14"/>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106,045</w:t>
            </w: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116,701</w:t>
            </w: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Other liabilities</w:t>
            </w:r>
          </w:p>
        </w:tc>
        <w:tc>
          <w:tcPr>
            <w:tcW w:w="460" w:type="dxa"/>
            <w:vAlign w:val="bottom"/>
          </w:tcPr>
          <w:p>
            <w:pPr>
              <w:spacing w:after="0"/>
              <w:rPr>
                <w:sz w:val="14"/>
                <w:szCs w:val="14"/>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32,000</w:t>
            </w: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180" w:type="dxa"/>
            <w:vAlign w:val="bottom"/>
            <w:vMerge w:val="restart"/>
          </w:tcPr>
          <w:p>
            <w:pPr>
              <w:ind w:left="860"/>
              <w:spacing w:after="0"/>
              <w:rPr>
                <w:sz w:val="20"/>
                <w:szCs w:val="20"/>
                <w:color w:val="auto"/>
              </w:rPr>
            </w:pPr>
            <w:r>
              <w:rPr>
                <w:rFonts w:ascii="Courier New" w:cs="Courier New" w:eastAsia="Courier New" w:hAnsi="Courier New"/>
                <w:sz w:val="14"/>
                <w:szCs w:val="14"/>
                <w:color w:val="auto"/>
              </w:rPr>
              <w:t>Total liabilities</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0"/>
              </w:rPr>
              <w:t>-----------</w:t>
            </w:r>
          </w:p>
        </w:tc>
        <w:tc>
          <w:tcPr>
            <w:tcW w:w="122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w w:val="97"/>
              </w:rPr>
              <w:t>1,315,573</w:t>
            </w:r>
          </w:p>
        </w:tc>
        <w:tc>
          <w:tcPr>
            <w:tcW w:w="14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1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638,451</w:t>
            </w:r>
          </w:p>
        </w:tc>
        <w:tc>
          <w:tcPr>
            <w:tcW w:w="0" w:type="dxa"/>
            <w:vAlign w:val="bottom"/>
          </w:tcPr>
          <w:p>
            <w:pPr>
              <w:spacing w:after="0"/>
              <w:rPr>
                <w:sz w:val="1"/>
                <w:szCs w:val="1"/>
                <w:color w:val="auto"/>
              </w:rPr>
            </w:pPr>
          </w:p>
        </w:tc>
      </w:tr>
      <w:tr>
        <w:trPr>
          <w:trHeight w:val="238"/>
        </w:trPr>
        <w:tc>
          <w:tcPr>
            <w:tcW w:w="7180" w:type="dxa"/>
            <w:vAlign w:val="bottom"/>
            <w:vMerge w:val="restart"/>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68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1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71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Preferred stock - Series A - $.01 (one cent) par value; 20,000 shares</w:t>
            </w: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180" w:type="dxa"/>
            <w:vAlign w:val="bottom"/>
          </w:tcPr>
          <w:p>
            <w:pPr>
              <w:ind w:left="600"/>
              <w:spacing w:after="0"/>
              <w:rPr>
                <w:sz w:val="20"/>
                <w:szCs w:val="20"/>
                <w:color w:val="auto"/>
              </w:rPr>
            </w:pPr>
            <w:r>
              <w:rPr>
                <w:rFonts w:ascii="Courier New" w:cs="Courier New" w:eastAsia="Courier New" w:hAnsi="Courier New"/>
                <w:sz w:val="14"/>
                <w:szCs w:val="14"/>
                <w:color w:val="auto"/>
              </w:rPr>
              <w:t>authorized; 4,300 shares issued and outstanding at December 31, 1999;</w:t>
            </w:r>
          </w:p>
        </w:tc>
        <w:tc>
          <w:tcPr>
            <w:tcW w:w="460" w:type="dxa"/>
            <w:vAlign w:val="bottom"/>
          </w:tcPr>
          <w:p>
            <w:pPr>
              <w:spacing w:after="0"/>
              <w:rPr>
                <w:sz w:val="14"/>
                <w:szCs w:val="14"/>
                <w:color w:val="auto"/>
              </w:rPr>
            </w:pPr>
          </w:p>
        </w:tc>
        <w:tc>
          <w:tcPr>
            <w:tcW w:w="122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107,500</w:t>
            </w:r>
          </w:p>
        </w:tc>
        <w:tc>
          <w:tcPr>
            <w:tcW w:w="440" w:type="dxa"/>
            <w:vAlign w:val="bottom"/>
          </w:tcPr>
          <w:p>
            <w:pPr>
              <w:spacing w:after="0"/>
              <w:rPr>
                <w:sz w:val="14"/>
                <w:szCs w:val="14"/>
                <w:color w:val="auto"/>
              </w:rPr>
            </w:pPr>
          </w:p>
        </w:tc>
        <w:tc>
          <w:tcPr>
            <w:tcW w:w="9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180" w:type="dxa"/>
            <w:vAlign w:val="bottom"/>
          </w:tcPr>
          <w:p>
            <w:pPr>
              <w:ind w:left="600"/>
              <w:spacing w:after="0"/>
              <w:rPr>
                <w:sz w:val="20"/>
                <w:szCs w:val="20"/>
                <w:color w:val="auto"/>
              </w:rPr>
            </w:pPr>
            <w:r>
              <w:rPr>
                <w:rFonts w:ascii="Courier New" w:cs="Courier New" w:eastAsia="Courier New" w:hAnsi="Courier New"/>
                <w:sz w:val="14"/>
                <w:szCs w:val="14"/>
                <w:color w:val="auto"/>
              </w:rPr>
              <w:t>stated at liquidation preference of $25 (twenty five dollars) per share</w:t>
            </w:r>
          </w:p>
        </w:tc>
        <w:tc>
          <w:tcPr>
            <w:tcW w:w="4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Common stock - $.01 (one cent) par value; 300,000 shares authorized; 118,406</w:t>
            </w: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180" w:type="dxa"/>
            <w:vAlign w:val="bottom"/>
          </w:tcPr>
          <w:p>
            <w:pPr>
              <w:ind w:left="600"/>
              <w:spacing w:after="0"/>
              <w:rPr>
                <w:sz w:val="20"/>
                <w:szCs w:val="20"/>
                <w:color w:val="auto"/>
              </w:rPr>
            </w:pPr>
            <w:r>
              <w:rPr>
                <w:rFonts w:ascii="Courier New" w:cs="Courier New" w:eastAsia="Courier New" w:hAnsi="Courier New"/>
                <w:sz w:val="14"/>
                <w:szCs w:val="14"/>
                <w:color w:val="auto"/>
              </w:rPr>
              <w:t>and 79,956 shares issued and 118,394 and 79,956 shares outstanding at</w:t>
            </w:r>
          </w:p>
        </w:tc>
        <w:tc>
          <w:tcPr>
            <w:tcW w:w="460" w:type="dxa"/>
            <w:vAlign w:val="bottom"/>
          </w:tcPr>
          <w:p>
            <w:pPr>
              <w:spacing w:after="0"/>
              <w:rPr>
                <w:sz w:val="14"/>
                <w:szCs w:val="14"/>
                <w:color w:val="auto"/>
              </w:rPr>
            </w:pPr>
          </w:p>
        </w:tc>
        <w:tc>
          <w:tcPr>
            <w:tcW w:w="122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1,184</w:t>
            </w:r>
          </w:p>
        </w:tc>
        <w:tc>
          <w:tcPr>
            <w:tcW w:w="440" w:type="dxa"/>
            <w:vAlign w:val="bottom"/>
          </w:tcPr>
          <w:p>
            <w:pPr>
              <w:spacing w:after="0"/>
              <w:rPr>
                <w:sz w:val="14"/>
                <w:szCs w:val="14"/>
                <w:color w:val="auto"/>
              </w:rPr>
            </w:pPr>
          </w:p>
        </w:tc>
        <w:tc>
          <w:tcPr>
            <w:tcW w:w="9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800</w:t>
            </w:r>
          </w:p>
        </w:tc>
        <w:tc>
          <w:tcPr>
            <w:tcW w:w="0" w:type="dxa"/>
            <w:vAlign w:val="bottom"/>
          </w:tcPr>
          <w:p>
            <w:pPr>
              <w:spacing w:after="0"/>
              <w:rPr>
                <w:sz w:val="1"/>
                <w:szCs w:val="1"/>
                <w:color w:val="auto"/>
              </w:rPr>
            </w:pPr>
          </w:p>
        </w:tc>
      </w:tr>
      <w:tr>
        <w:trPr>
          <w:trHeight w:val="163"/>
        </w:trPr>
        <w:tc>
          <w:tcPr>
            <w:tcW w:w="7180" w:type="dxa"/>
            <w:vAlign w:val="bottom"/>
          </w:tcPr>
          <w:p>
            <w:pPr>
              <w:ind w:left="600"/>
              <w:spacing w:after="0"/>
              <w:rPr>
                <w:sz w:val="20"/>
                <w:szCs w:val="20"/>
                <w:color w:val="auto"/>
              </w:rPr>
            </w:pPr>
            <w:r>
              <w:rPr>
                <w:rFonts w:ascii="Courier New" w:cs="Courier New" w:eastAsia="Courier New" w:hAnsi="Courier New"/>
                <w:sz w:val="14"/>
                <w:szCs w:val="14"/>
                <w:color w:val="auto"/>
              </w:rPr>
              <w:t>December 31, 1999 and 1998, respectively</w:t>
            </w:r>
          </w:p>
        </w:tc>
        <w:tc>
          <w:tcPr>
            <w:tcW w:w="4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Treasury stock, 12 shares, at cost</w:t>
            </w:r>
          </w:p>
        </w:tc>
        <w:tc>
          <w:tcPr>
            <w:tcW w:w="460" w:type="dxa"/>
            <w:vAlign w:val="bottom"/>
          </w:tcPr>
          <w:p>
            <w:pPr>
              <w:spacing w:after="0"/>
              <w:rPr>
                <w:sz w:val="14"/>
                <w:szCs w:val="14"/>
                <w:color w:val="auto"/>
              </w:rPr>
            </w:pP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(242)</w:t>
            </w: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Additional paid-in capital</w:t>
            </w:r>
          </w:p>
        </w:tc>
        <w:tc>
          <w:tcPr>
            <w:tcW w:w="460" w:type="dxa"/>
            <w:vAlign w:val="bottom"/>
          </w:tcPr>
          <w:p>
            <w:pPr>
              <w:spacing w:after="0"/>
              <w:rPr>
                <w:sz w:val="14"/>
                <w:szCs w:val="14"/>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7"/>
              </w:rPr>
              <w:t>1,347,227</w:t>
            </w: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398,493</w:t>
            </w: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Retained earnings</w:t>
            </w:r>
          </w:p>
        </w:tc>
        <w:tc>
          <w:tcPr>
            <w:tcW w:w="460" w:type="dxa"/>
            <w:vAlign w:val="bottom"/>
          </w:tcPr>
          <w:p>
            <w:pPr>
              <w:spacing w:after="0"/>
              <w:rPr>
                <w:sz w:val="14"/>
                <w:szCs w:val="14"/>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52,693</w:t>
            </w: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Cumulative net income</w:t>
            </w:r>
          </w:p>
        </w:tc>
        <w:tc>
          <w:tcPr>
            <w:tcW w:w="460" w:type="dxa"/>
            <w:vAlign w:val="bottom"/>
          </w:tcPr>
          <w:p>
            <w:pPr>
              <w:spacing w:after="0"/>
              <w:rPr>
                <w:sz w:val="14"/>
                <w:szCs w:val="14"/>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29,824</w:t>
            </w: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180" w:type="dxa"/>
            <w:vAlign w:val="bottom"/>
          </w:tcPr>
          <w:p>
            <w:pPr>
              <w:ind w:left="340"/>
              <w:spacing w:after="0"/>
              <w:rPr>
                <w:sz w:val="20"/>
                <w:szCs w:val="20"/>
                <w:color w:val="auto"/>
              </w:rPr>
            </w:pPr>
            <w:r>
              <w:rPr>
                <w:rFonts w:ascii="Courier New" w:cs="Courier New" w:eastAsia="Courier New" w:hAnsi="Courier New"/>
                <w:sz w:val="14"/>
                <w:szCs w:val="14"/>
                <w:color w:val="auto"/>
              </w:rPr>
              <w:t>Accumulated distributions</w:t>
            </w:r>
          </w:p>
        </w:tc>
        <w:tc>
          <w:tcPr>
            <w:tcW w:w="460" w:type="dxa"/>
            <w:vAlign w:val="bottom"/>
          </w:tcPr>
          <w:p>
            <w:pPr>
              <w:spacing w:after="0"/>
              <w:rPr>
                <w:sz w:val="14"/>
                <w:szCs w:val="14"/>
                <w:color w:val="auto"/>
              </w:rPr>
            </w:pP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(65,144)</w:t>
            </w: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180" w:type="dxa"/>
            <w:vAlign w:val="bottom"/>
            <w:vMerge w:val="restart"/>
          </w:tcPr>
          <w:p>
            <w:pPr>
              <w:ind w:left="860"/>
              <w:spacing w:after="0"/>
              <w:rPr>
                <w:sz w:val="20"/>
                <w:szCs w:val="20"/>
                <w:color w:val="auto"/>
              </w:rPr>
            </w:pPr>
            <w:r>
              <w:rPr>
                <w:rFonts w:ascii="Courier New" w:cs="Courier New" w:eastAsia="Courier New" w:hAnsi="Courier New"/>
                <w:sz w:val="14"/>
                <w:szCs w:val="14"/>
                <w:color w:val="auto"/>
              </w:rPr>
              <w:t>Total stockholders' equity</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0"/>
              </w:rPr>
              <w:t>-----------</w:t>
            </w:r>
          </w:p>
        </w:tc>
        <w:tc>
          <w:tcPr>
            <w:tcW w:w="122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w w:val="97"/>
              </w:rPr>
              <w:t>1,420,349</w:t>
            </w:r>
          </w:p>
        </w:tc>
        <w:tc>
          <w:tcPr>
            <w:tcW w:w="14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1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451,986</w:t>
            </w:r>
          </w:p>
        </w:tc>
        <w:tc>
          <w:tcPr>
            <w:tcW w:w="0" w:type="dxa"/>
            <w:vAlign w:val="bottom"/>
          </w:tcPr>
          <w:p>
            <w:pPr>
              <w:spacing w:after="0"/>
              <w:rPr>
                <w:sz w:val="1"/>
                <w:szCs w:val="1"/>
                <w:color w:val="auto"/>
              </w:rPr>
            </w:pPr>
          </w:p>
        </w:tc>
      </w:tr>
      <w:tr>
        <w:trPr>
          <w:trHeight w:val="163"/>
        </w:trPr>
        <w:tc>
          <w:tcPr>
            <w:tcW w:w="7180" w:type="dxa"/>
            <w:vAlign w:val="bottom"/>
            <w:vMerge w:val="restart"/>
          </w:tcPr>
          <w:p>
            <w:pPr>
              <w:ind w:left="8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460" w:type="dxa"/>
            <w:vAlign w:val="bottom"/>
            <w:vMerge w:val="restart"/>
          </w:tcPr>
          <w:p>
            <w:pPr>
              <w:ind w:left="280"/>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122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w w:val="97"/>
              </w:rPr>
              <w:t>2,735,922</w:t>
            </w:r>
          </w:p>
        </w:tc>
        <w:tc>
          <w:tcPr>
            <w:tcW w:w="14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1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4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$ 1,090,437</w:t>
            </w:r>
          </w:p>
        </w:tc>
        <w:tc>
          <w:tcPr>
            <w:tcW w:w="0" w:type="dxa"/>
            <w:vAlign w:val="bottom"/>
          </w:tcPr>
          <w:p>
            <w:pPr>
              <w:spacing w:after="0"/>
              <w:rPr>
                <w:sz w:val="1"/>
                <w:szCs w:val="1"/>
                <w:color w:val="auto"/>
              </w:rPr>
            </w:pPr>
          </w:p>
        </w:tc>
      </w:tr>
      <w:tr>
        <w:trPr>
          <w:trHeight w:val="238"/>
        </w:trPr>
        <w:tc>
          <w:tcPr>
            <w:tcW w:w="7180" w:type="dxa"/>
            <w:vAlign w:val="bottom"/>
          </w:tcPr>
          <w:p>
            <w:pPr>
              <w:spacing w:after="0"/>
              <w:rPr>
                <w:sz w:val="20"/>
                <w:szCs w:val="20"/>
                <w:color w:val="auto"/>
              </w:rPr>
            </w:pPr>
          </w:p>
        </w:tc>
        <w:tc>
          <w:tcPr>
            <w:tcW w:w="168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60"/>
          </w:cols>
          <w:pgMar w:left="300" w:top="257" w:right="1339"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124</w:t>
      </w:r>
    </w:p>
    <w:p>
      <w:pPr>
        <w:spacing w:after="0" w:line="168"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331"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168"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40" w:type="dxa"/>
            <w:vAlign w:val="bottom"/>
          </w:tcPr>
          <w:p>
            <w:pPr>
              <w:spacing w:after="0"/>
              <w:rPr>
                <w:sz w:val="14"/>
                <w:szCs w:val="14"/>
                <w:color w:val="auto"/>
              </w:rPr>
            </w:pPr>
          </w:p>
        </w:tc>
        <w:tc>
          <w:tcPr>
            <w:tcW w:w="15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14"/>
                <w:szCs w:val="14"/>
                <w:color w:val="auto"/>
              </w:rPr>
            </w:pPr>
          </w:p>
        </w:tc>
        <w:tc>
          <w:tcPr>
            <w:tcW w:w="10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1998</w:t>
            </w:r>
          </w:p>
        </w:tc>
        <w:tc>
          <w:tcPr>
            <w:tcW w:w="460" w:type="dxa"/>
            <w:vAlign w:val="bottom"/>
          </w:tcPr>
          <w:p>
            <w:pPr>
              <w:spacing w:after="0"/>
              <w:rPr>
                <w:sz w:val="14"/>
                <w:szCs w:val="14"/>
                <w:color w:val="auto"/>
              </w:rPr>
            </w:pP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48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2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$ 270,134</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Rental revenues</w:t>
            </w:r>
          </w:p>
        </w:tc>
        <w:tc>
          <w:tcPr>
            <w:tcW w:w="15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Interest income</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6,885</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Licensing fees</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8,699</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Management and other revenues</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662,059</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462,249</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285,718</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662,059</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462,249</w:t>
            </w: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48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52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44,062</w:t>
            </w:r>
          </w:p>
        </w:tc>
        <w:tc>
          <w:tcPr>
            <w:tcW w:w="480" w:type="dxa"/>
            <w:vAlign w:val="bottom"/>
          </w:tcPr>
          <w:p>
            <w:pPr>
              <w:spacing w:after="0"/>
              <w:rPr>
                <w:sz w:val="21"/>
                <w:szCs w:val="21"/>
                <w:color w:val="auto"/>
              </w:rPr>
            </w:pPr>
          </w:p>
        </w:tc>
        <w:tc>
          <w:tcPr>
            <w:tcW w:w="106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14,363</w:t>
            </w:r>
          </w:p>
        </w:tc>
        <w:tc>
          <w:tcPr>
            <w:tcW w:w="460" w:type="dxa"/>
            <w:vAlign w:val="bottom"/>
          </w:tcPr>
          <w:p>
            <w:pPr>
              <w:spacing w:after="0"/>
              <w:rPr>
                <w:sz w:val="21"/>
                <w:szCs w:val="21"/>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13,378</w:t>
            </w: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Depreciation and amortization</w:t>
            </w:r>
          </w:p>
        </w:tc>
        <w:tc>
          <w:tcPr>
            <w:tcW w:w="15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General and administrative</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24,125</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28,628</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16,025</w:t>
            </w: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Operating</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496,522</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330,470</w:t>
            </w: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Lease</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58,018</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18,684</w:t>
            </w: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Write-off of amounts under lease arrangements</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65,677</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Impairment loss</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76,433</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New CCA compensation charge</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22,850</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210,297</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620,381</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378,557</w:t>
            </w:r>
          </w:p>
        </w:tc>
        <w:tc>
          <w:tcPr>
            <w:tcW w:w="0" w:type="dxa"/>
            <w:vAlign w:val="bottom"/>
          </w:tcPr>
          <w:p>
            <w:pPr>
              <w:spacing w:after="0"/>
              <w:rPr>
                <w:sz w:val="1"/>
                <w:szCs w:val="1"/>
                <w:color w:val="auto"/>
              </w:rPr>
            </w:pPr>
          </w:p>
        </w:tc>
      </w:tr>
      <w:tr>
        <w:trPr>
          <w:trHeight w:val="163"/>
        </w:trPr>
        <w:tc>
          <w:tcPr>
            <w:tcW w:w="484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INCOME</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vMerge w:val="continue"/>
          </w:tcPr>
          <w:p>
            <w:pPr>
              <w:spacing w:after="0"/>
              <w:rPr>
                <w:sz w:val="14"/>
                <w:szCs w:val="14"/>
                <w:color w:val="auto"/>
              </w:rPr>
            </w:pP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75,421</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41,678</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83,692</w:t>
            </w:r>
          </w:p>
        </w:tc>
        <w:tc>
          <w:tcPr>
            <w:tcW w:w="0" w:type="dxa"/>
            <w:vAlign w:val="bottom"/>
          </w:tcPr>
          <w:p>
            <w:pPr>
              <w:spacing w:after="0"/>
              <w:rPr>
                <w:sz w:val="1"/>
                <w:szCs w:val="1"/>
                <w:color w:val="auto"/>
              </w:rPr>
            </w:pPr>
          </w:p>
        </w:tc>
      </w:tr>
      <w:tr>
        <w:trPr>
          <w:trHeight w:val="238"/>
        </w:trPr>
        <w:tc>
          <w:tcPr>
            <w:tcW w:w="4840" w:type="dxa"/>
            <w:vAlign w:val="bottom"/>
            <w:vMerge w:val="restart"/>
          </w:tcPr>
          <w:p>
            <w:pPr>
              <w:spacing w:after="0"/>
              <w:rPr>
                <w:sz w:val="20"/>
                <w:szCs w:val="20"/>
                <w:color w:val="auto"/>
              </w:rPr>
            </w:pPr>
            <w:r>
              <w:rPr>
                <w:rFonts w:ascii="Courier New" w:cs="Courier New" w:eastAsia="Courier New" w:hAnsi="Courier New"/>
                <w:sz w:val="14"/>
                <w:szCs w:val="14"/>
                <w:color w:val="auto"/>
              </w:rPr>
              <w:t>OTHER INCOME (EXPENSE):</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484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Equity in earnings of unconsolidated entities and</w:t>
            </w:r>
          </w:p>
        </w:tc>
        <w:tc>
          <w:tcPr>
            <w:tcW w:w="152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22,886</w:t>
            </w:r>
          </w:p>
        </w:tc>
        <w:tc>
          <w:tcPr>
            <w:tcW w:w="480" w:type="dxa"/>
            <w:vAlign w:val="bottom"/>
          </w:tcPr>
          <w:p>
            <w:pPr>
              <w:spacing w:after="0"/>
              <w:rPr>
                <w:sz w:val="14"/>
                <w:szCs w:val="14"/>
                <w:color w:val="auto"/>
              </w:rPr>
            </w:pPr>
          </w:p>
        </w:tc>
        <w:tc>
          <w:tcPr>
            <w:tcW w:w="106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amortization of deferred gain</w:t>
            </w:r>
          </w:p>
        </w:tc>
        <w:tc>
          <w:tcPr>
            <w:tcW w:w="15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Interest expense</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(51,921)</w:t>
            </w:r>
          </w:p>
        </w:tc>
        <w:tc>
          <w:tcPr>
            <w:tcW w:w="48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(8,619)</w:t>
            </w:r>
          </w:p>
        </w:tc>
        <w:tc>
          <w:tcPr>
            <w:tcW w:w="4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(7,368)</w:t>
            </w: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Interest income</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11,389</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10,772</w:t>
            </w: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Write-offs of loan costs</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(14,567)</w:t>
            </w:r>
          </w:p>
        </w:tc>
        <w:tc>
          <w:tcPr>
            <w:tcW w:w="48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(2,043)</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Loss on disposals of assets</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(1,995)</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(45,597)</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727</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3,404</w:t>
            </w:r>
          </w:p>
        </w:tc>
        <w:tc>
          <w:tcPr>
            <w:tcW w:w="0" w:type="dxa"/>
            <w:vAlign w:val="bottom"/>
          </w:tcPr>
          <w:p>
            <w:pPr>
              <w:spacing w:after="0"/>
              <w:rPr>
                <w:sz w:val="1"/>
                <w:szCs w:val="1"/>
                <w:color w:val="auto"/>
              </w:rPr>
            </w:pPr>
          </w:p>
        </w:tc>
      </w:tr>
      <w:tr>
        <w:trPr>
          <w:trHeight w:val="163"/>
        </w:trPr>
        <w:tc>
          <w:tcPr>
            <w:tcW w:w="4840" w:type="dxa"/>
            <w:vAlign w:val="bottom"/>
            <w:vMerge w:val="restart"/>
          </w:tcPr>
          <w:p>
            <w:pPr>
              <w:spacing w:after="0"/>
              <w:rPr>
                <w:sz w:val="20"/>
                <w:szCs w:val="20"/>
                <w:color w:val="auto"/>
              </w:rPr>
            </w:pPr>
            <w:r>
              <w:rPr>
                <w:rFonts w:ascii="Courier New" w:cs="Courier New" w:eastAsia="Courier New" w:hAnsi="Courier New"/>
                <w:sz w:val="14"/>
                <w:szCs w:val="14"/>
                <w:color w:val="auto"/>
              </w:rPr>
              <w:t>INCOME BEFORE INCOME TAXES</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vMerge w:val="continue"/>
          </w:tcPr>
          <w:p>
            <w:pPr>
              <w:spacing w:after="0"/>
              <w:rPr>
                <w:sz w:val="14"/>
                <w:szCs w:val="14"/>
                <w:color w:val="auto"/>
              </w:rPr>
            </w:pP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29,824</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42,405</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87,096</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20"/>
                <w:szCs w:val="20"/>
                <w:color w:val="auto"/>
              </w:rPr>
            </w:pPr>
            <w:r>
              <w:rPr>
                <w:rFonts w:ascii="Courier New" w:cs="Courier New" w:eastAsia="Courier New" w:hAnsi="Courier New"/>
                <w:sz w:val="14"/>
                <w:szCs w:val="14"/>
                <w:color w:val="auto"/>
              </w:rPr>
              <w:t>PROVISION FOR CHANGE IN TAX STATUS</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83,200</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15,424</w:t>
            </w:r>
          </w:p>
        </w:tc>
        <w:tc>
          <w:tcPr>
            <w:tcW w:w="4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33,141</w:t>
            </w: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INCOME (LOSS) BEFORE CUMULATIVE EFFECT OF ACCOUNTING</w:t>
            </w:r>
          </w:p>
        </w:tc>
        <w:tc>
          <w:tcPr>
            <w:tcW w:w="15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(53,376)</w:t>
            </w:r>
          </w:p>
        </w:tc>
        <w:tc>
          <w:tcPr>
            <w:tcW w:w="480" w:type="dxa"/>
            <w:vAlign w:val="bottom"/>
          </w:tcPr>
          <w:p>
            <w:pPr>
              <w:spacing w:after="0"/>
              <w:rPr>
                <w:sz w:val="21"/>
                <w:szCs w:val="21"/>
                <w:color w:val="auto"/>
              </w:rPr>
            </w:pPr>
          </w:p>
        </w:tc>
        <w:tc>
          <w:tcPr>
            <w:tcW w:w="106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26,981</w:t>
            </w:r>
          </w:p>
        </w:tc>
        <w:tc>
          <w:tcPr>
            <w:tcW w:w="460" w:type="dxa"/>
            <w:vAlign w:val="bottom"/>
          </w:tcPr>
          <w:p>
            <w:pPr>
              <w:spacing w:after="0"/>
              <w:rPr>
                <w:sz w:val="21"/>
                <w:szCs w:val="21"/>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53,955</w:t>
            </w:r>
          </w:p>
        </w:tc>
        <w:tc>
          <w:tcPr>
            <w:tcW w:w="0" w:type="dxa"/>
            <w:vAlign w:val="bottom"/>
          </w:tcPr>
          <w:p>
            <w:pPr>
              <w:spacing w:after="0"/>
              <w:rPr>
                <w:sz w:val="1"/>
                <w:szCs w:val="1"/>
                <w:color w:val="auto"/>
              </w:rPr>
            </w:pPr>
          </w:p>
        </w:tc>
      </w:tr>
      <w:tr>
        <w:trPr>
          <w:trHeight w:val="238"/>
        </w:trPr>
        <w:tc>
          <w:tcPr>
            <w:tcW w:w="4840" w:type="dxa"/>
            <w:vAlign w:val="bottom"/>
          </w:tcPr>
          <w:p>
            <w:pPr>
              <w:ind w:left="340"/>
              <w:spacing w:after="0"/>
              <w:rPr>
                <w:sz w:val="20"/>
                <w:szCs w:val="20"/>
                <w:color w:val="auto"/>
              </w:rPr>
            </w:pPr>
            <w:r>
              <w:rPr>
                <w:rFonts w:ascii="Courier New" w:cs="Courier New" w:eastAsia="Courier New" w:hAnsi="Courier New"/>
                <w:sz w:val="14"/>
                <w:szCs w:val="14"/>
                <w:color w:val="auto"/>
              </w:rPr>
              <w:t>CHANGE</w:t>
            </w:r>
          </w:p>
        </w:tc>
        <w:tc>
          <w:tcPr>
            <w:tcW w:w="15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 NET OF TAXES</w:t>
            </w:r>
          </w:p>
        </w:tc>
        <w:tc>
          <w:tcPr>
            <w:tcW w:w="152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106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16,145</w:t>
            </w:r>
          </w:p>
        </w:tc>
        <w:tc>
          <w:tcPr>
            <w:tcW w:w="460" w:type="dxa"/>
            <w:vAlign w:val="bottom"/>
          </w:tcPr>
          <w:p>
            <w:pPr>
              <w:spacing w:after="0"/>
              <w:rPr>
                <w:sz w:val="24"/>
                <w:szCs w:val="2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484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84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4840" w:type="dxa"/>
            <w:vAlign w:val="bottom"/>
            <w:vMerge w:val="continue"/>
          </w:tcPr>
          <w:p>
            <w:pPr>
              <w:spacing w:after="0"/>
              <w:rPr>
                <w:sz w:val="20"/>
                <w:szCs w:val="20"/>
                <w:color w:val="auto"/>
              </w:rPr>
            </w:pP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(53,376)</w:t>
            </w:r>
          </w:p>
        </w:tc>
        <w:tc>
          <w:tcPr>
            <w:tcW w:w="480" w:type="dxa"/>
            <w:vAlign w:val="bottom"/>
          </w:tcPr>
          <w:p>
            <w:pPr>
              <w:spacing w:after="0"/>
              <w:rPr>
                <w:sz w:val="20"/>
                <w:szCs w:val="20"/>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10,836</w:t>
            </w:r>
          </w:p>
        </w:tc>
        <w:tc>
          <w:tcPr>
            <w:tcW w:w="460" w:type="dxa"/>
            <w:vAlign w:val="bottom"/>
          </w:tcPr>
          <w:p>
            <w:pPr>
              <w:spacing w:after="0"/>
              <w:rPr>
                <w:sz w:val="20"/>
                <w:szCs w:val="20"/>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53,955</w:t>
            </w:r>
          </w:p>
        </w:tc>
        <w:tc>
          <w:tcPr>
            <w:tcW w:w="0" w:type="dxa"/>
            <w:vAlign w:val="bottom"/>
          </w:tcPr>
          <w:p>
            <w:pPr>
              <w:spacing w:after="0"/>
              <w:rPr>
                <w:sz w:val="1"/>
                <w:szCs w:val="1"/>
                <w:color w:val="auto"/>
              </w:rPr>
            </w:pPr>
          </w:p>
        </w:tc>
      </w:tr>
      <w:tr>
        <w:trPr>
          <w:trHeight w:val="252"/>
        </w:trPr>
        <w:tc>
          <w:tcPr>
            <w:tcW w:w="4840" w:type="dxa"/>
            <w:vAlign w:val="bottom"/>
          </w:tcPr>
          <w:p>
            <w:pPr>
              <w:spacing w:after="0"/>
              <w:rPr>
                <w:sz w:val="20"/>
                <w:szCs w:val="20"/>
                <w:color w:val="auto"/>
              </w:rPr>
            </w:pPr>
            <w:r>
              <w:rPr>
                <w:rFonts w:ascii="Courier New" w:cs="Courier New" w:eastAsia="Courier New" w:hAnsi="Courier New"/>
                <w:sz w:val="14"/>
                <w:szCs w:val="14"/>
                <w:color w:val="auto"/>
              </w:rPr>
              <w:t>DIVIDENDS TO PREFERRED SHAREHOLDERS</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(8,600)</w:t>
            </w:r>
          </w:p>
        </w:tc>
        <w:tc>
          <w:tcPr>
            <w:tcW w:w="480" w:type="dxa"/>
            <w:vAlign w:val="bottom"/>
          </w:tcPr>
          <w:p>
            <w:pPr>
              <w:spacing w:after="0"/>
              <w:rPr>
                <w:sz w:val="21"/>
                <w:szCs w:val="21"/>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21"/>
                <w:szCs w:val="21"/>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 AVAILABLE TO COMMON SHAREHOLDERS</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vMerge w:val="continue"/>
          </w:tcPr>
          <w:p>
            <w:pPr>
              <w:spacing w:after="0"/>
              <w:rPr>
                <w:sz w:val="14"/>
                <w:szCs w:val="14"/>
                <w:color w:val="auto"/>
              </w:rPr>
            </w:pP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(61,976)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10,836</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53,955</w:t>
            </w: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(Continued)</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159"/>
          </w:cols>
          <w:pgMar w:left="300" w:top="257"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125</w:t>
      </w:r>
    </w:p>
    <w:p>
      <w:pPr>
        <w:spacing w:after="0" w:line="200" w:lineRule="exact"/>
        <w:rPr>
          <w:sz w:val="20"/>
          <w:szCs w:val="20"/>
          <w:color w:val="auto"/>
        </w:rPr>
      </w:pPr>
    </w:p>
    <w:p>
      <w:pPr>
        <w:spacing w:after="0" w:line="294"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331"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168"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ind w:left="2980"/>
              <w:spacing w:after="0"/>
              <w:rPr>
                <w:sz w:val="20"/>
                <w:szCs w:val="20"/>
                <w:color w:val="auto"/>
              </w:rPr>
            </w:pPr>
            <w:r>
              <w:rPr>
                <w:rFonts w:ascii="Courier New" w:cs="Courier New" w:eastAsia="Courier New" w:hAnsi="Courier New"/>
                <w:sz w:val="14"/>
                <w:szCs w:val="14"/>
                <w:color w:val="auto"/>
              </w:rPr>
              <w:t>(Continued)</w:t>
            </w: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8"/>
        </w:trPr>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540" w:type="dxa"/>
            <w:vAlign w:val="bottom"/>
          </w:tcPr>
          <w:p>
            <w:pPr>
              <w:spacing w:after="0"/>
              <w:rPr>
                <w:sz w:val="24"/>
                <w:szCs w:val="24"/>
                <w:color w:val="auto"/>
              </w:rPr>
            </w:pPr>
          </w:p>
        </w:tc>
        <w:tc>
          <w:tcPr>
            <w:tcW w:w="110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1998</w:t>
            </w:r>
          </w:p>
        </w:tc>
        <w:tc>
          <w:tcPr>
            <w:tcW w:w="520" w:type="dxa"/>
            <w:vAlign w:val="bottom"/>
          </w:tcPr>
          <w:p>
            <w:pPr>
              <w:spacing w:after="0"/>
              <w:rPr>
                <w:sz w:val="24"/>
                <w:szCs w:val="24"/>
                <w:color w:val="auto"/>
              </w:rPr>
            </w:pPr>
          </w:p>
        </w:tc>
        <w:tc>
          <w:tcPr>
            <w:tcW w:w="7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17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0"/>
                <w:szCs w:val="20"/>
                <w:color w:val="auto"/>
              </w:rPr>
            </w:pPr>
            <w:r>
              <w:rPr>
                <w:rFonts w:ascii="Courier New" w:cs="Courier New" w:eastAsia="Courier New" w:hAnsi="Courier New"/>
                <w:sz w:val="14"/>
                <w:szCs w:val="14"/>
                <w:color w:val="auto"/>
              </w:rPr>
              <w:t>BASIC NET INCOME (LOSS) AVAILABLE TO COMMON SHAREHOLDERS</w:t>
            </w: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5100" w:type="dxa"/>
            <w:vAlign w:val="bottom"/>
          </w:tcPr>
          <w:p>
            <w:pPr>
              <w:ind w:left="340"/>
              <w:spacing w:after="0"/>
              <w:rPr>
                <w:sz w:val="20"/>
                <w:szCs w:val="20"/>
                <w:color w:val="auto"/>
              </w:rPr>
            </w:pPr>
            <w:r>
              <w:rPr>
                <w:rFonts w:ascii="Courier New" w:cs="Courier New" w:eastAsia="Courier New" w:hAnsi="Courier New"/>
                <w:sz w:val="14"/>
                <w:szCs w:val="14"/>
                <w:color w:val="auto"/>
              </w:rPr>
              <w:t>PER COMMON SHARE:</w:t>
            </w:r>
          </w:p>
        </w:tc>
        <w:tc>
          <w:tcPr>
            <w:tcW w:w="5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(.54)</w:t>
            </w:r>
          </w:p>
        </w:tc>
        <w:tc>
          <w:tcPr>
            <w:tcW w:w="5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.38</w:t>
            </w:r>
          </w:p>
        </w:tc>
        <w:tc>
          <w:tcPr>
            <w:tcW w:w="5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.80</w:t>
            </w:r>
          </w:p>
        </w:tc>
        <w:tc>
          <w:tcPr>
            <w:tcW w:w="0" w:type="dxa"/>
            <w:vAlign w:val="bottom"/>
          </w:tcPr>
          <w:p>
            <w:pPr>
              <w:spacing w:after="0"/>
              <w:rPr>
                <w:sz w:val="1"/>
                <w:szCs w:val="1"/>
                <w:color w:val="auto"/>
              </w:rPr>
            </w:pPr>
          </w:p>
        </w:tc>
      </w:tr>
      <w:tr>
        <w:trPr>
          <w:trHeight w:val="163"/>
        </w:trPr>
        <w:tc>
          <w:tcPr>
            <w:tcW w:w="5100" w:type="dxa"/>
            <w:vAlign w:val="bottom"/>
          </w:tcPr>
          <w:p>
            <w:pPr>
              <w:ind w:left="340"/>
              <w:spacing w:after="0"/>
              <w:rPr>
                <w:sz w:val="20"/>
                <w:szCs w:val="20"/>
                <w:color w:val="auto"/>
              </w:rPr>
            </w:pPr>
            <w:r>
              <w:rPr>
                <w:rFonts w:ascii="Courier New" w:cs="Courier New" w:eastAsia="Courier New" w:hAnsi="Courier New"/>
                <w:sz w:val="14"/>
                <w:szCs w:val="14"/>
                <w:color w:val="auto"/>
              </w:rPr>
              <w:t>Before cumulative effect of accounting change</w:t>
            </w:r>
          </w:p>
        </w:tc>
        <w:tc>
          <w:tcPr>
            <w:tcW w:w="5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00" w:type="dxa"/>
            <w:vAlign w:val="bottom"/>
          </w:tcPr>
          <w:p>
            <w:pPr>
              <w:ind w:left="340"/>
              <w:spacing w:after="0"/>
              <w:rPr>
                <w:sz w:val="20"/>
                <w:szCs w:val="20"/>
                <w:color w:val="auto"/>
              </w:rPr>
            </w:pPr>
            <w:r>
              <w:rPr>
                <w:rFonts w:ascii="Courier New" w:cs="Courier New" w:eastAsia="Courier New" w:hAnsi="Courier New"/>
                <w:sz w:val="14"/>
                <w:szCs w:val="14"/>
                <w:color w:val="auto"/>
              </w:rPr>
              <w:t>Cumulative effect of accounting change</w:t>
            </w:r>
          </w:p>
        </w:tc>
        <w:tc>
          <w:tcPr>
            <w:tcW w:w="540" w:type="dxa"/>
            <w:vAlign w:val="bottom"/>
          </w:tcPr>
          <w:p>
            <w:pPr>
              <w:spacing w:after="0"/>
              <w:rPr>
                <w:sz w:val="14"/>
                <w:szCs w:val="14"/>
                <w:color w:val="auto"/>
              </w:rPr>
            </w:pPr>
          </w:p>
        </w:tc>
        <w:tc>
          <w:tcPr>
            <w:tcW w:w="11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(.23)</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00" w:type="dxa"/>
            <w:vAlign w:val="bottom"/>
          </w:tcPr>
          <w:p>
            <w:pPr>
              <w:spacing w:after="0"/>
              <w:rPr>
                <w:sz w:val="14"/>
                <w:szCs w:val="14"/>
                <w:color w:val="auto"/>
              </w:rPr>
            </w:pPr>
          </w:p>
        </w:tc>
        <w:tc>
          <w:tcPr>
            <w:tcW w:w="17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00" w:type="dxa"/>
            <w:vAlign w:val="bottom"/>
          </w:tcPr>
          <w:p>
            <w:pPr>
              <w:spacing w:after="0"/>
              <w:rPr>
                <w:sz w:val="14"/>
                <w:szCs w:val="14"/>
                <w:color w:val="auto"/>
              </w:rPr>
            </w:pPr>
          </w:p>
        </w:tc>
        <w:tc>
          <w:tcPr>
            <w:tcW w:w="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w:t>
            </w:r>
          </w:p>
        </w:tc>
        <w:tc>
          <w:tcPr>
            <w:tcW w:w="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.15</w:t>
            </w:r>
          </w:p>
        </w:tc>
        <w:tc>
          <w:tcPr>
            <w:tcW w:w="5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c>
          <w:tcPr>
            <w:tcW w:w="0" w:type="dxa"/>
            <w:vAlign w:val="bottom"/>
          </w:tcPr>
          <w:p>
            <w:pPr>
              <w:spacing w:after="0"/>
              <w:rPr>
                <w:sz w:val="1"/>
                <w:szCs w:val="1"/>
                <w:color w:val="auto"/>
              </w:rPr>
            </w:pPr>
          </w:p>
        </w:tc>
      </w:tr>
      <w:tr>
        <w:trPr>
          <w:trHeight w:val="238"/>
        </w:trPr>
        <w:tc>
          <w:tcPr>
            <w:tcW w:w="5100" w:type="dxa"/>
            <w:vAlign w:val="bottom"/>
            <w:vMerge w:val="restart"/>
          </w:tcPr>
          <w:p>
            <w:pPr>
              <w:spacing w:after="0"/>
              <w:rPr>
                <w:sz w:val="20"/>
                <w:szCs w:val="20"/>
                <w:color w:val="auto"/>
              </w:rPr>
            </w:pPr>
            <w:r>
              <w:rPr>
                <w:rFonts w:ascii="Courier New" w:cs="Courier New" w:eastAsia="Courier New" w:hAnsi="Courier New"/>
                <w:sz w:val="14"/>
                <w:szCs w:val="14"/>
                <w:color w:val="auto"/>
              </w:rPr>
              <w:t>DILUTED NET INCOME (LOSS) AVAILABLE TO COMMON</w:t>
            </w:r>
          </w:p>
        </w:tc>
        <w:tc>
          <w:tcPr>
            <w:tcW w:w="17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51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5100" w:type="dxa"/>
            <w:vAlign w:val="bottom"/>
          </w:tcPr>
          <w:p>
            <w:pPr>
              <w:ind w:left="340"/>
              <w:spacing w:after="0"/>
              <w:rPr>
                <w:sz w:val="20"/>
                <w:szCs w:val="20"/>
                <w:color w:val="auto"/>
              </w:rPr>
            </w:pPr>
            <w:r>
              <w:rPr>
                <w:rFonts w:ascii="Courier New" w:cs="Courier New" w:eastAsia="Courier New" w:hAnsi="Courier New"/>
                <w:sz w:val="14"/>
                <w:szCs w:val="14"/>
                <w:color w:val="auto"/>
              </w:rPr>
              <w:t>SHAREHOLDERS PER COMMON SHARE:</w:t>
            </w:r>
          </w:p>
        </w:tc>
        <w:tc>
          <w:tcPr>
            <w:tcW w:w="5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(.54)</w:t>
            </w:r>
          </w:p>
        </w:tc>
        <w:tc>
          <w:tcPr>
            <w:tcW w:w="5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.34</w:t>
            </w:r>
          </w:p>
        </w:tc>
        <w:tc>
          <w:tcPr>
            <w:tcW w:w="5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.69</w:t>
            </w:r>
          </w:p>
        </w:tc>
        <w:tc>
          <w:tcPr>
            <w:tcW w:w="0" w:type="dxa"/>
            <w:vAlign w:val="bottom"/>
          </w:tcPr>
          <w:p>
            <w:pPr>
              <w:spacing w:after="0"/>
              <w:rPr>
                <w:sz w:val="1"/>
                <w:szCs w:val="1"/>
                <w:color w:val="auto"/>
              </w:rPr>
            </w:pPr>
          </w:p>
        </w:tc>
      </w:tr>
      <w:tr>
        <w:trPr>
          <w:trHeight w:val="163"/>
        </w:trPr>
        <w:tc>
          <w:tcPr>
            <w:tcW w:w="5100" w:type="dxa"/>
            <w:vAlign w:val="bottom"/>
          </w:tcPr>
          <w:p>
            <w:pPr>
              <w:ind w:left="340"/>
              <w:spacing w:after="0"/>
              <w:rPr>
                <w:sz w:val="20"/>
                <w:szCs w:val="20"/>
                <w:color w:val="auto"/>
              </w:rPr>
            </w:pPr>
            <w:r>
              <w:rPr>
                <w:rFonts w:ascii="Courier New" w:cs="Courier New" w:eastAsia="Courier New" w:hAnsi="Courier New"/>
                <w:sz w:val="14"/>
                <w:szCs w:val="14"/>
                <w:color w:val="auto"/>
              </w:rPr>
              <w:t>Before cumulative effect of accounting change</w:t>
            </w:r>
          </w:p>
        </w:tc>
        <w:tc>
          <w:tcPr>
            <w:tcW w:w="5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00" w:type="dxa"/>
            <w:vAlign w:val="bottom"/>
          </w:tcPr>
          <w:p>
            <w:pPr>
              <w:ind w:left="340"/>
              <w:spacing w:after="0"/>
              <w:rPr>
                <w:sz w:val="20"/>
                <w:szCs w:val="20"/>
                <w:color w:val="auto"/>
              </w:rPr>
            </w:pPr>
            <w:r>
              <w:rPr>
                <w:rFonts w:ascii="Courier New" w:cs="Courier New" w:eastAsia="Courier New" w:hAnsi="Courier New"/>
                <w:sz w:val="14"/>
                <w:szCs w:val="14"/>
                <w:color w:val="auto"/>
              </w:rPr>
              <w:t>Cumulative effect of accounting change</w:t>
            </w:r>
          </w:p>
        </w:tc>
        <w:tc>
          <w:tcPr>
            <w:tcW w:w="540" w:type="dxa"/>
            <w:vAlign w:val="bottom"/>
          </w:tcPr>
          <w:p>
            <w:pPr>
              <w:spacing w:after="0"/>
              <w:rPr>
                <w:sz w:val="14"/>
                <w:szCs w:val="14"/>
                <w:color w:val="auto"/>
              </w:rPr>
            </w:pPr>
          </w:p>
        </w:tc>
        <w:tc>
          <w:tcPr>
            <w:tcW w:w="11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00" w:type="dxa"/>
            <w:vAlign w:val="bottom"/>
          </w:tcPr>
          <w:p>
            <w:pPr>
              <w:spacing w:after="0"/>
              <w:rPr>
                <w:sz w:val="14"/>
                <w:szCs w:val="14"/>
                <w:color w:val="auto"/>
              </w:rPr>
            </w:pPr>
          </w:p>
        </w:tc>
        <w:tc>
          <w:tcPr>
            <w:tcW w:w="17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00" w:type="dxa"/>
            <w:vAlign w:val="bottom"/>
          </w:tcPr>
          <w:p>
            <w:pPr>
              <w:spacing w:after="0"/>
              <w:rPr>
                <w:sz w:val="14"/>
                <w:szCs w:val="14"/>
                <w:color w:val="auto"/>
              </w:rPr>
            </w:pPr>
          </w:p>
        </w:tc>
        <w:tc>
          <w:tcPr>
            <w:tcW w:w="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w:t>
            </w:r>
          </w:p>
        </w:tc>
        <w:tc>
          <w:tcPr>
            <w:tcW w:w="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c>
          <w:tcPr>
            <w:tcW w:w="0" w:type="dxa"/>
            <w:vAlign w:val="bottom"/>
          </w:tcPr>
          <w:p>
            <w:pPr>
              <w:spacing w:after="0"/>
              <w:rPr>
                <w:sz w:val="1"/>
                <w:szCs w:val="1"/>
                <w:color w:val="auto"/>
              </w:rPr>
            </w:pPr>
          </w:p>
        </w:tc>
      </w:tr>
      <w:tr>
        <w:trPr>
          <w:trHeight w:val="163"/>
        </w:trPr>
        <w:tc>
          <w:tcPr>
            <w:tcW w:w="5100" w:type="dxa"/>
            <w:vAlign w:val="bottom"/>
            <w:vMerge w:val="restart"/>
          </w:tcPr>
          <w:p>
            <w:pPr>
              <w:spacing w:after="0"/>
              <w:rPr>
                <w:sz w:val="20"/>
                <w:szCs w:val="20"/>
                <w:color w:val="auto"/>
              </w:rPr>
            </w:pPr>
            <w:r>
              <w:rPr>
                <w:rFonts w:ascii="Courier New" w:cs="Courier New" w:eastAsia="Courier New" w:hAnsi="Courier New"/>
                <w:sz w:val="14"/>
                <w:szCs w:val="14"/>
                <w:color w:val="auto"/>
              </w:rPr>
              <w:t>WEIGHTED AVERAGE COMMON SHARES OUTSTANDING, BASIC</w:t>
            </w:r>
          </w:p>
        </w:tc>
        <w:tc>
          <w:tcPr>
            <w:tcW w:w="17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115,097</w:t>
            </w:r>
          </w:p>
        </w:tc>
        <w:tc>
          <w:tcPr>
            <w:tcW w:w="540" w:type="dxa"/>
            <w:vAlign w:val="bottom"/>
          </w:tcPr>
          <w:p>
            <w:pPr>
              <w:spacing w:after="0"/>
              <w:rPr>
                <w:sz w:val="14"/>
                <w:szCs w:val="14"/>
                <w:color w:val="auto"/>
              </w:rPr>
            </w:pP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71,380</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67,568</w:t>
            </w:r>
          </w:p>
        </w:tc>
        <w:tc>
          <w:tcPr>
            <w:tcW w:w="0" w:type="dxa"/>
            <w:vAlign w:val="bottom"/>
          </w:tcPr>
          <w:p>
            <w:pPr>
              <w:spacing w:after="0"/>
              <w:rPr>
                <w:sz w:val="1"/>
                <w:szCs w:val="1"/>
                <w:color w:val="auto"/>
              </w:rPr>
            </w:pPr>
          </w:p>
        </w:tc>
      </w:tr>
      <w:tr>
        <w:trPr>
          <w:trHeight w:val="163"/>
        </w:trPr>
        <w:tc>
          <w:tcPr>
            <w:tcW w:w="5100" w:type="dxa"/>
            <w:vAlign w:val="bottom"/>
            <w:vMerge w:val="restart"/>
          </w:tcPr>
          <w:p>
            <w:pPr>
              <w:spacing w:after="0"/>
              <w:rPr>
                <w:sz w:val="20"/>
                <w:szCs w:val="20"/>
                <w:color w:val="auto"/>
              </w:rPr>
            </w:pPr>
            <w:r>
              <w:rPr>
                <w:rFonts w:ascii="Courier New" w:cs="Courier New" w:eastAsia="Courier New" w:hAnsi="Courier New"/>
                <w:sz w:val="14"/>
                <w:szCs w:val="14"/>
                <w:color w:val="auto"/>
              </w:rPr>
              <w:t>WEIGHTED AVERAGE COMMON SHARES OUTSTANDING, DILUTED</w:t>
            </w:r>
          </w:p>
        </w:tc>
        <w:tc>
          <w:tcPr>
            <w:tcW w:w="17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115,097</w:t>
            </w:r>
          </w:p>
        </w:tc>
        <w:tc>
          <w:tcPr>
            <w:tcW w:w="540" w:type="dxa"/>
            <w:vAlign w:val="bottom"/>
          </w:tcPr>
          <w:p>
            <w:pPr>
              <w:spacing w:after="0"/>
              <w:rPr>
                <w:sz w:val="14"/>
                <w:szCs w:val="14"/>
                <w:color w:val="auto"/>
              </w:rPr>
            </w:pP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78,939</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78,959</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17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159"/>
          </w:cols>
          <w:pgMar w:left="300" w:top="257" w:right="1440" w:bottom="1440" w:gutter="0" w:footer="0" w:header="0"/>
        </w:sectPr>
      </w:pPr>
    </w:p>
    <w:bookmarkStart w:id="126" w:name="page127"/>
    <w:bookmarkEnd w:id="126"/>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126</w:t>
      </w:r>
    </w:p>
    <w:p>
      <w:pPr>
        <w:spacing w:after="0" w:line="168"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331"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168"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174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(IN THOUSANDS)</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8"/>
        </w:trPr>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PREFERRED STOCK</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gridSpan w:val="2"/>
          </w:tcPr>
          <w:p>
            <w:pPr>
              <w:jc w:val="right"/>
              <w:ind w:right="689"/>
              <w:spacing w:after="0"/>
              <w:rPr>
                <w:sz w:val="20"/>
                <w:szCs w:val="20"/>
                <w:color w:val="auto"/>
              </w:rPr>
            </w:pPr>
            <w:r>
              <w:rPr>
                <w:rFonts w:ascii="Courier New" w:cs="Courier New" w:eastAsia="Courier New" w:hAnsi="Courier New"/>
                <w:sz w:val="14"/>
                <w:szCs w:val="14"/>
                <w:color w:val="auto"/>
              </w:rPr>
              <w:t>COMMON STOCK</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340" w:type="dxa"/>
            <w:vAlign w:val="bottom"/>
          </w:tcPr>
          <w:p>
            <w:pPr>
              <w:spacing w:after="0"/>
              <w:rPr>
                <w:sz w:val="14"/>
                <w:szCs w:val="14"/>
                <w:color w:val="auto"/>
              </w:rPr>
            </w:pPr>
          </w:p>
        </w:tc>
        <w:tc>
          <w:tcPr>
            <w:tcW w:w="3740" w:type="dxa"/>
            <w:vAlign w:val="bottom"/>
            <w:gridSpan w:val="6"/>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520" w:type="dxa"/>
            <w:vAlign w:val="bottom"/>
            <w:gridSpan w:val="6"/>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40" w:type="dxa"/>
            <w:vAlign w:val="bottom"/>
          </w:tcPr>
          <w:p>
            <w:pPr>
              <w:spacing w:after="0"/>
              <w:rPr>
                <w:sz w:val="14"/>
                <w:szCs w:val="14"/>
                <w:color w:val="auto"/>
              </w:rPr>
            </w:pPr>
          </w:p>
        </w:tc>
        <w:tc>
          <w:tcPr>
            <w:tcW w:w="1740" w:type="dxa"/>
            <w:vAlign w:val="bottom"/>
            <w:gridSpan w:val="3"/>
          </w:tcPr>
          <w:p>
            <w:pPr>
              <w:jc w:val="right"/>
              <w:ind w:right="449"/>
              <w:spacing w:after="0"/>
              <w:rPr>
                <w:sz w:val="20"/>
                <w:szCs w:val="20"/>
                <w:color w:val="auto"/>
              </w:rPr>
            </w:pPr>
            <w:r>
              <w:rPr>
                <w:rFonts w:ascii="Courier New" w:cs="Courier New" w:eastAsia="Courier New" w:hAnsi="Courier New"/>
                <w:sz w:val="14"/>
                <w:szCs w:val="14"/>
                <w:color w:val="auto"/>
              </w:rPr>
              <w:t>SERIES A</w:t>
            </w:r>
          </w:p>
        </w:tc>
        <w:tc>
          <w:tcPr>
            <w:tcW w:w="2000" w:type="dxa"/>
            <w:vAlign w:val="bottom"/>
            <w:gridSpan w:val="3"/>
          </w:tcPr>
          <w:p>
            <w:pPr>
              <w:jc w:val="right"/>
              <w:ind w:right="749"/>
              <w:spacing w:after="0"/>
              <w:rPr>
                <w:sz w:val="20"/>
                <w:szCs w:val="20"/>
                <w:color w:val="auto"/>
              </w:rPr>
            </w:pPr>
            <w:r>
              <w:rPr>
                <w:rFonts w:ascii="Courier New" w:cs="Courier New" w:eastAsia="Courier New" w:hAnsi="Courier New"/>
                <w:sz w:val="14"/>
                <w:szCs w:val="14"/>
                <w:color w:val="auto"/>
              </w:rPr>
              <w:t>SERIES B</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ISSUED</w:t>
            </w:r>
          </w:p>
        </w:tc>
        <w:tc>
          <w:tcPr>
            <w:tcW w:w="9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AMOUNT</w:t>
            </w:r>
          </w:p>
        </w:tc>
        <w:tc>
          <w:tcPr>
            <w:tcW w:w="2120" w:type="dxa"/>
            <w:vAlign w:val="bottom"/>
            <w:gridSpan w:val="3"/>
          </w:tcPr>
          <w:p>
            <w:pPr>
              <w:jc w:val="right"/>
              <w:ind w:right="269"/>
              <w:spacing w:after="0"/>
              <w:rPr>
                <w:sz w:val="20"/>
                <w:szCs w:val="20"/>
                <w:color w:val="auto"/>
              </w:rPr>
            </w:pPr>
            <w:r>
              <w:rPr>
                <w:rFonts w:ascii="Courier New" w:cs="Courier New" w:eastAsia="Courier New" w:hAnsi="Courier New"/>
                <w:sz w:val="14"/>
                <w:szCs w:val="14"/>
                <w:color w:val="auto"/>
              </w:rPr>
              <w:t>TREASURY STOCK</w:t>
            </w:r>
          </w:p>
        </w:tc>
        <w:tc>
          <w:tcPr>
            <w:tcW w:w="0" w:type="dxa"/>
            <w:vAlign w:val="bottom"/>
          </w:tcPr>
          <w:p>
            <w:pPr>
              <w:spacing w:after="0"/>
              <w:rPr>
                <w:sz w:val="1"/>
                <w:szCs w:val="1"/>
                <w:color w:val="auto"/>
              </w:rPr>
            </w:pPr>
          </w:p>
        </w:tc>
      </w:tr>
      <w:tr>
        <w:trPr>
          <w:trHeight w:val="163"/>
        </w:trPr>
        <w:tc>
          <w:tcPr>
            <w:tcW w:w="234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rPr>
              <w:t>SHARES</w:t>
            </w:r>
          </w:p>
        </w:tc>
        <w:tc>
          <w:tcPr>
            <w:tcW w:w="9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AMOUNT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SHARES</w:t>
            </w:r>
          </w:p>
        </w:tc>
        <w:tc>
          <w:tcPr>
            <w:tcW w:w="260" w:type="dxa"/>
            <w:vAlign w:val="bottom"/>
          </w:tcPr>
          <w:p>
            <w:pPr>
              <w:spacing w:after="0"/>
              <w:rPr>
                <w:sz w:val="14"/>
                <w:szCs w:val="14"/>
                <w:color w:val="auto"/>
              </w:rPr>
            </w:pPr>
          </w:p>
        </w:tc>
        <w:tc>
          <w:tcPr>
            <w:tcW w:w="9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AMOUNT</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SHARES</w:t>
            </w: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SHARES</w:t>
            </w:r>
          </w:p>
        </w:tc>
        <w:tc>
          <w:tcPr>
            <w:tcW w:w="300" w:type="dxa"/>
            <w:vAlign w:val="bottom"/>
          </w:tcPr>
          <w:p>
            <w:pPr>
              <w:spacing w:after="0"/>
              <w:rPr>
                <w:sz w:val="14"/>
                <w:szCs w:val="14"/>
                <w:color w:val="auto"/>
              </w:rPr>
            </w:pP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AMOUNT</w:t>
            </w: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0"/>
                <w:szCs w:val="20"/>
                <w:color w:val="auto"/>
              </w:rPr>
            </w:pPr>
          </w:p>
        </w:tc>
        <w:tc>
          <w:tcPr>
            <w:tcW w:w="9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0"/>
                <w:szCs w:val="20"/>
                <w:color w:val="auto"/>
              </w:rPr>
            </w:pPr>
          </w:p>
        </w:tc>
        <w:tc>
          <w:tcPr>
            <w:tcW w:w="9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0"/>
                <w:szCs w:val="20"/>
                <w:color w:val="auto"/>
              </w:rPr>
            </w:pP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800" w:type="dxa"/>
            <w:vAlign w:val="bottom"/>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65,650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656</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(726)</w:t>
            </w: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Exchange of preferred</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stock for</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acquisition of</w:t>
            </w:r>
          </w:p>
        </w:tc>
        <w:tc>
          <w:tcPr>
            <w:tcW w:w="800" w:type="dxa"/>
            <w:vAlign w:val="bottom"/>
            <w:vMerge w:val="restart"/>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380</w:t>
            </w:r>
          </w:p>
        </w:tc>
        <w:tc>
          <w:tcPr>
            <w:tcW w:w="260" w:type="dxa"/>
            <w:vAlign w:val="bottom"/>
          </w:tcPr>
          <w:p>
            <w:pPr>
              <w:spacing w:after="0"/>
              <w:rPr>
                <w:sz w:val="14"/>
                <w:szCs w:val="14"/>
                <w:color w:val="auto"/>
              </w:rPr>
            </w:pPr>
          </w:p>
        </w:tc>
        <w:tc>
          <w:tcPr>
            <w:tcW w:w="9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380</w:t>
            </w:r>
          </w:p>
        </w:tc>
        <w:tc>
          <w:tcPr>
            <w:tcW w:w="11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(665)</w:t>
            </w:r>
          </w:p>
        </w:tc>
        <w:tc>
          <w:tcPr>
            <w:tcW w:w="3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(32,812)</w:t>
            </w: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American Corrections</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Transport</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Stock options and</w:t>
            </w:r>
          </w:p>
        </w:tc>
        <w:tc>
          <w:tcPr>
            <w:tcW w:w="800" w:type="dxa"/>
            <w:vAlign w:val="bottom"/>
            <w:vMerge w:val="restart"/>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3,672</w:t>
            </w:r>
          </w:p>
        </w:tc>
        <w:tc>
          <w:tcPr>
            <w:tcW w:w="300" w:type="dxa"/>
            <w:vAlign w:val="bottom"/>
          </w:tcPr>
          <w:p>
            <w:pPr>
              <w:spacing w:after="0"/>
              <w:rPr>
                <w:sz w:val="14"/>
                <w:szCs w:val="14"/>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37</w:t>
            </w:r>
          </w:p>
        </w:tc>
        <w:tc>
          <w:tcPr>
            <w:tcW w:w="11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(36)</w:t>
            </w:r>
          </w:p>
        </w:tc>
        <w:tc>
          <w:tcPr>
            <w:tcW w:w="3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(1,975)</w:t>
            </w: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warrants exercised</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Stock repurchased</w:t>
            </w:r>
          </w:p>
        </w:tc>
        <w:tc>
          <w:tcPr>
            <w:tcW w:w="800" w:type="dxa"/>
            <w:vAlign w:val="bottom"/>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(108)</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(5,329)</w:t>
            </w: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Income tax benefits of</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incentive stock</w:t>
            </w:r>
          </w:p>
        </w:tc>
        <w:tc>
          <w:tcPr>
            <w:tcW w:w="800" w:type="dxa"/>
            <w:vAlign w:val="bottom"/>
            <w:vMerge w:val="restart"/>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option exercises</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Conversion of</w:t>
            </w:r>
          </w:p>
        </w:tc>
        <w:tc>
          <w:tcPr>
            <w:tcW w:w="800" w:type="dxa"/>
            <w:vAlign w:val="bottom"/>
            <w:vMerge w:val="restart"/>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879</w:t>
            </w:r>
          </w:p>
        </w:tc>
        <w:tc>
          <w:tcPr>
            <w:tcW w:w="300" w:type="dxa"/>
            <w:vAlign w:val="bottom"/>
          </w:tcPr>
          <w:p>
            <w:pPr>
              <w:spacing w:after="0"/>
              <w:rPr>
                <w:sz w:val="14"/>
                <w:szCs w:val="14"/>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9</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Compensation expense</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related to deferred</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stock awards and</w:t>
            </w:r>
          </w:p>
        </w:tc>
        <w:tc>
          <w:tcPr>
            <w:tcW w:w="800" w:type="dxa"/>
            <w:vAlign w:val="bottom"/>
            <w:vMerge w:val="restart"/>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stock options</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Net income (loss)</w:t>
            </w:r>
          </w:p>
        </w:tc>
        <w:tc>
          <w:tcPr>
            <w:tcW w:w="800" w:type="dxa"/>
            <w:vAlign w:val="bottom"/>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40" w:type="dxa"/>
            <w:vAlign w:val="bottom"/>
            <w:vMerge w:val="restart"/>
          </w:tcPr>
          <w:p>
            <w:pPr>
              <w:spacing w:after="0"/>
              <w:rPr>
                <w:sz w:val="20"/>
                <w:szCs w:val="20"/>
                <w:color w:val="auto"/>
              </w:rPr>
            </w:pPr>
            <w:r>
              <w:rPr>
                <w:rFonts w:ascii="Courier New" w:cs="Courier New" w:eastAsia="Courier New" w:hAnsi="Courier New"/>
                <w:sz w:val="14"/>
                <w:szCs w:val="14"/>
                <w:color w:val="auto"/>
              </w:rPr>
              <w:t>BALANCE, DECEMBER 31, 1997</w:t>
            </w:r>
          </w:p>
        </w:tc>
        <w:tc>
          <w:tcPr>
            <w:tcW w:w="800" w:type="dxa"/>
            <w:vAlign w:val="bottom"/>
          </w:tcPr>
          <w:p>
            <w:pPr>
              <w:jc w:val="center"/>
              <w:ind w:right="22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40" w:type="dxa"/>
            <w:vAlign w:val="bottom"/>
            <w:vMerge w:val="continue"/>
          </w:tcPr>
          <w:p>
            <w:pPr>
              <w:spacing w:after="0"/>
              <w:rPr>
                <w:sz w:val="14"/>
                <w:szCs w:val="14"/>
                <w:color w:val="auto"/>
              </w:rPr>
            </w:pPr>
          </w:p>
        </w:tc>
        <w:tc>
          <w:tcPr>
            <w:tcW w:w="800" w:type="dxa"/>
            <w:vAlign w:val="bottom"/>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380</w:t>
            </w:r>
          </w:p>
        </w:tc>
        <w:tc>
          <w:tcPr>
            <w:tcW w:w="26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380</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70,201</w:t>
            </w:r>
          </w:p>
        </w:tc>
        <w:tc>
          <w:tcPr>
            <w:tcW w:w="300" w:type="dxa"/>
            <w:vAlign w:val="bottom"/>
          </w:tcPr>
          <w:p>
            <w:pPr>
              <w:spacing w:after="0"/>
              <w:rPr>
                <w:sz w:val="14"/>
                <w:szCs w:val="14"/>
                <w:color w:val="auto"/>
              </w:rPr>
            </w:pPr>
          </w:p>
        </w:tc>
        <w:tc>
          <w:tcPr>
            <w:tcW w:w="9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702</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(829)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(40,842)</w:t>
            </w:r>
          </w:p>
        </w:tc>
        <w:tc>
          <w:tcPr>
            <w:tcW w:w="0" w:type="dxa"/>
            <w:vAlign w:val="bottom"/>
          </w:tcPr>
          <w:p>
            <w:pPr>
              <w:spacing w:after="0"/>
              <w:rPr>
                <w:sz w:val="1"/>
                <w:szCs w:val="1"/>
                <w:color w:val="auto"/>
              </w:rPr>
            </w:pPr>
          </w:p>
        </w:tc>
      </w:tr>
      <w:tr>
        <w:trPr>
          <w:trHeight w:val="238"/>
        </w:trPr>
        <w:tc>
          <w:tcPr>
            <w:tcW w:w="234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Conversion of</w:t>
            </w:r>
          </w:p>
        </w:tc>
        <w:tc>
          <w:tcPr>
            <w:tcW w:w="800" w:type="dxa"/>
            <w:vAlign w:val="bottom"/>
          </w:tcPr>
          <w:p>
            <w:pPr>
              <w:jc w:val="center"/>
              <w:ind w:right="22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2340" w:type="dxa"/>
            <w:vAlign w:val="bottom"/>
            <w:vMerge w:val="continue"/>
          </w:tcPr>
          <w:p>
            <w:pPr>
              <w:spacing w:after="0"/>
              <w:rPr>
                <w:sz w:val="7"/>
                <w:szCs w:val="7"/>
                <w:color w:val="auto"/>
              </w:rPr>
            </w:pPr>
          </w:p>
        </w:tc>
        <w:tc>
          <w:tcPr>
            <w:tcW w:w="800" w:type="dxa"/>
            <w:vAlign w:val="bottom"/>
            <w:vMerge w:val="restart"/>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7"/>
                <w:szCs w:val="7"/>
                <w:color w:val="auto"/>
              </w:rPr>
            </w:pPr>
          </w:p>
        </w:tc>
        <w:tc>
          <w:tcPr>
            <w:tcW w:w="6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(380)</w:t>
            </w:r>
          </w:p>
        </w:tc>
        <w:tc>
          <w:tcPr>
            <w:tcW w:w="260" w:type="dxa"/>
            <w:vAlign w:val="bottom"/>
          </w:tcPr>
          <w:p>
            <w:pPr>
              <w:spacing w:after="0"/>
              <w:rPr>
                <w:sz w:val="7"/>
                <w:szCs w:val="7"/>
                <w:color w:val="auto"/>
              </w:rPr>
            </w:pP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(380)</w:t>
            </w:r>
          </w:p>
        </w:tc>
        <w:tc>
          <w:tcPr>
            <w:tcW w:w="11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610</w:t>
            </w:r>
          </w:p>
        </w:tc>
        <w:tc>
          <w:tcPr>
            <w:tcW w:w="300" w:type="dxa"/>
            <w:vAlign w:val="bottom"/>
          </w:tcPr>
          <w:p>
            <w:pPr>
              <w:spacing w:after="0"/>
              <w:rPr>
                <w:sz w:val="7"/>
                <w:szCs w:val="7"/>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6</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7"/>
                <w:szCs w:val="7"/>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preferred stock</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Stock options and</w:t>
            </w:r>
          </w:p>
        </w:tc>
        <w:tc>
          <w:tcPr>
            <w:tcW w:w="800" w:type="dxa"/>
            <w:vAlign w:val="bottom"/>
            <w:vMerge w:val="restart"/>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5,161</w:t>
            </w:r>
          </w:p>
        </w:tc>
        <w:tc>
          <w:tcPr>
            <w:tcW w:w="300" w:type="dxa"/>
            <w:vAlign w:val="bottom"/>
          </w:tcPr>
          <w:p>
            <w:pPr>
              <w:spacing w:after="0"/>
              <w:rPr>
                <w:sz w:val="14"/>
                <w:szCs w:val="14"/>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52</w:t>
            </w:r>
          </w:p>
        </w:tc>
        <w:tc>
          <w:tcPr>
            <w:tcW w:w="11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(818)</w:t>
            </w:r>
          </w:p>
        </w:tc>
        <w:tc>
          <w:tcPr>
            <w:tcW w:w="3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(20,148)</w:t>
            </w: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warrants exercised</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Stock repurchased</w:t>
            </w:r>
          </w:p>
        </w:tc>
        <w:tc>
          <w:tcPr>
            <w:tcW w:w="800" w:type="dxa"/>
            <w:vAlign w:val="bottom"/>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(175)</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(7,600)</w:t>
            </w: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Income tax benefits of</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incentive stock</w:t>
            </w:r>
          </w:p>
        </w:tc>
        <w:tc>
          <w:tcPr>
            <w:tcW w:w="800" w:type="dxa"/>
            <w:vAlign w:val="bottom"/>
            <w:vMerge w:val="restart"/>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option exercises</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Conversion of</w:t>
            </w:r>
          </w:p>
        </w:tc>
        <w:tc>
          <w:tcPr>
            <w:tcW w:w="800" w:type="dxa"/>
            <w:vAlign w:val="bottom"/>
            <w:vMerge w:val="restart"/>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1,805</w:t>
            </w:r>
          </w:p>
        </w:tc>
        <w:tc>
          <w:tcPr>
            <w:tcW w:w="300" w:type="dxa"/>
            <w:vAlign w:val="bottom"/>
          </w:tcPr>
          <w:p>
            <w:pPr>
              <w:spacing w:after="0"/>
              <w:rPr>
                <w:sz w:val="14"/>
                <w:szCs w:val="14"/>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18</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1,075</w:t>
            </w:r>
          </w:p>
        </w:tc>
        <w:tc>
          <w:tcPr>
            <w:tcW w:w="30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51,029</w:t>
            </w: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Retirement of treasury</w:t>
            </w:r>
          </w:p>
        </w:tc>
        <w:tc>
          <w:tcPr>
            <w:tcW w:w="800" w:type="dxa"/>
            <w:vAlign w:val="bottom"/>
            <w:vMerge w:val="restart"/>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(747)</w:t>
            </w:r>
          </w:p>
        </w:tc>
        <w:tc>
          <w:tcPr>
            <w:tcW w:w="300" w:type="dxa"/>
            <w:vAlign w:val="bottom"/>
          </w:tcPr>
          <w:p>
            <w:pPr>
              <w:spacing w:after="0"/>
              <w:rPr>
                <w:sz w:val="14"/>
                <w:szCs w:val="14"/>
                <w:color w:val="auto"/>
              </w:rPr>
            </w:pPr>
          </w:p>
        </w:tc>
        <w:tc>
          <w:tcPr>
            <w:tcW w:w="9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(7)</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747</w:t>
            </w:r>
          </w:p>
        </w:tc>
        <w:tc>
          <w:tcPr>
            <w:tcW w:w="30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17,561</w:t>
            </w: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CMSC stock issued to</w:t>
            </w:r>
          </w:p>
        </w:tc>
        <w:tc>
          <w:tcPr>
            <w:tcW w:w="800" w:type="dxa"/>
            <w:vAlign w:val="bottom"/>
            <w:vMerge w:val="restart"/>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Old CCA employees</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Issuance of common</w:t>
            </w:r>
          </w:p>
        </w:tc>
        <w:tc>
          <w:tcPr>
            <w:tcW w:w="800" w:type="dxa"/>
            <w:vAlign w:val="bottom"/>
            <w:vMerge w:val="restart"/>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2,926</w:t>
            </w:r>
          </w:p>
        </w:tc>
        <w:tc>
          <w:tcPr>
            <w:tcW w:w="300" w:type="dxa"/>
            <w:vAlign w:val="bottom"/>
          </w:tcPr>
          <w:p>
            <w:pPr>
              <w:spacing w:after="0"/>
              <w:rPr>
                <w:sz w:val="14"/>
                <w:szCs w:val="14"/>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29</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Compensation expense</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related to deferred</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stock awards and</w:t>
            </w:r>
          </w:p>
        </w:tc>
        <w:tc>
          <w:tcPr>
            <w:tcW w:w="800" w:type="dxa"/>
            <w:vAlign w:val="bottom"/>
            <w:vMerge w:val="restart"/>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stock options</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Net income</w:t>
            </w:r>
          </w:p>
        </w:tc>
        <w:tc>
          <w:tcPr>
            <w:tcW w:w="800" w:type="dxa"/>
            <w:vAlign w:val="bottom"/>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40" w:type="dxa"/>
            <w:vAlign w:val="bottom"/>
            <w:vMerge w:val="restart"/>
          </w:tcPr>
          <w:p>
            <w:pPr>
              <w:spacing w:after="0"/>
              <w:rPr>
                <w:sz w:val="20"/>
                <w:szCs w:val="20"/>
                <w:color w:val="auto"/>
              </w:rPr>
            </w:pPr>
            <w:r>
              <w:rPr>
                <w:rFonts w:ascii="Courier New" w:cs="Courier New" w:eastAsia="Courier New" w:hAnsi="Courier New"/>
                <w:sz w:val="14"/>
                <w:szCs w:val="14"/>
                <w:color w:val="auto"/>
              </w:rPr>
              <w:t>BALANCE, DECEMBER 31, 1998</w:t>
            </w:r>
          </w:p>
        </w:tc>
        <w:tc>
          <w:tcPr>
            <w:tcW w:w="800" w:type="dxa"/>
            <w:vAlign w:val="bottom"/>
          </w:tcPr>
          <w:p>
            <w:pPr>
              <w:jc w:val="center"/>
              <w:ind w:right="22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40" w:type="dxa"/>
            <w:vAlign w:val="bottom"/>
            <w:vMerge w:val="continue"/>
          </w:tcPr>
          <w:p>
            <w:pPr>
              <w:spacing w:after="0"/>
              <w:rPr>
                <w:sz w:val="14"/>
                <w:szCs w:val="14"/>
                <w:color w:val="auto"/>
              </w:rPr>
            </w:pPr>
          </w:p>
        </w:tc>
        <w:tc>
          <w:tcPr>
            <w:tcW w:w="800" w:type="dxa"/>
            <w:vAlign w:val="bottom"/>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79,956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800</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p>
        </w:tc>
        <w:tc>
          <w:tcPr>
            <w:tcW w:w="800" w:type="dxa"/>
            <w:vAlign w:val="bottom"/>
          </w:tcPr>
          <w:p>
            <w:pPr>
              <w:jc w:val="center"/>
              <w:ind w:right="22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20" w:type="dxa"/>
            <w:vAlign w:val="bottom"/>
          </w:tcPr>
          <w:p>
            <w:pPr>
              <w:spacing w:after="0"/>
              <w:rPr>
                <w:sz w:val="14"/>
                <w:szCs w:val="14"/>
                <w:color w:val="auto"/>
              </w:rPr>
            </w:pP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ADDITIONAL</w:t>
            </w:r>
          </w:p>
        </w:tc>
        <w:tc>
          <w:tcPr>
            <w:tcW w:w="12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RETAINED</w:t>
            </w:r>
          </w:p>
        </w:tc>
        <w:tc>
          <w:tcPr>
            <w:tcW w:w="1100" w:type="dxa"/>
            <w:vAlign w:val="bottom"/>
            <w:gridSpan w:val="2"/>
            <w:vMerge w:val="restart"/>
          </w:tcPr>
          <w:p>
            <w:pPr>
              <w:jc w:val="right"/>
              <w:ind w:right="49"/>
              <w:spacing w:after="0"/>
              <w:rPr>
                <w:sz w:val="20"/>
                <w:szCs w:val="20"/>
                <w:color w:val="auto"/>
              </w:rPr>
            </w:pPr>
            <w:r>
              <w:rPr>
                <w:rFonts w:ascii="Courier New" w:cs="Courier New" w:eastAsia="Courier New" w:hAnsi="Courier New"/>
                <w:sz w:val="14"/>
                <w:szCs w:val="14"/>
                <w:color w:val="auto"/>
              </w:rPr>
              <w:t>CUMULATIVE</w:t>
            </w:r>
          </w:p>
        </w:tc>
        <w:tc>
          <w:tcPr>
            <w:tcW w:w="220" w:type="dxa"/>
            <w:vAlign w:val="bottom"/>
          </w:tcPr>
          <w:p>
            <w:pPr>
              <w:spacing w:after="0"/>
              <w:rPr>
                <w:sz w:val="14"/>
                <w:szCs w:val="14"/>
                <w:color w:val="auto"/>
              </w:rPr>
            </w:pPr>
          </w:p>
        </w:tc>
        <w:tc>
          <w:tcPr>
            <w:tcW w:w="11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ACCUMULATED</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2420" w:type="dxa"/>
            <w:vAlign w:val="bottom"/>
          </w:tcPr>
          <w:p>
            <w:pPr>
              <w:spacing w:after="0"/>
              <w:rPr>
                <w:sz w:val="14"/>
                <w:szCs w:val="14"/>
                <w:color w:val="auto"/>
              </w:rPr>
            </w:pP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PAID-IN</w:t>
            </w:r>
          </w:p>
        </w:tc>
        <w:tc>
          <w:tcPr>
            <w:tcW w:w="122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STOCKHOLDERS'</w:t>
            </w:r>
          </w:p>
        </w:tc>
        <w:tc>
          <w:tcPr>
            <w:tcW w:w="0" w:type="dxa"/>
            <w:vAlign w:val="bottom"/>
          </w:tcPr>
          <w:p>
            <w:pPr>
              <w:spacing w:after="0"/>
              <w:rPr>
                <w:sz w:val="1"/>
                <w:szCs w:val="1"/>
                <w:color w:val="auto"/>
              </w:rPr>
            </w:pPr>
          </w:p>
        </w:tc>
      </w:tr>
      <w:tr>
        <w:trPr>
          <w:trHeight w:val="163"/>
        </w:trPr>
        <w:tc>
          <w:tcPr>
            <w:tcW w:w="2420" w:type="dxa"/>
            <w:vAlign w:val="bottom"/>
          </w:tcPr>
          <w:p>
            <w:pPr>
              <w:spacing w:after="0"/>
              <w:rPr>
                <w:sz w:val="14"/>
                <w:szCs w:val="14"/>
                <w:color w:val="auto"/>
              </w:rPr>
            </w:pP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CAPITAL</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EARNINGS</w:t>
            </w: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tcPr>
          <w:p>
            <w:pPr>
              <w:spacing w:after="0"/>
              <w:rPr>
                <w:sz w:val="14"/>
                <w:szCs w:val="14"/>
                <w:color w:val="auto"/>
              </w:rPr>
            </w:pP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DISTRIBUTIONS</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EQUITY</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0"/>
                <w:szCs w:val="20"/>
                <w:color w:val="auto"/>
              </w:rPr>
            </w:pP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$ 239,690</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42,132</w:t>
            </w:r>
          </w:p>
        </w:tc>
        <w:tc>
          <w:tcPr>
            <w:tcW w:w="5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$ 281,752</w:t>
            </w:r>
          </w:p>
        </w:tc>
        <w:tc>
          <w:tcPr>
            <w:tcW w:w="0" w:type="dxa"/>
            <w:vAlign w:val="bottom"/>
          </w:tcPr>
          <w:p>
            <w:pPr>
              <w:spacing w:after="0"/>
              <w:rPr>
                <w:sz w:val="1"/>
                <w:szCs w:val="1"/>
                <w:color w:val="auto"/>
              </w:rPr>
            </w:pPr>
          </w:p>
        </w:tc>
      </w:tr>
      <w:tr>
        <w:trPr>
          <w:trHeight w:val="163"/>
        </w:trPr>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Exchange of preferred</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stock for</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acquisition of</w:t>
            </w:r>
          </w:p>
        </w:tc>
        <w:tc>
          <w:tcPr>
            <w:tcW w:w="12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32,432</w:t>
            </w:r>
          </w:p>
        </w:tc>
        <w:tc>
          <w:tcPr>
            <w:tcW w:w="12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American Corrections</w:t>
            </w: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Transport</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Stock options and</w:t>
            </w:r>
          </w:p>
        </w:tc>
        <w:tc>
          <w:tcPr>
            <w:tcW w:w="12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14,786</w:t>
            </w:r>
          </w:p>
        </w:tc>
        <w:tc>
          <w:tcPr>
            <w:tcW w:w="12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(3,612)</w:t>
            </w:r>
          </w:p>
        </w:tc>
        <w:tc>
          <w:tcPr>
            <w:tcW w:w="520" w:type="dxa"/>
            <w:vAlign w:val="bottom"/>
          </w:tcPr>
          <w:p>
            <w:pPr>
              <w:spacing w:after="0"/>
              <w:rPr>
                <w:sz w:val="14"/>
                <w:szCs w:val="14"/>
                <w:color w:val="auto"/>
              </w:rPr>
            </w:pPr>
          </w:p>
        </w:tc>
        <w:tc>
          <w:tcPr>
            <w:tcW w:w="5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9,236</w:t>
            </w:r>
          </w:p>
        </w:tc>
        <w:tc>
          <w:tcPr>
            <w:tcW w:w="0" w:type="dxa"/>
            <w:vAlign w:val="bottom"/>
          </w:tcPr>
          <w:p>
            <w:pPr>
              <w:spacing w:after="0"/>
              <w:rPr>
                <w:sz w:val="1"/>
                <w:szCs w:val="1"/>
                <w:color w:val="auto"/>
              </w:rPr>
            </w:pPr>
          </w:p>
        </w:tc>
      </w:tr>
      <w:tr>
        <w:trPr>
          <w:trHeight w:val="163"/>
        </w:trPr>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warrants exercised</w:t>
            </w: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Stock repurchased</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(5,329)</w:t>
            </w:r>
          </w:p>
        </w:tc>
        <w:tc>
          <w:tcPr>
            <w:tcW w:w="0" w:type="dxa"/>
            <w:vAlign w:val="bottom"/>
          </w:tcPr>
          <w:p>
            <w:pPr>
              <w:spacing w:after="0"/>
              <w:rPr>
                <w:sz w:val="1"/>
                <w:szCs w:val="1"/>
                <w:color w:val="auto"/>
              </w:rPr>
            </w:pPr>
          </w:p>
        </w:tc>
      </w:tr>
      <w:tr>
        <w:trPr>
          <w:trHeight w:val="163"/>
        </w:trPr>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Income tax benefits of</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incentive stock</w:t>
            </w:r>
          </w:p>
        </w:tc>
        <w:tc>
          <w:tcPr>
            <w:tcW w:w="12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6,328</w:t>
            </w:r>
          </w:p>
        </w:tc>
        <w:tc>
          <w:tcPr>
            <w:tcW w:w="12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6,328</w:t>
            </w:r>
          </w:p>
        </w:tc>
        <w:tc>
          <w:tcPr>
            <w:tcW w:w="0" w:type="dxa"/>
            <w:vAlign w:val="bottom"/>
          </w:tcPr>
          <w:p>
            <w:pPr>
              <w:spacing w:after="0"/>
              <w:rPr>
                <w:sz w:val="1"/>
                <w:szCs w:val="1"/>
                <w:color w:val="auto"/>
              </w:rPr>
            </w:pPr>
          </w:p>
        </w:tc>
      </w:tr>
      <w:tr>
        <w:trPr>
          <w:trHeight w:val="163"/>
        </w:trPr>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option exercises</w:t>
            </w: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Conversion of</w:t>
            </w:r>
          </w:p>
        </w:tc>
        <w:tc>
          <w:tcPr>
            <w:tcW w:w="12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1,668</w:t>
            </w:r>
          </w:p>
        </w:tc>
        <w:tc>
          <w:tcPr>
            <w:tcW w:w="12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1,677</w:t>
            </w:r>
          </w:p>
        </w:tc>
        <w:tc>
          <w:tcPr>
            <w:tcW w:w="0" w:type="dxa"/>
            <w:vAlign w:val="bottom"/>
          </w:tcPr>
          <w:p>
            <w:pPr>
              <w:spacing w:after="0"/>
              <w:rPr>
                <w:sz w:val="1"/>
                <w:szCs w:val="1"/>
                <w:color w:val="auto"/>
              </w:rPr>
            </w:pPr>
          </w:p>
        </w:tc>
      </w:tr>
      <w:tr>
        <w:trPr>
          <w:trHeight w:val="163"/>
        </w:trPr>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Compensation expense</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related to deferred</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stock awards and</w:t>
            </w:r>
          </w:p>
        </w:tc>
        <w:tc>
          <w:tcPr>
            <w:tcW w:w="12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457</w:t>
            </w:r>
          </w:p>
        </w:tc>
        <w:tc>
          <w:tcPr>
            <w:tcW w:w="12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457</w:t>
            </w:r>
          </w:p>
        </w:tc>
        <w:tc>
          <w:tcPr>
            <w:tcW w:w="0" w:type="dxa"/>
            <w:vAlign w:val="bottom"/>
          </w:tcPr>
          <w:p>
            <w:pPr>
              <w:spacing w:after="0"/>
              <w:rPr>
                <w:sz w:val="1"/>
                <w:szCs w:val="1"/>
                <w:color w:val="auto"/>
              </w:rPr>
            </w:pPr>
          </w:p>
        </w:tc>
      </w:tr>
      <w:tr>
        <w:trPr>
          <w:trHeight w:val="163"/>
        </w:trPr>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stock options</w:t>
            </w: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Net income (loss)</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53,955</w:t>
            </w:r>
          </w:p>
        </w:tc>
        <w:tc>
          <w:tcPr>
            <w:tcW w:w="52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53,955</w:t>
            </w:r>
          </w:p>
        </w:tc>
        <w:tc>
          <w:tcPr>
            <w:tcW w:w="0" w:type="dxa"/>
            <w:vAlign w:val="bottom"/>
          </w:tcPr>
          <w:p>
            <w:pPr>
              <w:spacing w:after="0"/>
              <w:rPr>
                <w:sz w:val="1"/>
                <w:szCs w:val="1"/>
                <w:color w:val="auto"/>
              </w:rPr>
            </w:pPr>
          </w:p>
        </w:tc>
      </w:tr>
      <w:tr>
        <w:trPr>
          <w:trHeight w:val="163"/>
        </w:trPr>
        <w:tc>
          <w:tcPr>
            <w:tcW w:w="2420" w:type="dxa"/>
            <w:vAlign w:val="bottom"/>
            <w:vMerge w:val="restart"/>
          </w:tcPr>
          <w:p>
            <w:pPr>
              <w:spacing w:after="0"/>
              <w:rPr>
                <w:sz w:val="20"/>
                <w:szCs w:val="20"/>
                <w:color w:val="auto"/>
              </w:rPr>
            </w:pPr>
            <w:r>
              <w:rPr>
                <w:rFonts w:ascii="Courier New" w:cs="Courier New" w:eastAsia="Courier New" w:hAnsi="Courier New"/>
                <w:sz w:val="14"/>
                <w:szCs w:val="14"/>
                <w:color w:val="auto"/>
              </w:rPr>
              <w:t>BALANCE, DECEMBER 31, 1997</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420" w:type="dxa"/>
            <w:vAlign w:val="bottom"/>
            <w:vMerge w:val="continue"/>
          </w:tcPr>
          <w:p>
            <w:pPr>
              <w:spacing w:after="0"/>
              <w:rPr>
                <w:sz w:val="14"/>
                <w:szCs w:val="14"/>
                <w:color w:val="auto"/>
              </w:rPr>
            </w:pP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295,361</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92,475</w:t>
            </w:r>
          </w:p>
        </w:tc>
        <w:tc>
          <w:tcPr>
            <w:tcW w:w="52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348,076</w:t>
            </w:r>
          </w:p>
        </w:tc>
        <w:tc>
          <w:tcPr>
            <w:tcW w:w="0" w:type="dxa"/>
            <w:vAlign w:val="bottom"/>
          </w:tcPr>
          <w:p>
            <w:pPr>
              <w:spacing w:after="0"/>
              <w:rPr>
                <w:sz w:val="1"/>
                <w:szCs w:val="1"/>
                <w:color w:val="auto"/>
              </w:rPr>
            </w:pPr>
          </w:p>
        </w:tc>
      </w:tr>
      <w:tr>
        <w:trPr>
          <w:trHeight w:val="238"/>
        </w:trPr>
        <w:tc>
          <w:tcPr>
            <w:tcW w:w="242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Conversion of</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2420" w:type="dxa"/>
            <w:vAlign w:val="bottom"/>
            <w:vMerge w:val="continue"/>
          </w:tcPr>
          <w:p>
            <w:pPr>
              <w:spacing w:after="0"/>
              <w:rPr>
                <w:sz w:val="7"/>
                <w:szCs w:val="7"/>
                <w:color w:val="auto"/>
              </w:rPr>
            </w:pPr>
          </w:p>
        </w:tc>
        <w:tc>
          <w:tcPr>
            <w:tcW w:w="12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374</w:t>
            </w:r>
          </w:p>
        </w:tc>
        <w:tc>
          <w:tcPr>
            <w:tcW w:w="12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7"/>
                <w:szCs w:val="7"/>
                <w:color w:val="auto"/>
              </w:rPr>
            </w:pPr>
          </w:p>
        </w:tc>
        <w:tc>
          <w:tcPr>
            <w:tcW w:w="5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7"/>
                <w:szCs w:val="7"/>
                <w:color w:val="auto"/>
              </w:rPr>
            </w:pPr>
          </w:p>
        </w:tc>
        <w:tc>
          <w:tcPr>
            <w:tcW w:w="11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preferred stock</w:t>
            </w: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Stock options and</w:t>
            </w: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9" w:orient="portrait"/>
          <w:cols w:equalWidth="0" w:num="1">
            <w:col w:w="10600"/>
          </w:cols>
          <w:pgMar w:left="300" w:top="257" w:right="999" w:bottom="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warrants exercised</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22,478</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(1,733)</w:t>
            </w:r>
          </w:p>
        </w:tc>
        <w:tc>
          <w:tcPr>
            <w:tcW w:w="48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649</w:t>
            </w:r>
          </w:p>
        </w:tc>
        <w:tc>
          <w:tcPr>
            <w:tcW w:w="0" w:type="dxa"/>
            <w:vAlign w:val="bottom"/>
          </w:tcPr>
          <w:p>
            <w:pPr>
              <w:spacing w:after="0"/>
              <w:rPr>
                <w:sz w:val="1"/>
                <w:szCs w:val="1"/>
                <w:color w:val="auto"/>
              </w:rPr>
            </w:pPr>
          </w:p>
        </w:tc>
      </w:tr>
      <w:tr>
        <w:trPr>
          <w:trHeight w:val="163"/>
        </w:trPr>
        <w:tc>
          <w:tcPr>
            <w:tcW w:w="2460" w:type="dxa"/>
            <w:vAlign w:val="bottom"/>
          </w:tcPr>
          <w:p>
            <w:pPr>
              <w:ind w:left="340"/>
              <w:spacing w:after="0"/>
              <w:rPr>
                <w:sz w:val="20"/>
                <w:szCs w:val="20"/>
                <w:color w:val="auto"/>
              </w:rPr>
            </w:pPr>
            <w:r>
              <w:rPr>
                <w:rFonts w:ascii="Courier New" w:cs="Courier New" w:eastAsia="Courier New" w:hAnsi="Courier New"/>
                <w:sz w:val="14"/>
                <w:szCs w:val="14"/>
                <w:color w:val="auto"/>
              </w:rPr>
              <w:t>Stock repurchased</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(7,600)</w:t>
            </w:r>
          </w:p>
        </w:tc>
        <w:tc>
          <w:tcPr>
            <w:tcW w:w="0" w:type="dxa"/>
            <w:vAlign w:val="bottom"/>
          </w:tcPr>
          <w:p>
            <w:pPr>
              <w:spacing w:after="0"/>
              <w:rPr>
                <w:sz w:val="1"/>
                <w:szCs w:val="1"/>
                <w:color w:val="auto"/>
              </w:rPr>
            </w:pPr>
          </w:p>
        </w:tc>
      </w:tr>
      <w:tr>
        <w:trPr>
          <w:trHeight w:val="163"/>
        </w:trPr>
        <w:tc>
          <w:tcPr>
            <w:tcW w:w="2460" w:type="dxa"/>
            <w:vAlign w:val="bottom"/>
          </w:tcPr>
          <w:p>
            <w:pPr>
              <w:ind w:left="340"/>
              <w:spacing w:after="0"/>
              <w:rPr>
                <w:sz w:val="20"/>
                <w:szCs w:val="20"/>
                <w:color w:val="auto"/>
              </w:rPr>
            </w:pPr>
            <w:r>
              <w:rPr>
                <w:rFonts w:ascii="Courier New" w:cs="Courier New" w:eastAsia="Courier New" w:hAnsi="Courier New"/>
                <w:sz w:val="14"/>
                <w:szCs w:val="14"/>
                <w:color w:val="auto"/>
              </w:rPr>
              <w:t>Income tax benefits of</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incentive stock</w:t>
            </w:r>
          </w:p>
        </w:tc>
        <w:tc>
          <w:tcPr>
            <w:tcW w:w="12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4,475</w:t>
            </w:r>
          </w:p>
        </w:tc>
        <w:tc>
          <w:tcPr>
            <w:tcW w:w="11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4,475</w:t>
            </w:r>
          </w:p>
        </w:tc>
        <w:tc>
          <w:tcPr>
            <w:tcW w:w="0" w:type="dxa"/>
            <w:vAlign w:val="bottom"/>
          </w:tcPr>
          <w:p>
            <w:pPr>
              <w:spacing w:after="0"/>
              <w:rPr>
                <w:sz w:val="1"/>
                <w:szCs w:val="1"/>
                <w:color w:val="auto"/>
              </w:rPr>
            </w:pPr>
          </w:p>
        </w:tc>
      </w:tr>
      <w:tr>
        <w:trPr>
          <w:trHeight w:val="163"/>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option exercises</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340"/>
              <w:spacing w:after="0"/>
              <w:rPr>
                <w:sz w:val="20"/>
                <w:szCs w:val="20"/>
                <w:color w:val="auto"/>
              </w:rPr>
            </w:pPr>
            <w:r>
              <w:rPr>
                <w:rFonts w:ascii="Courier New" w:cs="Courier New" w:eastAsia="Courier New" w:hAnsi="Courier New"/>
                <w:sz w:val="14"/>
                <w:szCs w:val="14"/>
                <w:color w:val="auto"/>
              </w:rPr>
              <w:t>Conversion of</w:t>
            </w:r>
          </w:p>
        </w:tc>
        <w:tc>
          <w:tcPr>
            <w:tcW w:w="12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3,633</w:t>
            </w:r>
          </w:p>
        </w:tc>
        <w:tc>
          <w:tcPr>
            <w:tcW w:w="11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(48,885)</w:t>
            </w:r>
          </w:p>
        </w:tc>
        <w:tc>
          <w:tcPr>
            <w:tcW w:w="480" w:type="dxa"/>
            <w:vAlign w:val="bottom"/>
          </w:tcPr>
          <w:p>
            <w:pPr>
              <w:spacing w:after="0"/>
              <w:rPr>
                <w:sz w:val="14"/>
                <w:szCs w:val="14"/>
                <w:color w:val="auto"/>
              </w:rPr>
            </w:pPr>
          </w:p>
        </w:tc>
        <w:tc>
          <w:tcPr>
            <w:tcW w:w="5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5,795</w:t>
            </w:r>
          </w:p>
        </w:tc>
        <w:tc>
          <w:tcPr>
            <w:tcW w:w="0" w:type="dxa"/>
            <w:vAlign w:val="bottom"/>
          </w:tcPr>
          <w:p>
            <w:pPr>
              <w:spacing w:after="0"/>
              <w:rPr>
                <w:sz w:val="1"/>
                <w:szCs w:val="1"/>
                <w:color w:val="auto"/>
              </w:rPr>
            </w:pPr>
          </w:p>
        </w:tc>
      </w:tr>
      <w:tr>
        <w:trPr>
          <w:trHeight w:val="163"/>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340"/>
              <w:spacing w:after="0"/>
              <w:rPr>
                <w:sz w:val="20"/>
                <w:szCs w:val="20"/>
                <w:color w:val="auto"/>
              </w:rPr>
            </w:pPr>
            <w:r>
              <w:rPr>
                <w:rFonts w:ascii="Courier New" w:cs="Courier New" w:eastAsia="Courier New" w:hAnsi="Courier New"/>
                <w:sz w:val="14"/>
                <w:szCs w:val="14"/>
                <w:color w:val="auto"/>
              </w:rPr>
              <w:t>Retirement of treasury</w:t>
            </w:r>
          </w:p>
        </w:tc>
        <w:tc>
          <w:tcPr>
            <w:tcW w:w="12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(17,554)</w:t>
            </w:r>
          </w:p>
        </w:tc>
        <w:tc>
          <w:tcPr>
            <w:tcW w:w="11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340"/>
              <w:spacing w:after="0"/>
              <w:rPr>
                <w:sz w:val="20"/>
                <w:szCs w:val="20"/>
                <w:color w:val="auto"/>
              </w:rPr>
            </w:pPr>
            <w:r>
              <w:rPr>
                <w:rFonts w:ascii="Courier New" w:cs="Courier New" w:eastAsia="Courier New" w:hAnsi="Courier New"/>
                <w:sz w:val="14"/>
                <w:szCs w:val="14"/>
                <w:color w:val="auto"/>
              </w:rPr>
              <w:t>CMSC stock issued to</w:t>
            </w:r>
          </w:p>
        </w:tc>
        <w:tc>
          <w:tcPr>
            <w:tcW w:w="12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22,850</w:t>
            </w:r>
          </w:p>
        </w:tc>
        <w:tc>
          <w:tcPr>
            <w:tcW w:w="11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22,850</w:t>
            </w:r>
          </w:p>
        </w:tc>
        <w:tc>
          <w:tcPr>
            <w:tcW w:w="0" w:type="dxa"/>
            <w:vAlign w:val="bottom"/>
          </w:tcPr>
          <w:p>
            <w:pPr>
              <w:spacing w:after="0"/>
              <w:rPr>
                <w:sz w:val="1"/>
                <w:szCs w:val="1"/>
                <w:color w:val="auto"/>
              </w:rPr>
            </w:pPr>
          </w:p>
        </w:tc>
      </w:tr>
      <w:tr>
        <w:trPr>
          <w:trHeight w:val="163"/>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Old CCA employees</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340"/>
              <w:spacing w:after="0"/>
              <w:rPr>
                <w:sz w:val="20"/>
                <w:szCs w:val="20"/>
                <w:color w:val="auto"/>
              </w:rPr>
            </w:pPr>
            <w:r>
              <w:rPr>
                <w:rFonts w:ascii="Courier New" w:cs="Courier New" w:eastAsia="Courier New" w:hAnsi="Courier New"/>
                <w:sz w:val="14"/>
                <w:szCs w:val="14"/>
                <w:color w:val="auto"/>
              </w:rPr>
              <w:t>Issuance of common</w:t>
            </w:r>
          </w:p>
        </w:tc>
        <w:tc>
          <w:tcPr>
            <w:tcW w:w="12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66,119</w:t>
            </w:r>
          </w:p>
        </w:tc>
        <w:tc>
          <w:tcPr>
            <w:tcW w:w="11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66,148</w:t>
            </w:r>
          </w:p>
        </w:tc>
        <w:tc>
          <w:tcPr>
            <w:tcW w:w="0" w:type="dxa"/>
            <w:vAlign w:val="bottom"/>
          </w:tcPr>
          <w:p>
            <w:pPr>
              <w:spacing w:after="0"/>
              <w:rPr>
                <w:sz w:val="1"/>
                <w:szCs w:val="1"/>
                <w:color w:val="auto"/>
              </w:rPr>
            </w:pPr>
          </w:p>
        </w:tc>
      </w:tr>
      <w:tr>
        <w:trPr>
          <w:trHeight w:val="163"/>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340"/>
              <w:spacing w:after="0"/>
              <w:rPr>
                <w:sz w:val="20"/>
                <w:szCs w:val="20"/>
                <w:color w:val="auto"/>
              </w:rPr>
            </w:pPr>
            <w:r>
              <w:rPr>
                <w:rFonts w:ascii="Courier New" w:cs="Courier New" w:eastAsia="Courier New" w:hAnsi="Courier New"/>
                <w:sz w:val="14"/>
                <w:szCs w:val="14"/>
                <w:color w:val="auto"/>
              </w:rPr>
              <w:t>Compensation expense</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related to deferred</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stock awards and</w:t>
            </w:r>
          </w:p>
        </w:tc>
        <w:tc>
          <w:tcPr>
            <w:tcW w:w="12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757</w:t>
            </w:r>
          </w:p>
        </w:tc>
        <w:tc>
          <w:tcPr>
            <w:tcW w:w="11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757</w:t>
            </w:r>
          </w:p>
        </w:tc>
        <w:tc>
          <w:tcPr>
            <w:tcW w:w="0" w:type="dxa"/>
            <w:vAlign w:val="bottom"/>
          </w:tcPr>
          <w:p>
            <w:pPr>
              <w:spacing w:after="0"/>
              <w:rPr>
                <w:sz w:val="1"/>
                <w:szCs w:val="1"/>
                <w:color w:val="auto"/>
              </w:rPr>
            </w:pPr>
          </w:p>
        </w:tc>
      </w:tr>
      <w:tr>
        <w:trPr>
          <w:trHeight w:val="163"/>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stock options</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340"/>
              <w:spacing w:after="0"/>
              <w:rPr>
                <w:sz w:val="20"/>
                <w:szCs w:val="20"/>
                <w:color w:val="auto"/>
              </w:rPr>
            </w:pPr>
            <w:r>
              <w:rPr>
                <w:rFonts w:ascii="Courier New" w:cs="Courier New" w:eastAsia="Courier New" w:hAnsi="Courier New"/>
                <w:sz w:val="14"/>
                <w:szCs w:val="14"/>
                <w:color w:val="auto"/>
              </w:rPr>
              <w:t>Net income</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10,836</w:t>
            </w:r>
          </w:p>
        </w:tc>
        <w:tc>
          <w:tcPr>
            <w:tcW w:w="48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10,836</w:t>
            </w:r>
          </w:p>
        </w:tc>
        <w:tc>
          <w:tcPr>
            <w:tcW w:w="0" w:type="dxa"/>
            <w:vAlign w:val="bottom"/>
          </w:tcPr>
          <w:p>
            <w:pPr>
              <w:spacing w:after="0"/>
              <w:rPr>
                <w:sz w:val="1"/>
                <w:szCs w:val="1"/>
                <w:color w:val="auto"/>
              </w:rPr>
            </w:pPr>
          </w:p>
        </w:tc>
      </w:tr>
      <w:tr>
        <w:trPr>
          <w:trHeight w:val="163"/>
        </w:trPr>
        <w:tc>
          <w:tcPr>
            <w:tcW w:w="2460" w:type="dxa"/>
            <w:vAlign w:val="bottom"/>
            <w:vMerge w:val="restart"/>
          </w:tcPr>
          <w:p>
            <w:pPr>
              <w:spacing w:after="0"/>
              <w:rPr>
                <w:sz w:val="20"/>
                <w:szCs w:val="20"/>
                <w:color w:val="auto"/>
              </w:rPr>
            </w:pPr>
            <w:r>
              <w:rPr>
                <w:rFonts w:ascii="Courier New" w:cs="Courier New" w:eastAsia="Courier New" w:hAnsi="Courier New"/>
                <w:sz w:val="14"/>
                <w:szCs w:val="14"/>
                <w:color w:val="auto"/>
              </w:rPr>
              <w:t>BALANCE, DECEMBER 31, 1998</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460" w:type="dxa"/>
            <w:vAlign w:val="bottom"/>
            <w:vMerge w:val="continue"/>
          </w:tcPr>
          <w:p>
            <w:pPr>
              <w:spacing w:after="0"/>
              <w:rPr>
                <w:sz w:val="14"/>
                <w:szCs w:val="14"/>
                <w:color w:val="auto"/>
              </w:rPr>
            </w:pP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$ 398,493</w:t>
            </w: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52,693</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$ 451,986</w:t>
            </w: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(Continued)</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159"/>
          </w:cols>
          <w:pgMar w:left="300" w:top="115"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127</w:t>
      </w:r>
    </w:p>
    <w:p>
      <w:pPr>
        <w:spacing w:after="0" w:line="168"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331"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168"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14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(Continued)</w:t>
            </w: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8"/>
        </w:trPr>
        <w:tc>
          <w:tcPr>
            <w:tcW w:w="2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PREFERRED STOCK</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ISSUED</w:t>
            </w:r>
          </w:p>
        </w:tc>
        <w:tc>
          <w:tcPr>
            <w:tcW w:w="17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COMMON STOCK</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SHARES</w:t>
            </w:r>
          </w:p>
        </w:tc>
        <w:tc>
          <w:tcPr>
            <w:tcW w:w="140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w w:val="98"/>
              </w:rPr>
              <w:t>SERIES A</w:t>
            </w:r>
          </w:p>
        </w:tc>
        <w:tc>
          <w:tcPr>
            <w:tcW w:w="164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SERIES B</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SHARES</w:t>
            </w:r>
          </w:p>
        </w:tc>
        <w:tc>
          <w:tcPr>
            <w:tcW w:w="540" w:type="dxa"/>
            <w:vAlign w:val="bottom"/>
            <w:vMerge w:val="continue"/>
          </w:tcPr>
          <w:p>
            <w:pPr>
              <w:spacing w:after="0"/>
              <w:rPr>
                <w:sz w:val="14"/>
                <w:szCs w:val="14"/>
                <w:color w:val="auto"/>
              </w:rPr>
            </w:pPr>
          </w:p>
        </w:tc>
        <w:tc>
          <w:tcPr>
            <w:tcW w:w="82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w w:val="99"/>
              </w:rPr>
              <w:t>AMOUNT</w:t>
            </w:r>
          </w:p>
        </w:tc>
        <w:tc>
          <w:tcPr>
            <w:tcW w:w="2080" w:type="dxa"/>
            <w:vAlign w:val="bottom"/>
            <w:gridSpan w:val="3"/>
          </w:tcPr>
          <w:p>
            <w:pPr>
              <w:jc w:val="right"/>
              <w:ind w:right="449"/>
              <w:spacing w:after="0"/>
              <w:rPr>
                <w:sz w:val="20"/>
                <w:szCs w:val="20"/>
                <w:color w:val="auto"/>
              </w:rPr>
            </w:pPr>
            <w:r>
              <w:rPr>
                <w:rFonts w:ascii="Courier New" w:cs="Courier New" w:eastAsia="Courier New" w:hAnsi="Courier New"/>
                <w:sz w:val="14"/>
                <w:szCs w:val="14"/>
                <w:color w:val="auto"/>
              </w:rPr>
              <w:t>TREASURY STOCK</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AMOUNT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SHARES</w:t>
            </w: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AMOUNT</w:t>
            </w:r>
          </w:p>
        </w:tc>
        <w:tc>
          <w:tcPr>
            <w:tcW w:w="90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SHARES</w:t>
            </w:r>
          </w:p>
        </w:tc>
        <w:tc>
          <w:tcPr>
            <w:tcW w:w="340" w:type="dxa"/>
            <w:vAlign w:val="bottom"/>
          </w:tcPr>
          <w:p>
            <w:pPr>
              <w:spacing w:after="0"/>
              <w:rPr>
                <w:sz w:val="20"/>
                <w:szCs w:val="20"/>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AMOUNT</w:t>
            </w:r>
          </w:p>
        </w:tc>
        <w:tc>
          <w:tcPr>
            <w:tcW w:w="0" w:type="dxa"/>
            <w:vAlign w:val="bottom"/>
          </w:tcPr>
          <w:p>
            <w:pPr>
              <w:spacing w:after="0"/>
              <w:rPr>
                <w:sz w:val="1"/>
                <w:szCs w:val="1"/>
                <w:color w:val="auto"/>
              </w:rPr>
            </w:pPr>
          </w:p>
        </w:tc>
      </w:tr>
      <w:tr>
        <w:trPr>
          <w:trHeight w:val="489"/>
        </w:trPr>
        <w:tc>
          <w:tcPr>
            <w:tcW w:w="264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79,956</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800</w:t>
            </w:r>
          </w:p>
        </w:tc>
        <w:tc>
          <w:tcPr>
            <w:tcW w:w="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2640" w:type="dxa"/>
            <w:vAlign w:val="bottom"/>
          </w:tcPr>
          <w:p>
            <w:pPr>
              <w:ind w:left="340"/>
              <w:spacing w:after="0"/>
              <w:rPr>
                <w:sz w:val="20"/>
                <w:szCs w:val="20"/>
                <w:color w:val="auto"/>
              </w:rPr>
            </w:pPr>
            <w:r>
              <w:rPr>
                <w:rFonts w:ascii="Courier New" w:cs="Courier New" w:eastAsia="Courier New" w:hAnsi="Courier New"/>
                <w:sz w:val="14"/>
                <w:szCs w:val="14"/>
                <w:color w:val="auto"/>
              </w:rPr>
              <w:t>Acquisition of Old</w:t>
            </w:r>
          </w:p>
        </w:tc>
        <w:tc>
          <w:tcPr>
            <w:tcW w:w="10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4,300</w:t>
            </w:r>
          </w:p>
        </w:tc>
        <w:tc>
          <w:tcPr>
            <w:tcW w:w="460" w:type="dxa"/>
            <w:vAlign w:val="bottom"/>
          </w:tcPr>
          <w:p>
            <w:pPr>
              <w:spacing w:after="0"/>
              <w:rPr>
                <w:sz w:val="21"/>
                <w:szCs w:val="21"/>
                <w:color w:val="auto"/>
              </w:rPr>
            </w:pP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107,500</w:t>
            </w:r>
          </w:p>
        </w:tc>
        <w:tc>
          <w:tcPr>
            <w:tcW w:w="8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25,316</w:t>
            </w:r>
          </w:p>
        </w:tc>
        <w:tc>
          <w:tcPr>
            <w:tcW w:w="540" w:type="dxa"/>
            <w:vAlign w:val="bottom"/>
          </w:tcPr>
          <w:p>
            <w:pPr>
              <w:spacing w:after="0"/>
              <w:rPr>
                <w:sz w:val="21"/>
                <w:szCs w:val="21"/>
                <w:color w:val="auto"/>
              </w:rPr>
            </w:pPr>
          </w:p>
        </w:tc>
        <w:tc>
          <w:tcPr>
            <w:tcW w:w="8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253</w:t>
            </w:r>
          </w:p>
        </w:tc>
        <w:tc>
          <w:tcPr>
            <w:tcW w:w="8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1"/>
                <w:szCs w:val="21"/>
                <w:color w:val="auto"/>
              </w:rPr>
            </w:pPr>
          </w:p>
        </w:tc>
        <w:tc>
          <w:tcPr>
            <w:tcW w:w="8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ind w:left="520"/>
              <w:spacing w:after="0"/>
              <w:rPr>
                <w:sz w:val="20"/>
                <w:szCs w:val="20"/>
                <w:color w:val="auto"/>
              </w:rPr>
            </w:pPr>
            <w:r>
              <w:rPr>
                <w:rFonts w:ascii="Courier New" w:cs="Courier New" w:eastAsia="Courier New" w:hAnsi="Courier New"/>
                <w:sz w:val="14"/>
                <w:szCs w:val="14"/>
                <w:color w:val="auto"/>
              </w:rPr>
              <w:t>Prison Realty</w:t>
            </w:r>
          </w:p>
        </w:tc>
        <w:tc>
          <w:tcPr>
            <w:tcW w:w="10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ind w:left="340"/>
              <w:spacing w:after="0"/>
              <w:rPr>
                <w:sz w:val="20"/>
                <w:szCs w:val="20"/>
                <w:color w:val="auto"/>
              </w:rPr>
            </w:pPr>
            <w:r>
              <w:rPr>
                <w:rFonts w:ascii="Courier New" w:cs="Courier New" w:eastAsia="Courier New" w:hAnsi="Courier New"/>
                <w:sz w:val="14"/>
                <w:szCs w:val="14"/>
                <w:color w:val="auto"/>
              </w:rPr>
              <w:t>Effect of election of</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ind w:left="520"/>
              <w:spacing w:after="0"/>
              <w:rPr>
                <w:sz w:val="20"/>
                <w:szCs w:val="20"/>
                <w:color w:val="auto"/>
              </w:rPr>
            </w:pPr>
            <w:r>
              <w:rPr>
                <w:rFonts w:ascii="Courier New" w:cs="Courier New" w:eastAsia="Courier New" w:hAnsi="Courier New"/>
                <w:sz w:val="14"/>
                <w:szCs w:val="14"/>
                <w:color w:val="auto"/>
              </w:rPr>
              <w:t>status as a real</w:t>
            </w:r>
          </w:p>
        </w:tc>
        <w:tc>
          <w:tcPr>
            <w:tcW w:w="10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8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ind w:left="520"/>
              <w:spacing w:after="0"/>
              <w:rPr>
                <w:sz w:val="20"/>
                <w:szCs w:val="20"/>
                <w:color w:val="auto"/>
              </w:rPr>
            </w:pPr>
            <w:r>
              <w:rPr>
                <w:rFonts w:ascii="Courier New" w:cs="Courier New" w:eastAsia="Courier New" w:hAnsi="Courier New"/>
                <w:sz w:val="14"/>
                <w:szCs w:val="14"/>
                <w:color w:val="auto"/>
              </w:rPr>
              <w:t>estate investment</w:t>
            </w:r>
          </w:p>
        </w:tc>
        <w:tc>
          <w:tcPr>
            <w:tcW w:w="10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ind w:left="520"/>
              <w:spacing w:after="0"/>
              <w:rPr>
                <w:sz w:val="20"/>
                <w:szCs w:val="20"/>
                <w:color w:val="auto"/>
              </w:rPr>
            </w:pPr>
            <w:r>
              <w:rPr>
                <w:rFonts w:ascii="Courier New" w:cs="Courier New" w:eastAsia="Courier New" w:hAnsi="Courier New"/>
                <w:sz w:val="14"/>
                <w:szCs w:val="14"/>
                <w:color w:val="auto"/>
              </w:rPr>
              <w:t>trust</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ind w:left="340"/>
              <w:spacing w:after="0"/>
              <w:rPr>
                <w:sz w:val="20"/>
                <w:szCs w:val="20"/>
                <w:color w:val="auto"/>
              </w:rPr>
            </w:pPr>
            <w:r>
              <w:rPr>
                <w:rFonts w:ascii="Courier New" w:cs="Courier New" w:eastAsia="Courier New" w:hAnsi="Courier New"/>
                <w:sz w:val="14"/>
                <w:szCs w:val="14"/>
                <w:color w:val="auto"/>
              </w:rPr>
              <w:t>Issuance of common</w:t>
            </w:r>
          </w:p>
        </w:tc>
        <w:tc>
          <w:tcPr>
            <w:tcW w:w="10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7,981</w:t>
            </w:r>
          </w:p>
        </w:tc>
        <w:tc>
          <w:tcPr>
            <w:tcW w:w="540" w:type="dxa"/>
            <w:vAlign w:val="bottom"/>
          </w:tcPr>
          <w:p>
            <w:pPr>
              <w:spacing w:after="0"/>
              <w:rPr>
                <w:sz w:val="14"/>
                <w:szCs w:val="14"/>
                <w:color w:val="auto"/>
              </w:rPr>
            </w:pPr>
          </w:p>
        </w:tc>
        <w:tc>
          <w:tcPr>
            <w:tcW w:w="8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79</w:t>
            </w:r>
          </w:p>
        </w:tc>
        <w:tc>
          <w:tcPr>
            <w:tcW w:w="8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10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ind w:left="340"/>
              <w:spacing w:after="0"/>
              <w:rPr>
                <w:sz w:val="20"/>
                <w:szCs w:val="20"/>
                <w:color w:val="auto"/>
              </w:rPr>
            </w:pPr>
            <w:r>
              <w:rPr>
                <w:rFonts w:ascii="Courier New" w:cs="Courier New" w:eastAsia="Courier New" w:hAnsi="Courier New"/>
                <w:sz w:val="14"/>
                <w:szCs w:val="14"/>
                <w:color w:val="auto"/>
              </w:rPr>
              <w:t>Stock options exercised</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c>
          <w:tcPr>
            <w:tcW w:w="54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c>
          <w:tcPr>
            <w:tcW w:w="0" w:type="dxa"/>
            <w:vAlign w:val="bottom"/>
          </w:tcPr>
          <w:p>
            <w:pPr>
              <w:spacing w:after="0"/>
              <w:rPr>
                <w:sz w:val="1"/>
                <w:szCs w:val="1"/>
                <w:color w:val="auto"/>
              </w:rPr>
            </w:pPr>
          </w:p>
        </w:tc>
      </w:tr>
      <w:tr>
        <w:trPr>
          <w:trHeight w:val="163"/>
        </w:trPr>
        <w:tc>
          <w:tcPr>
            <w:tcW w:w="2640" w:type="dxa"/>
            <w:vAlign w:val="bottom"/>
          </w:tcPr>
          <w:p>
            <w:pPr>
              <w:ind w:left="340"/>
              <w:spacing w:after="0"/>
              <w:rPr>
                <w:sz w:val="20"/>
                <w:szCs w:val="20"/>
                <w:color w:val="auto"/>
              </w:rPr>
            </w:pPr>
            <w:r>
              <w:rPr>
                <w:rFonts w:ascii="Courier New" w:cs="Courier New" w:eastAsia="Courier New" w:hAnsi="Courier New"/>
                <w:sz w:val="14"/>
                <w:szCs w:val="14"/>
                <w:color w:val="auto"/>
              </w:rPr>
              <w:t>Conversion of</w:t>
            </w:r>
          </w:p>
        </w:tc>
        <w:tc>
          <w:tcPr>
            <w:tcW w:w="10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4,975</w:t>
            </w:r>
          </w:p>
        </w:tc>
        <w:tc>
          <w:tcPr>
            <w:tcW w:w="540" w:type="dxa"/>
            <w:vAlign w:val="bottom"/>
          </w:tcPr>
          <w:p>
            <w:pPr>
              <w:spacing w:after="0"/>
              <w:rPr>
                <w:sz w:val="14"/>
                <w:szCs w:val="14"/>
                <w:color w:val="auto"/>
              </w:rPr>
            </w:pPr>
          </w:p>
        </w:tc>
        <w:tc>
          <w:tcPr>
            <w:tcW w:w="8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50</w:t>
            </w:r>
          </w:p>
        </w:tc>
        <w:tc>
          <w:tcPr>
            <w:tcW w:w="8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10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ind w:left="340"/>
              <w:spacing w:after="0"/>
              <w:rPr>
                <w:sz w:val="20"/>
                <w:szCs w:val="20"/>
                <w:color w:val="auto"/>
              </w:rPr>
            </w:pPr>
            <w:r>
              <w:rPr>
                <w:rFonts w:ascii="Courier New" w:cs="Courier New" w:eastAsia="Courier New" w:hAnsi="Courier New"/>
                <w:sz w:val="14"/>
                <w:szCs w:val="14"/>
                <w:color w:val="auto"/>
              </w:rPr>
              <w:t>Shares issued to</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54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ind w:left="520"/>
              <w:spacing w:after="0"/>
              <w:rPr>
                <w:sz w:val="20"/>
                <w:szCs w:val="20"/>
                <w:color w:val="auto"/>
              </w:rPr>
            </w:pPr>
            <w:r>
              <w:rPr>
                <w:rFonts w:ascii="Courier New" w:cs="Courier New" w:eastAsia="Courier New" w:hAnsi="Courier New"/>
                <w:sz w:val="14"/>
                <w:szCs w:val="14"/>
                <w:color w:val="auto"/>
              </w:rPr>
              <w:t>trustees</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ind w:left="340"/>
              <w:spacing w:after="0"/>
              <w:rPr>
                <w:sz w:val="20"/>
                <w:szCs w:val="20"/>
                <w:color w:val="auto"/>
              </w:rPr>
            </w:pPr>
            <w:r>
              <w:rPr>
                <w:rFonts w:ascii="Courier New" w:cs="Courier New" w:eastAsia="Courier New" w:hAnsi="Courier New"/>
                <w:sz w:val="14"/>
                <w:szCs w:val="14"/>
                <w:color w:val="auto"/>
              </w:rPr>
              <w:t>Compensation expense</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ind w:left="520"/>
              <w:spacing w:after="0"/>
              <w:rPr>
                <w:sz w:val="20"/>
                <w:szCs w:val="20"/>
                <w:color w:val="auto"/>
              </w:rPr>
            </w:pPr>
            <w:r>
              <w:rPr>
                <w:rFonts w:ascii="Courier New" w:cs="Courier New" w:eastAsia="Courier New" w:hAnsi="Courier New"/>
                <w:sz w:val="14"/>
                <w:szCs w:val="14"/>
                <w:color w:val="auto"/>
              </w:rPr>
              <w:t>related to deferred</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ind w:left="520"/>
              <w:spacing w:after="0"/>
              <w:rPr>
                <w:sz w:val="20"/>
                <w:szCs w:val="20"/>
                <w:color w:val="auto"/>
              </w:rPr>
            </w:pPr>
            <w:r>
              <w:rPr>
                <w:rFonts w:ascii="Courier New" w:cs="Courier New" w:eastAsia="Courier New" w:hAnsi="Courier New"/>
                <w:sz w:val="14"/>
                <w:szCs w:val="14"/>
                <w:color w:val="auto"/>
              </w:rPr>
              <w:t>stock awards and</w:t>
            </w:r>
          </w:p>
        </w:tc>
        <w:tc>
          <w:tcPr>
            <w:tcW w:w="10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w:t>
            </w:r>
          </w:p>
        </w:tc>
        <w:tc>
          <w:tcPr>
            <w:tcW w:w="540" w:type="dxa"/>
            <w:vAlign w:val="bottom"/>
          </w:tcPr>
          <w:p>
            <w:pPr>
              <w:spacing w:after="0"/>
              <w:rPr>
                <w:sz w:val="14"/>
                <w:szCs w:val="14"/>
                <w:color w:val="auto"/>
              </w:rPr>
            </w:pPr>
          </w:p>
        </w:tc>
        <w:tc>
          <w:tcPr>
            <w:tcW w:w="8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ind w:left="520"/>
              <w:spacing w:after="0"/>
              <w:rPr>
                <w:sz w:val="20"/>
                <w:szCs w:val="20"/>
                <w:color w:val="auto"/>
              </w:rPr>
            </w:pPr>
            <w:r>
              <w:rPr>
                <w:rFonts w:ascii="Courier New" w:cs="Courier New" w:eastAsia="Courier New" w:hAnsi="Courier New"/>
                <w:sz w:val="14"/>
                <w:szCs w:val="14"/>
                <w:color w:val="auto"/>
              </w:rPr>
              <w:t>stock options</w:t>
            </w:r>
          </w:p>
        </w:tc>
        <w:tc>
          <w:tcPr>
            <w:tcW w:w="10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ind w:left="340"/>
              <w:spacing w:after="0"/>
              <w:rPr>
                <w:sz w:val="20"/>
                <w:szCs w:val="20"/>
                <w:color w:val="auto"/>
              </w:rPr>
            </w:pPr>
            <w:r>
              <w:rPr>
                <w:rFonts w:ascii="Courier New" w:cs="Courier New" w:eastAsia="Courier New" w:hAnsi="Courier New"/>
                <w:sz w:val="14"/>
                <w:szCs w:val="14"/>
                <w:color w:val="auto"/>
              </w:rPr>
              <w:t>Net income</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ind w:left="340"/>
              <w:spacing w:after="0"/>
              <w:rPr>
                <w:sz w:val="20"/>
                <w:szCs w:val="20"/>
                <w:color w:val="auto"/>
              </w:rPr>
            </w:pPr>
            <w:r>
              <w:rPr>
                <w:rFonts w:ascii="Courier New" w:cs="Courier New" w:eastAsia="Courier New" w:hAnsi="Courier New"/>
                <w:sz w:val="14"/>
                <w:szCs w:val="14"/>
                <w:color w:val="auto"/>
              </w:rPr>
              <w:t>Distributions to</w:t>
            </w:r>
          </w:p>
        </w:tc>
        <w:tc>
          <w:tcPr>
            <w:tcW w:w="10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8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ind w:left="520"/>
              <w:spacing w:after="0"/>
              <w:rPr>
                <w:sz w:val="20"/>
                <w:szCs w:val="20"/>
                <w:color w:val="auto"/>
              </w:rPr>
            </w:pPr>
            <w:r>
              <w:rPr>
                <w:rFonts w:ascii="Courier New" w:cs="Courier New" w:eastAsia="Courier New" w:hAnsi="Courier New"/>
                <w:sz w:val="14"/>
                <w:szCs w:val="14"/>
                <w:color w:val="auto"/>
              </w:rPr>
              <w:t>shareholders</w:t>
            </w:r>
          </w:p>
        </w:tc>
        <w:tc>
          <w:tcPr>
            <w:tcW w:w="10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vMerge w:val="restart"/>
          </w:tcPr>
          <w:p>
            <w:pPr>
              <w:spacing w:after="0"/>
              <w:rPr>
                <w:sz w:val="20"/>
                <w:szCs w:val="20"/>
                <w:color w:val="auto"/>
              </w:rPr>
            </w:pPr>
            <w:r>
              <w:rPr>
                <w:rFonts w:ascii="Courier New" w:cs="Courier New" w:eastAsia="Courier New" w:hAnsi="Courier New"/>
                <w:sz w:val="14"/>
                <w:szCs w:val="14"/>
                <w:color w:val="auto"/>
              </w:rPr>
              <w:t>BALANCE, DECEMBER 31, 1999</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vMerge w:val="continue"/>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4,300</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107,500</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w:t>
            </w: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118,406</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1,184</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760" w:type="dxa"/>
            <w:vAlign w:val="bottom"/>
          </w:tcPr>
          <w:p>
            <w:pPr>
              <w:spacing w:after="0"/>
              <w:rPr>
                <w:sz w:val="14"/>
                <w:szCs w:val="14"/>
                <w:color w:val="auto"/>
              </w:rPr>
            </w:pPr>
          </w:p>
        </w:tc>
        <w:tc>
          <w:tcPr>
            <w:tcW w:w="1660" w:type="dxa"/>
            <w:vAlign w:val="bottom"/>
          </w:tcPr>
          <w:p>
            <w:pPr>
              <w:ind w:left="560"/>
              <w:spacing w:after="0"/>
              <w:rPr>
                <w:sz w:val="20"/>
                <w:szCs w:val="20"/>
                <w:color w:val="auto"/>
              </w:rPr>
            </w:pPr>
            <w:r>
              <w:rPr>
                <w:rFonts w:ascii="Courier New" w:cs="Courier New" w:eastAsia="Courier New" w:hAnsi="Courier New"/>
                <w:sz w:val="14"/>
                <w:szCs w:val="14"/>
                <w:color w:val="auto"/>
              </w:rPr>
              <w:t>ADDITIONAL</w:t>
            </w:r>
          </w:p>
        </w:tc>
        <w:tc>
          <w:tcPr>
            <w:tcW w:w="300" w:type="dxa"/>
            <w:vAlign w:val="bottom"/>
          </w:tcPr>
          <w:p>
            <w:pPr>
              <w:spacing w:after="0"/>
              <w:rPr>
                <w:sz w:val="14"/>
                <w:szCs w:val="14"/>
                <w:color w:val="auto"/>
              </w:rPr>
            </w:pPr>
          </w:p>
        </w:tc>
        <w:tc>
          <w:tcPr>
            <w:tcW w:w="10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RETAINED</w:t>
            </w:r>
          </w:p>
        </w:tc>
        <w:tc>
          <w:tcPr>
            <w:tcW w:w="240" w:type="dxa"/>
            <w:vAlign w:val="bottom"/>
          </w:tcPr>
          <w:p>
            <w:pPr>
              <w:spacing w:after="0"/>
              <w:rPr>
                <w:sz w:val="14"/>
                <w:szCs w:val="14"/>
                <w:color w:val="auto"/>
              </w:rPr>
            </w:pPr>
          </w:p>
        </w:tc>
        <w:tc>
          <w:tcPr>
            <w:tcW w:w="10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9"/>
              </w:rPr>
              <w:t>CUMULATIVE</w:t>
            </w:r>
          </w:p>
        </w:tc>
        <w:tc>
          <w:tcPr>
            <w:tcW w:w="260" w:type="dxa"/>
            <w:vAlign w:val="bottom"/>
          </w:tcPr>
          <w:p>
            <w:pPr>
              <w:spacing w:after="0"/>
              <w:rPr>
                <w:sz w:val="14"/>
                <w:szCs w:val="14"/>
                <w:color w:val="auto"/>
              </w:rPr>
            </w:pPr>
          </w:p>
        </w:tc>
        <w:tc>
          <w:tcPr>
            <w:tcW w:w="11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w w:val="99"/>
              </w:rPr>
              <w:t>ACCUMULATED</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2760" w:type="dxa"/>
            <w:vAlign w:val="bottom"/>
          </w:tcPr>
          <w:p>
            <w:pPr>
              <w:spacing w:after="0"/>
              <w:rPr>
                <w:sz w:val="14"/>
                <w:szCs w:val="14"/>
                <w:color w:val="auto"/>
              </w:rPr>
            </w:pPr>
          </w:p>
        </w:tc>
        <w:tc>
          <w:tcPr>
            <w:tcW w:w="1660" w:type="dxa"/>
            <w:vAlign w:val="bottom"/>
          </w:tcPr>
          <w:p>
            <w:pPr>
              <w:ind w:left="560"/>
              <w:spacing w:after="0"/>
              <w:rPr>
                <w:sz w:val="20"/>
                <w:szCs w:val="20"/>
                <w:color w:val="auto"/>
              </w:rPr>
            </w:pPr>
            <w:r>
              <w:rPr>
                <w:rFonts w:ascii="Courier New" w:cs="Courier New" w:eastAsia="Courier New" w:hAnsi="Courier New"/>
                <w:sz w:val="14"/>
                <w:szCs w:val="14"/>
                <w:color w:val="auto"/>
              </w:rPr>
              <w:t>PAID-IN</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STOCKHOLDERS'</w:t>
            </w:r>
          </w:p>
        </w:tc>
        <w:tc>
          <w:tcPr>
            <w:tcW w:w="0" w:type="dxa"/>
            <w:vAlign w:val="bottom"/>
          </w:tcPr>
          <w:p>
            <w:pPr>
              <w:spacing w:after="0"/>
              <w:rPr>
                <w:sz w:val="1"/>
                <w:szCs w:val="1"/>
                <w:color w:val="auto"/>
              </w:rPr>
            </w:pPr>
          </w:p>
        </w:tc>
      </w:tr>
      <w:tr>
        <w:trPr>
          <w:trHeight w:val="238"/>
        </w:trPr>
        <w:tc>
          <w:tcPr>
            <w:tcW w:w="2760" w:type="dxa"/>
            <w:vAlign w:val="bottom"/>
          </w:tcPr>
          <w:p>
            <w:pPr>
              <w:spacing w:after="0"/>
              <w:rPr>
                <w:sz w:val="20"/>
                <w:szCs w:val="20"/>
                <w:color w:val="auto"/>
              </w:rPr>
            </w:pPr>
          </w:p>
        </w:tc>
        <w:tc>
          <w:tcPr>
            <w:tcW w:w="1660" w:type="dxa"/>
            <w:vAlign w:val="bottom"/>
          </w:tcPr>
          <w:p>
            <w:pPr>
              <w:ind w:left="560"/>
              <w:spacing w:after="0"/>
              <w:rPr>
                <w:sz w:val="20"/>
                <w:szCs w:val="20"/>
                <w:color w:val="auto"/>
              </w:rPr>
            </w:pPr>
            <w:r>
              <w:rPr>
                <w:rFonts w:ascii="Courier New" w:cs="Courier New" w:eastAsia="Courier New" w:hAnsi="Courier New"/>
                <w:sz w:val="14"/>
                <w:szCs w:val="14"/>
                <w:color w:val="auto"/>
              </w:rPr>
              <w:t>CAPITAL</w:t>
            </w:r>
          </w:p>
        </w:tc>
        <w:tc>
          <w:tcPr>
            <w:tcW w:w="300" w:type="dxa"/>
            <w:vAlign w:val="bottom"/>
          </w:tcPr>
          <w:p>
            <w:pPr>
              <w:spacing w:after="0"/>
              <w:rPr>
                <w:sz w:val="20"/>
                <w:szCs w:val="20"/>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EARNINGS</w:t>
            </w:r>
          </w:p>
        </w:tc>
        <w:tc>
          <w:tcPr>
            <w:tcW w:w="240" w:type="dxa"/>
            <w:vAlign w:val="bottom"/>
          </w:tcPr>
          <w:p>
            <w:pPr>
              <w:spacing w:after="0"/>
              <w:rPr>
                <w:sz w:val="20"/>
                <w:szCs w:val="20"/>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NET INCOME</w:t>
            </w:r>
          </w:p>
        </w:tc>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DISTRIBUTIONS</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EQUITY</w:t>
            </w:r>
          </w:p>
        </w:tc>
        <w:tc>
          <w:tcPr>
            <w:tcW w:w="0" w:type="dxa"/>
            <w:vAlign w:val="bottom"/>
          </w:tcPr>
          <w:p>
            <w:pPr>
              <w:spacing w:after="0"/>
              <w:rPr>
                <w:sz w:val="1"/>
                <w:szCs w:val="1"/>
                <w:color w:val="auto"/>
              </w:rPr>
            </w:pPr>
          </w:p>
        </w:tc>
      </w:tr>
      <w:tr>
        <w:trPr>
          <w:trHeight w:val="489"/>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398,493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52,693</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451,986</w:t>
            </w:r>
          </w:p>
        </w:tc>
        <w:tc>
          <w:tcPr>
            <w:tcW w:w="0" w:type="dxa"/>
            <w:vAlign w:val="bottom"/>
          </w:tcPr>
          <w:p>
            <w:pPr>
              <w:spacing w:after="0"/>
              <w:rPr>
                <w:sz w:val="1"/>
                <w:szCs w:val="1"/>
                <w:color w:val="auto"/>
              </w:rPr>
            </w:pPr>
          </w:p>
        </w:tc>
      </w:tr>
      <w:tr>
        <w:trPr>
          <w:trHeight w:val="252"/>
        </w:trPr>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Acquisition of Old</w:t>
            </w:r>
          </w:p>
        </w:tc>
        <w:tc>
          <w:tcPr>
            <w:tcW w:w="16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952,927</w:t>
            </w:r>
          </w:p>
        </w:tc>
        <w:tc>
          <w:tcPr>
            <w:tcW w:w="300" w:type="dxa"/>
            <w:vAlign w:val="bottom"/>
          </w:tcPr>
          <w:p>
            <w:pPr>
              <w:spacing w:after="0"/>
              <w:rPr>
                <w:sz w:val="21"/>
                <w:szCs w:val="21"/>
                <w:color w:val="auto"/>
              </w:rPr>
            </w:pPr>
          </w:p>
        </w:tc>
        <w:tc>
          <w:tcPr>
            <w:tcW w:w="10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21"/>
                <w:szCs w:val="21"/>
                <w:color w:val="auto"/>
              </w:rPr>
            </w:pPr>
          </w:p>
        </w:tc>
        <w:tc>
          <w:tcPr>
            <w:tcW w:w="10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1"/>
                <w:szCs w:val="21"/>
                <w:color w:val="auto"/>
              </w:rPr>
            </w:pPr>
          </w:p>
        </w:tc>
        <w:tc>
          <w:tcPr>
            <w:tcW w:w="11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1,060,680</w:t>
            </w:r>
          </w:p>
        </w:tc>
        <w:tc>
          <w:tcPr>
            <w:tcW w:w="0" w:type="dxa"/>
            <w:vAlign w:val="bottom"/>
          </w:tcPr>
          <w:p>
            <w:pPr>
              <w:spacing w:after="0"/>
              <w:rPr>
                <w:sz w:val="1"/>
                <w:szCs w:val="1"/>
                <w:color w:val="auto"/>
              </w:rPr>
            </w:pPr>
          </w:p>
        </w:tc>
      </w:tr>
      <w:tr>
        <w:trPr>
          <w:trHeight w:val="163"/>
        </w:trPr>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Prison Realty</w:t>
            </w:r>
          </w:p>
        </w:tc>
        <w:tc>
          <w:tcPr>
            <w:tcW w:w="1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Effect of election of</w:t>
            </w: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status as a real</w:t>
            </w:r>
          </w:p>
        </w:tc>
        <w:tc>
          <w:tcPr>
            <w:tcW w:w="16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52,693</w:t>
            </w:r>
          </w:p>
        </w:tc>
        <w:tc>
          <w:tcPr>
            <w:tcW w:w="300" w:type="dxa"/>
            <w:vAlign w:val="bottom"/>
          </w:tcPr>
          <w:p>
            <w:pPr>
              <w:spacing w:after="0"/>
              <w:rPr>
                <w:sz w:val="14"/>
                <w:szCs w:val="14"/>
                <w:color w:val="auto"/>
              </w:rPr>
            </w:pPr>
          </w:p>
        </w:tc>
        <w:tc>
          <w:tcPr>
            <w:tcW w:w="10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(52,693)</w:t>
            </w:r>
          </w:p>
        </w:tc>
        <w:tc>
          <w:tcPr>
            <w:tcW w:w="240" w:type="dxa"/>
            <w:vAlign w:val="bottom"/>
          </w:tcPr>
          <w:p>
            <w:pPr>
              <w:spacing w:after="0"/>
              <w:rPr>
                <w:sz w:val="14"/>
                <w:szCs w:val="14"/>
                <w:color w:val="auto"/>
              </w:rPr>
            </w:pPr>
          </w:p>
        </w:tc>
        <w:tc>
          <w:tcPr>
            <w:tcW w:w="10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estate investment</w:t>
            </w:r>
          </w:p>
        </w:tc>
        <w:tc>
          <w:tcPr>
            <w:tcW w:w="1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trust</w:t>
            </w: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Issuance of common</w:t>
            </w:r>
          </w:p>
        </w:tc>
        <w:tc>
          <w:tcPr>
            <w:tcW w:w="16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131,898</w:t>
            </w:r>
          </w:p>
        </w:tc>
        <w:tc>
          <w:tcPr>
            <w:tcW w:w="300" w:type="dxa"/>
            <w:vAlign w:val="bottom"/>
          </w:tcPr>
          <w:p>
            <w:pPr>
              <w:spacing w:after="0"/>
              <w:rPr>
                <w:sz w:val="14"/>
                <w:szCs w:val="14"/>
                <w:color w:val="auto"/>
              </w:rPr>
            </w:pPr>
          </w:p>
        </w:tc>
        <w:tc>
          <w:tcPr>
            <w:tcW w:w="10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0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131,977</w:t>
            </w:r>
          </w:p>
        </w:tc>
        <w:tc>
          <w:tcPr>
            <w:tcW w:w="0" w:type="dxa"/>
            <w:vAlign w:val="bottom"/>
          </w:tcPr>
          <w:p>
            <w:pPr>
              <w:spacing w:after="0"/>
              <w:rPr>
                <w:sz w:val="1"/>
                <w:szCs w:val="1"/>
                <w:color w:val="auto"/>
              </w:rPr>
            </w:pPr>
          </w:p>
        </w:tc>
      </w:tr>
      <w:tr>
        <w:trPr>
          <w:trHeight w:val="163"/>
        </w:trPr>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1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Stock options exercised</w:t>
            </w: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406</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166</w:t>
            </w:r>
          </w:p>
        </w:tc>
        <w:tc>
          <w:tcPr>
            <w:tcW w:w="0" w:type="dxa"/>
            <w:vAlign w:val="bottom"/>
          </w:tcPr>
          <w:p>
            <w:pPr>
              <w:spacing w:after="0"/>
              <w:rPr>
                <w:sz w:val="1"/>
                <w:szCs w:val="1"/>
                <w:color w:val="auto"/>
              </w:rPr>
            </w:pPr>
          </w:p>
        </w:tc>
      </w:tr>
      <w:tr>
        <w:trPr>
          <w:trHeight w:val="163"/>
        </w:trPr>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Conversion of</w:t>
            </w:r>
          </w:p>
        </w:tc>
        <w:tc>
          <w:tcPr>
            <w:tcW w:w="16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45,789</w:t>
            </w:r>
          </w:p>
        </w:tc>
        <w:tc>
          <w:tcPr>
            <w:tcW w:w="300" w:type="dxa"/>
            <w:vAlign w:val="bottom"/>
          </w:tcPr>
          <w:p>
            <w:pPr>
              <w:spacing w:after="0"/>
              <w:rPr>
                <w:sz w:val="14"/>
                <w:szCs w:val="14"/>
                <w:color w:val="auto"/>
              </w:rPr>
            </w:pPr>
          </w:p>
        </w:tc>
        <w:tc>
          <w:tcPr>
            <w:tcW w:w="10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0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45,839</w:t>
            </w:r>
          </w:p>
        </w:tc>
        <w:tc>
          <w:tcPr>
            <w:tcW w:w="0" w:type="dxa"/>
            <w:vAlign w:val="bottom"/>
          </w:tcPr>
          <w:p>
            <w:pPr>
              <w:spacing w:after="0"/>
              <w:rPr>
                <w:sz w:val="1"/>
                <w:szCs w:val="1"/>
                <w:color w:val="auto"/>
              </w:rPr>
            </w:pPr>
          </w:p>
        </w:tc>
      </w:tr>
      <w:tr>
        <w:trPr>
          <w:trHeight w:val="163"/>
        </w:trPr>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1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Shares issued to</w:t>
            </w: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125</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125</w:t>
            </w:r>
          </w:p>
        </w:tc>
        <w:tc>
          <w:tcPr>
            <w:tcW w:w="0" w:type="dxa"/>
            <w:vAlign w:val="bottom"/>
          </w:tcPr>
          <w:p>
            <w:pPr>
              <w:spacing w:after="0"/>
              <w:rPr>
                <w:sz w:val="1"/>
                <w:szCs w:val="1"/>
                <w:color w:val="auto"/>
              </w:rPr>
            </w:pPr>
          </w:p>
        </w:tc>
      </w:tr>
      <w:tr>
        <w:trPr>
          <w:trHeight w:val="163"/>
        </w:trPr>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trustees</w:t>
            </w: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Compensation expense</w:t>
            </w: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related to deferred</w:t>
            </w: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stock awards and</w:t>
            </w:r>
          </w:p>
        </w:tc>
        <w:tc>
          <w:tcPr>
            <w:tcW w:w="16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606</w:t>
            </w:r>
          </w:p>
        </w:tc>
        <w:tc>
          <w:tcPr>
            <w:tcW w:w="300" w:type="dxa"/>
            <w:vAlign w:val="bottom"/>
          </w:tcPr>
          <w:p>
            <w:pPr>
              <w:spacing w:after="0"/>
              <w:rPr>
                <w:sz w:val="14"/>
                <w:szCs w:val="14"/>
                <w:color w:val="auto"/>
              </w:rPr>
            </w:pPr>
          </w:p>
        </w:tc>
        <w:tc>
          <w:tcPr>
            <w:tcW w:w="10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0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606</w:t>
            </w:r>
          </w:p>
        </w:tc>
        <w:tc>
          <w:tcPr>
            <w:tcW w:w="0" w:type="dxa"/>
            <w:vAlign w:val="bottom"/>
          </w:tcPr>
          <w:p>
            <w:pPr>
              <w:spacing w:after="0"/>
              <w:rPr>
                <w:sz w:val="1"/>
                <w:szCs w:val="1"/>
                <w:color w:val="auto"/>
              </w:rPr>
            </w:pPr>
          </w:p>
        </w:tc>
      </w:tr>
      <w:tr>
        <w:trPr>
          <w:trHeight w:val="163"/>
        </w:trPr>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stock options</w:t>
            </w:r>
          </w:p>
        </w:tc>
        <w:tc>
          <w:tcPr>
            <w:tcW w:w="1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Net income</w:t>
            </w:r>
          </w:p>
        </w:tc>
        <w:tc>
          <w:tcPr>
            <w:tcW w:w="16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(83,200)</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29,824</w:t>
            </w:r>
          </w:p>
        </w:tc>
        <w:tc>
          <w:tcPr>
            <w:tcW w:w="26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(53,376)</w:t>
            </w:r>
          </w:p>
        </w:tc>
        <w:tc>
          <w:tcPr>
            <w:tcW w:w="0" w:type="dxa"/>
            <w:vAlign w:val="bottom"/>
          </w:tcPr>
          <w:p>
            <w:pPr>
              <w:spacing w:after="0"/>
              <w:rPr>
                <w:sz w:val="1"/>
                <w:szCs w:val="1"/>
                <w:color w:val="auto"/>
              </w:rPr>
            </w:pPr>
          </w:p>
        </w:tc>
      </w:tr>
      <w:tr>
        <w:trPr>
          <w:trHeight w:val="163"/>
        </w:trPr>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Distributions to</w:t>
            </w:r>
          </w:p>
        </w:tc>
        <w:tc>
          <w:tcPr>
            <w:tcW w:w="16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(152,510)</w:t>
            </w:r>
          </w:p>
        </w:tc>
        <w:tc>
          <w:tcPr>
            <w:tcW w:w="300" w:type="dxa"/>
            <w:vAlign w:val="bottom"/>
          </w:tcPr>
          <w:p>
            <w:pPr>
              <w:spacing w:after="0"/>
              <w:rPr>
                <w:sz w:val="14"/>
                <w:szCs w:val="14"/>
                <w:color w:val="auto"/>
              </w:rPr>
            </w:pPr>
          </w:p>
        </w:tc>
        <w:tc>
          <w:tcPr>
            <w:tcW w:w="10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0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(65,144)</w:t>
            </w:r>
          </w:p>
        </w:tc>
        <w:tc>
          <w:tcPr>
            <w:tcW w:w="14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(217,654)</w:t>
            </w:r>
          </w:p>
        </w:tc>
        <w:tc>
          <w:tcPr>
            <w:tcW w:w="0" w:type="dxa"/>
            <w:vAlign w:val="bottom"/>
          </w:tcPr>
          <w:p>
            <w:pPr>
              <w:spacing w:after="0"/>
              <w:rPr>
                <w:sz w:val="1"/>
                <w:szCs w:val="1"/>
                <w:color w:val="auto"/>
              </w:rPr>
            </w:pPr>
          </w:p>
        </w:tc>
      </w:tr>
      <w:tr>
        <w:trPr>
          <w:trHeight w:val="163"/>
        </w:trPr>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shareholders</w:t>
            </w:r>
          </w:p>
        </w:tc>
        <w:tc>
          <w:tcPr>
            <w:tcW w:w="1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vMerge w:val="restart"/>
          </w:tcPr>
          <w:p>
            <w:pPr>
              <w:spacing w:after="0"/>
              <w:rPr>
                <w:sz w:val="20"/>
                <w:szCs w:val="20"/>
                <w:color w:val="auto"/>
              </w:rPr>
            </w:pPr>
            <w:r>
              <w:rPr>
                <w:rFonts w:ascii="Courier New" w:cs="Courier New" w:eastAsia="Courier New" w:hAnsi="Courier New"/>
                <w:sz w:val="14"/>
                <w:szCs w:val="14"/>
                <w:color w:val="auto"/>
              </w:rPr>
              <w:t>BALANCE, DECEMBER 31, 1999</w:t>
            </w: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760" w:type="dxa"/>
            <w:vAlign w:val="bottom"/>
            <w:vMerge w:val="continue"/>
          </w:tcPr>
          <w:p>
            <w:pPr>
              <w:spacing w:after="0"/>
              <w:rPr>
                <w:sz w:val="14"/>
                <w:szCs w:val="14"/>
                <w:color w:val="auto"/>
              </w:rPr>
            </w:pP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$ 1,347,227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29,824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(65,144)</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$ 1,420,349</w:t>
            </w:r>
          </w:p>
        </w:tc>
        <w:tc>
          <w:tcPr>
            <w:tcW w:w="0" w:type="dxa"/>
            <w:vAlign w:val="bottom"/>
          </w:tcPr>
          <w:p>
            <w:pPr>
              <w:spacing w:after="0"/>
              <w:rPr>
                <w:sz w:val="1"/>
                <w:szCs w:val="1"/>
                <w:color w:val="auto"/>
              </w:rPr>
            </w:pPr>
          </w:p>
        </w:tc>
      </w:tr>
      <w:tr>
        <w:trPr>
          <w:trHeight w:val="238"/>
        </w:trPr>
        <w:tc>
          <w:tcPr>
            <w:tcW w:w="2760" w:type="dxa"/>
            <w:vAlign w:val="bottom"/>
          </w:tcPr>
          <w:p>
            <w:pPr>
              <w:spacing w:after="0"/>
              <w:rPr>
                <w:sz w:val="20"/>
                <w:szCs w:val="20"/>
                <w:color w:val="auto"/>
              </w:rPr>
            </w:pP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ectPr>
          <w:pgSz w:w="11900" w:h="16838" w:orient="portrait"/>
          <w:cols w:equalWidth="0" w:num="1">
            <w:col w:w="11040"/>
          </w:cols>
          <w:pgMar w:left="300" w:top="257" w:right="5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1040"/>
          </w:cols>
          <w:pgMar w:left="300" w:top="257" w:right="559" w:bottom="1440" w:gutter="0" w:footer="0" w:header="0"/>
          <w:type w:val="continuous"/>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128</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ind w:left="1620"/>
              <w:spacing w:after="0"/>
              <w:rPr>
                <w:sz w:val="20"/>
                <w:szCs w:val="20"/>
                <w:color w:val="auto"/>
              </w:rPr>
            </w:pPr>
            <w:r>
              <w:rPr>
                <w:rFonts w:ascii="Courier New" w:cs="Courier New" w:eastAsia="Courier New" w:hAnsi="Courier New"/>
                <w:sz w:val="14"/>
                <w:szCs w:val="14"/>
                <w:color w:val="auto"/>
              </w:rPr>
              <w:t>PRISON REALTY TRUST, INC. AND SUBSIDIARIES</w:t>
            </w:r>
          </w:p>
        </w:tc>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6800" w:type="dxa"/>
            <w:vAlign w:val="bottom"/>
          </w:tcPr>
          <w:p>
            <w:pPr>
              <w:ind w:left="1880"/>
              <w:spacing w:after="0"/>
              <w:rPr>
                <w:sz w:val="20"/>
                <w:szCs w:val="20"/>
                <w:color w:val="auto"/>
              </w:rPr>
            </w:pPr>
            <w:r>
              <w:rPr>
                <w:rFonts w:ascii="Courier New" w:cs="Courier New" w:eastAsia="Courier New" w:hAnsi="Courier New"/>
                <w:sz w:val="14"/>
                <w:szCs w:val="14"/>
                <w:color w:val="auto"/>
              </w:rPr>
              <w:t>CONSOLIDATED STATEMENTS OF CASH FLOWS</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800" w:type="dxa"/>
            <w:vAlign w:val="bottom"/>
          </w:tcPr>
          <w:p>
            <w:pPr>
              <w:ind w:left="1200"/>
              <w:spacing w:after="0"/>
              <w:rPr>
                <w:sz w:val="20"/>
                <w:szCs w:val="20"/>
                <w:color w:val="auto"/>
              </w:rPr>
            </w:pPr>
            <w:r>
              <w:rPr>
                <w:rFonts w:ascii="Courier New" w:cs="Courier New" w:eastAsia="Courier New" w:hAnsi="Courier New"/>
                <w:sz w:val="14"/>
                <w:szCs w:val="14"/>
                <w:color w:val="auto"/>
              </w:rPr>
              <w:t>FOR THE YEARS ENDED DECEMBER 31, 1999, 1998 AND 1997</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800" w:type="dxa"/>
            <w:vAlign w:val="bottom"/>
          </w:tcPr>
          <w:p>
            <w:pPr>
              <w:ind w:left="2800"/>
              <w:spacing w:after="0"/>
              <w:rPr>
                <w:sz w:val="20"/>
                <w:szCs w:val="20"/>
                <w:color w:val="auto"/>
              </w:rPr>
            </w:pPr>
            <w:r>
              <w:rPr>
                <w:rFonts w:ascii="Courier New" w:cs="Courier New" w:eastAsia="Courier New" w:hAnsi="Courier New"/>
                <w:sz w:val="14"/>
                <w:szCs w:val="14"/>
                <w:color w:val="auto"/>
              </w:rPr>
              <w:t>(IN THOUSANDS)</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6800" w:type="dxa"/>
            <w:vAlign w:val="bottom"/>
          </w:tcPr>
          <w:p>
            <w:pPr>
              <w:spacing w:after="0"/>
              <w:rPr>
                <w:sz w:val="24"/>
                <w:szCs w:val="24"/>
                <w:color w:val="auto"/>
              </w:rPr>
            </w:pPr>
          </w:p>
        </w:tc>
        <w:tc>
          <w:tcPr>
            <w:tcW w:w="14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14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spacing w:after="0"/>
              <w:rPr>
                <w:sz w:val="24"/>
                <w:szCs w:val="2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6"/>
        </w:trPr>
        <w:tc>
          <w:tcPr>
            <w:tcW w:w="68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800" w:type="dxa"/>
            <w:vAlign w:val="bottom"/>
          </w:tcPr>
          <w:p>
            <w:pPr>
              <w:ind w:left="600"/>
              <w:spacing w:after="0"/>
              <w:rPr>
                <w:sz w:val="20"/>
                <w:szCs w:val="20"/>
                <w:color w:val="auto"/>
              </w:rPr>
            </w:pPr>
            <w:r>
              <w:rPr>
                <w:rFonts w:ascii="Courier New" w:cs="Courier New" w:eastAsia="Courier New" w:hAnsi="Courier New"/>
                <w:sz w:val="14"/>
                <w:szCs w:val="14"/>
                <w:color w:val="auto"/>
              </w:rPr>
              <w:t>Net income (loss)</w:t>
            </w: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(53,376)</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10,836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53,955</w:t>
            </w:r>
          </w:p>
        </w:tc>
        <w:tc>
          <w:tcPr>
            <w:tcW w:w="0" w:type="dxa"/>
            <w:vAlign w:val="bottom"/>
          </w:tcPr>
          <w:p>
            <w:pPr>
              <w:spacing w:after="0"/>
              <w:rPr>
                <w:sz w:val="1"/>
                <w:szCs w:val="1"/>
                <w:color w:val="auto"/>
              </w:rPr>
            </w:pPr>
          </w:p>
        </w:tc>
      </w:tr>
      <w:tr>
        <w:trPr>
          <w:trHeight w:val="163"/>
        </w:trPr>
        <w:tc>
          <w:tcPr>
            <w:tcW w:w="6800" w:type="dxa"/>
            <w:vAlign w:val="bottom"/>
          </w:tcPr>
          <w:p>
            <w:pPr>
              <w:ind w:left="600"/>
              <w:spacing w:after="0"/>
              <w:rPr>
                <w:sz w:val="20"/>
                <w:szCs w:val="20"/>
                <w:color w:val="auto"/>
              </w:rPr>
            </w:pPr>
            <w:r>
              <w:rPr>
                <w:rFonts w:ascii="Courier New" w:cs="Courier New" w:eastAsia="Courier New" w:hAnsi="Courier New"/>
                <w:sz w:val="14"/>
                <w:szCs w:val="14"/>
                <w:color w:val="auto"/>
              </w:rPr>
              <w:t>Adjustments to reconcile net income (loss) to net cash provided</w:t>
            </w: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by operating activities:</w:t>
            </w:r>
          </w:p>
        </w:tc>
        <w:tc>
          <w:tcPr>
            <w:tcW w:w="148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44,062</w:t>
            </w:r>
          </w:p>
        </w:tc>
        <w:tc>
          <w:tcPr>
            <w:tcW w:w="14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14,363</w:t>
            </w:r>
          </w:p>
        </w:tc>
        <w:tc>
          <w:tcPr>
            <w:tcW w:w="38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13,378</w:t>
            </w: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Depreciation and amortization expense</w:t>
            </w:r>
          </w:p>
        </w:tc>
        <w:tc>
          <w:tcPr>
            <w:tcW w:w="14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Amortization of debt issuance costs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7,901</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1,610</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715</w:t>
            </w: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Provision for change in tax status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83,200</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Deferred and other noncash income taxes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(40,719)</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(6,329)</w:t>
            </w: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Other noncash items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3,679</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757</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457</w:t>
            </w: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(Gain) loss on disposals of assets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1,995</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1,083</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(881)</w:t>
            </w: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Equity in earnings of unconsolidated entities and</w:t>
            </w:r>
          </w:p>
        </w:tc>
        <w:tc>
          <w:tcPr>
            <w:tcW w:w="14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(22,886)</w:t>
            </w:r>
          </w:p>
        </w:tc>
        <w:tc>
          <w:tcPr>
            <w:tcW w:w="14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(535)</w:t>
            </w:r>
          </w:p>
        </w:tc>
        <w:tc>
          <w:tcPr>
            <w:tcW w:w="3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(916)</w:t>
            </w:r>
          </w:p>
        </w:tc>
        <w:tc>
          <w:tcPr>
            <w:tcW w:w="0" w:type="dxa"/>
            <w:vAlign w:val="bottom"/>
          </w:tcPr>
          <w:p>
            <w:pPr>
              <w:spacing w:after="0"/>
              <w:rPr>
                <w:sz w:val="1"/>
                <w:szCs w:val="1"/>
                <w:color w:val="auto"/>
              </w:rPr>
            </w:pPr>
          </w:p>
        </w:tc>
      </w:tr>
      <w:tr>
        <w:trPr>
          <w:trHeight w:val="163"/>
        </w:trPr>
        <w:tc>
          <w:tcPr>
            <w:tcW w:w="6800" w:type="dxa"/>
            <w:vAlign w:val="bottom"/>
          </w:tcPr>
          <w:p>
            <w:pPr>
              <w:ind w:left="1200"/>
              <w:spacing w:after="0"/>
              <w:rPr>
                <w:sz w:val="20"/>
                <w:szCs w:val="20"/>
                <w:color w:val="auto"/>
              </w:rPr>
            </w:pPr>
            <w:r>
              <w:rPr>
                <w:rFonts w:ascii="Courier New" w:cs="Courier New" w:eastAsia="Courier New" w:hAnsi="Courier New"/>
                <w:sz w:val="14"/>
                <w:szCs w:val="14"/>
                <w:color w:val="auto"/>
              </w:rPr>
              <w:t>amortization of deferred gains</w:t>
            </w:r>
          </w:p>
        </w:tc>
        <w:tc>
          <w:tcPr>
            <w:tcW w:w="14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Recognized gain on real estate transactions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(13,984)</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(5,906)</w:t>
            </w: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Write-off of amounts under lease arrangements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65,677</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Impairment loss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76,433</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Write-offs of loan costs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14,567</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2,043</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New CCA compensation charge</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22,850</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tcPr>
          <w:p>
            <w:pPr>
              <w:ind w:left="860"/>
              <w:spacing w:after="0"/>
              <w:rPr>
                <w:sz w:val="20"/>
                <w:szCs w:val="20"/>
                <w:color w:val="auto"/>
              </w:rPr>
            </w:pPr>
            <w:r>
              <w:rPr>
                <w:rFonts w:ascii="Courier New" w:cs="Courier New" w:eastAsia="Courier New" w:hAnsi="Courier New"/>
                <w:sz w:val="14"/>
                <w:szCs w:val="14"/>
                <w:color w:val="auto"/>
              </w:rPr>
              <w:t>Cumulative effect of accounting change</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26,468</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Changes in assets and liabilities, net of acquisitions and divestitures:</w:t>
            </w:r>
          </w:p>
        </w:tc>
        <w:tc>
          <w:tcPr>
            <w:tcW w:w="14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(68,623)</w:t>
            </w:r>
          </w:p>
        </w:tc>
        <w:tc>
          <w:tcPr>
            <w:tcW w:w="14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tcPr>
          <w:p>
            <w:pPr>
              <w:ind w:left="1200"/>
              <w:spacing w:after="0"/>
              <w:rPr>
                <w:sz w:val="20"/>
                <w:szCs w:val="20"/>
                <w:color w:val="auto"/>
              </w:rPr>
            </w:pPr>
            <w:r>
              <w:rPr>
                <w:rFonts w:ascii="Courier New" w:cs="Courier New" w:eastAsia="Courier New" w:hAnsi="Courier New"/>
                <w:sz w:val="14"/>
                <w:szCs w:val="14"/>
                <w:color w:val="auto"/>
              </w:rPr>
              <w:t>Payments under lease arrangements</w:t>
            </w:r>
          </w:p>
        </w:tc>
        <w:tc>
          <w:tcPr>
            <w:tcW w:w="14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800" w:type="dxa"/>
            <w:vAlign w:val="bottom"/>
          </w:tcPr>
          <w:p>
            <w:pPr>
              <w:ind w:left="1200"/>
              <w:spacing w:after="0"/>
              <w:rPr>
                <w:sz w:val="20"/>
                <w:szCs w:val="20"/>
                <w:color w:val="auto"/>
              </w:rPr>
            </w:pPr>
            <w:r>
              <w:rPr>
                <w:rFonts w:ascii="Courier New" w:cs="Courier New" w:eastAsia="Courier New" w:hAnsi="Courier New"/>
                <w:sz w:val="14"/>
                <w:szCs w:val="14"/>
                <w:color w:val="auto"/>
              </w:rPr>
              <w:t>Receivable from New CCA</w:t>
            </w: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(28,608)</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tcPr>
          <w:p>
            <w:pPr>
              <w:ind w:left="1200"/>
              <w:spacing w:after="0"/>
              <w:rPr>
                <w:sz w:val="20"/>
                <w:szCs w:val="20"/>
                <w:color w:val="auto"/>
              </w:rPr>
            </w:pPr>
            <w:r>
              <w:rPr>
                <w:rFonts w:ascii="Courier New" w:cs="Courier New" w:eastAsia="Courier New" w:hAnsi="Courier New"/>
                <w:sz w:val="14"/>
                <w:szCs w:val="14"/>
                <w:color w:val="auto"/>
              </w:rPr>
              <w:t>Other assets</w:t>
            </w: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(2,732)</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(39,678)</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13,157</w:t>
            </w:r>
          </w:p>
        </w:tc>
        <w:tc>
          <w:tcPr>
            <w:tcW w:w="0" w:type="dxa"/>
            <w:vAlign w:val="bottom"/>
          </w:tcPr>
          <w:p>
            <w:pPr>
              <w:spacing w:after="0"/>
              <w:rPr>
                <w:sz w:val="1"/>
                <w:szCs w:val="1"/>
                <w:color w:val="auto"/>
              </w:rPr>
            </w:pPr>
          </w:p>
        </w:tc>
      </w:tr>
      <w:tr>
        <w:trPr>
          <w:trHeight w:val="163"/>
        </w:trPr>
        <w:tc>
          <w:tcPr>
            <w:tcW w:w="6800" w:type="dxa"/>
            <w:vAlign w:val="bottom"/>
          </w:tcPr>
          <w:p>
            <w:pPr>
              <w:ind w:left="1200"/>
              <w:spacing w:after="0"/>
              <w:rPr>
                <w:sz w:val="20"/>
                <w:szCs w:val="20"/>
                <w:color w:val="auto"/>
              </w:rPr>
            </w:pPr>
            <w:r>
              <w:rPr>
                <w:rFonts w:ascii="Courier New" w:cs="Courier New" w:eastAsia="Courier New" w:hAnsi="Courier New"/>
                <w:sz w:val="14"/>
                <w:szCs w:val="14"/>
                <w:color w:val="auto"/>
              </w:rPr>
              <w:t>Accounts payable and accrued expenses</w:t>
            </w: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(32,302)</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68,565</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11,106</w:t>
            </w:r>
          </w:p>
        </w:tc>
        <w:tc>
          <w:tcPr>
            <w:tcW w:w="0" w:type="dxa"/>
            <w:vAlign w:val="bottom"/>
          </w:tcPr>
          <w:p>
            <w:pPr>
              <w:spacing w:after="0"/>
              <w:rPr>
                <w:sz w:val="1"/>
                <w:szCs w:val="1"/>
                <w:color w:val="auto"/>
              </w:rPr>
            </w:pPr>
          </w:p>
        </w:tc>
      </w:tr>
      <w:tr>
        <w:trPr>
          <w:trHeight w:val="163"/>
        </w:trPr>
        <w:tc>
          <w:tcPr>
            <w:tcW w:w="6800" w:type="dxa"/>
            <w:vAlign w:val="bottom"/>
          </w:tcPr>
          <w:p>
            <w:pPr>
              <w:ind w:left="1200"/>
              <w:spacing w:after="0"/>
              <w:rPr>
                <w:sz w:val="20"/>
                <w:szCs w:val="20"/>
                <w:color w:val="auto"/>
              </w:rPr>
            </w:pPr>
            <w:r>
              <w:rPr>
                <w:rFonts w:ascii="Courier New" w:cs="Courier New" w:eastAsia="Courier New" w:hAnsi="Courier New"/>
                <w:sz w:val="14"/>
                <w:szCs w:val="14"/>
                <w:color w:val="auto"/>
              </w:rPr>
              <w:t>Income taxes payable</w:t>
            </w: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(9,490)</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838</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13,242</w:t>
            </w:r>
          </w:p>
        </w:tc>
        <w:tc>
          <w:tcPr>
            <w:tcW w:w="0" w:type="dxa"/>
            <w:vAlign w:val="bottom"/>
          </w:tcPr>
          <w:p>
            <w:pPr>
              <w:spacing w:after="0"/>
              <w:rPr>
                <w:sz w:val="1"/>
                <w:szCs w:val="1"/>
                <w:color w:val="auto"/>
              </w:rPr>
            </w:pPr>
          </w:p>
        </w:tc>
      </w:tr>
      <w:tr>
        <w:trPr>
          <w:trHeight w:val="163"/>
        </w:trPr>
        <w:tc>
          <w:tcPr>
            <w:tcW w:w="6800" w:type="dxa"/>
            <w:vAlign w:val="bottom"/>
            <w:vMerge w:val="restart"/>
          </w:tcPr>
          <w:p>
            <w:pPr>
              <w:ind w:left="17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vMerge w:val="continue"/>
          </w:tcPr>
          <w:p>
            <w:pPr>
              <w:spacing w:after="0"/>
              <w:rPr>
                <w:sz w:val="14"/>
                <w:szCs w:val="14"/>
                <w:color w:val="auto"/>
              </w:rPr>
            </w:pP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79,497</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54,497</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91,978</w:t>
            </w: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1"/>
        </w:trPr>
        <w:tc>
          <w:tcPr>
            <w:tcW w:w="68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4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(528,935)</w:t>
            </w:r>
          </w:p>
        </w:tc>
        <w:tc>
          <w:tcPr>
            <w:tcW w:w="14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(417,215)</w:t>
            </w:r>
          </w:p>
        </w:tc>
        <w:tc>
          <w:tcPr>
            <w:tcW w:w="38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7"/>
              </w:rPr>
              <w:t>(297,293)</w:t>
            </w: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Additions of property and equipment</w:t>
            </w:r>
          </w:p>
        </w:tc>
        <w:tc>
          <w:tcPr>
            <w:tcW w:w="14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(Increase) decrease in restricted cash and investments</w:t>
            </w: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(7,221)</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4,037</w:t>
            </w: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Cash acquired in purchase of Old Prison Realty</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21,894</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Increase in other assets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3,536</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(17,868)</w:t>
            </w: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Merger costs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(26,270)</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Distributions from investments in PMSI and JJFMSI</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21,668</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Distributions from investments in affiliates, net</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603</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1,707</w:t>
            </w: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Proceeds from disposals of assets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43,959</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61,299</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457,802</w:t>
            </w: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Investment in notes receivable</w:t>
            </w: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(6,117)</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(1,549)</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(38,156)</w:t>
            </w: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Increase in direct financing leases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(84,295)</w:t>
            </w: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Payments received on direct financing leases and notes receivable</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3,643</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4,713</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3,462</w:t>
            </w: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Acquisition of USCC contracts, net of cash acquired</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(9,341)</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tcPr>
          <w:p>
            <w:pPr>
              <w:ind w:left="340"/>
              <w:spacing w:after="0"/>
              <w:rPr>
                <w:sz w:val="20"/>
                <w:szCs w:val="20"/>
                <w:color w:val="auto"/>
              </w:rPr>
            </w:pPr>
            <w:r>
              <w:rPr>
                <w:rFonts w:ascii="Courier New" w:cs="Courier New" w:eastAsia="Courier New" w:hAnsi="Courier New"/>
                <w:sz w:val="14"/>
                <w:szCs w:val="14"/>
                <w:color w:val="auto"/>
              </w:rPr>
              <w:t>Cash acquired by New CCA, PMSI and JJFMSI in sales of contracts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(4,754)</w:t>
            </w:r>
          </w:p>
        </w:tc>
        <w:tc>
          <w:tcPr>
            <w:tcW w:w="3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vMerge w:val="restart"/>
          </w:tcPr>
          <w:p>
            <w:pPr>
              <w:ind w:left="1440"/>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800" w:type="dxa"/>
            <w:vAlign w:val="bottom"/>
            <w:vMerge w:val="continue"/>
          </w:tcPr>
          <w:p>
            <w:pPr>
              <w:spacing w:after="0"/>
              <w:rPr>
                <w:sz w:val="14"/>
                <w:szCs w:val="14"/>
                <w:color w:val="auto"/>
              </w:rPr>
            </w:pP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$(447,573)</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$(392,514)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29,396</w:t>
            </w: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(Continued)</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860"/>
          </w:cols>
          <w:pgMar w:left="300" w:top="257" w:right="739"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129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ind w:left="1620"/>
              <w:spacing w:after="0"/>
              <w:rPr>
                <w:sz w:val="20"/>
                <w:szCs w:val="20"/>
                <w:color w:val="auto"/>
              </w:rPr>
            </w:pPr>
            <w:r>
              <w:rPr>
                <w:rFonts w:ascii="Courier New" w:cs="Courier New" w:eastAsia="Courier New" w:hAnsi="Courier New"/>
                <w:sz w:val="14"/>
                <w:szCs w:val="14"/>
                <w:color w:val="auto"/>
              </w:rPr>
              <w:t>PRISON REALTY TRUST, INC. AND SUBSIDIARIES</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6240" w:type="dxa"/>
            <w:vAlign w:val="bottom"/>
          </w:tcPr>
          <w:p>
            <w:pPr>
              <w:ind w:left="1880"/>
              <w:spacing w:after="0"/>
              <w:rPr>
                <w:sz w:val="20"/>
                <w:szCs w:val="20"/>
                <w:color w:val="auto"/>
              </w:rPr>
            </w:pPr>
            <w:r>
              <w:rPr>
                <w:rFonts w:ascii="Courier New" w:cs="Courier New" w:eastAsia="Courier New" w:hAnsi="Courier New"/>
                <w:sz w:val="14"/>
                <w:szCs w:val="14"/>
                <w:color w:val="auto"/>
              </w:rPr>
              <w:t>CONSOLIDATED STATEMENTS OF CASH FLOWS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240" w:type="dxa"/>
            <w:vAlign w:val="bottom"/>
          </w:tcPr>
          <w:p>
            <w:pPr>
              <w:ind w:left="1200"/>
              <w:spacing w:after="0"/>
              <w:rPr>
                <w:sz w:val="20"/>
                <w:szCs w:val="20"/>
                <w:color w:val="auto"/>
              </w:rPr>
            </w:pPr>
            <w:r>
              <w:rPr>
                <w:rFonts w:ascii="Courier New" w:cs="Courier New" w:eastAsia="Courier New" w:hAnsi="Courier New"/>
                <w:sz w:val="14"/>
                <w:szCs w:val="14"/>
                <w:color w:val="auto"/>
              </w:rPr>
              <w:t>FOR THE YEARS ENDED DECEMBER 31, 1999, 1998 AND 1997</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240" w:type="dxa"/>
            <w:vAlign w:val="bottom"/>
          </w:tcPr>
          <w:p>
            <w:pPr>
              <w:ind w:left="2800"/>
              <w:spacing w:after="0"/>
              <w:rPr>
                <w:sz w:val="20"/>
                <w:szCs w:val="20"/>
                <w:color w:val="auto"/>
              </w:rPr>
            </w:pPr>
            <w:r>
              <w:rPr>
                <w:rFonts w:ascii="Courier New" w:cs="Courier New" w:eastAsia="Courier New" w:hAnsi="Courier New"/>
                <w:sz w:val="14"/>
                <w:szCs w:val="14"/>
                <w:color w:val="auto"/>
              </w:rPr>
              <w:t>(IN THOUSANDS)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240" w:type="dxa"/>
            <w:vAlign w:val="bottom"/>
          </w:tcPr>
          <w:p>
            <w:pPr>
              <w:ind w:left="2980"/>
              <w:spacing w:after="0"/>
              <w:rPr>
                <w:sz w:val="20"/>
                <w:szCs w:val="20"/>
                <w:color w:val="auto"/>
              </w:rPr>
            </w:pPr>
            <w:r>
              <w:rPr>
                <w:rFonts w:ascii="Courier New" w:cs="Courier New" w:eastAsia="Courier New" w:hAnsi="Courier New"/>
                <w:sz w:val="14"/>
                <w:szCs w:val="14"/>
                <w:color w:val="auto"/>
              </w:rPr>
              <w:t>(Continued)</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6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24"/>
                <w:szCs w:val="24"/>
                <w:color w:val="auto"/>
              </w:rPr>
            </w:pPr>
          </w:p>
        </w:tc>
        <w:tc>
          <w:tcPr>
            <w:tcW w:w="10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420" w:type="dxa"/>
            <w:vAlign w:val="bottom"/>
          </w:tcPr>
          <w:p>
            <w:pPr>
              <w:spacing w:after="0"/>
              <w:rPr>
                <w:sz w:val="24"/>
                <w:szCs w:val="24"/>
                <w:color w:val="auto"/>
              </w:rPr>
            </w:pPr>
          </w:p>
        </w:tc>
        <w:tc>
          <w:tcPr>
            <w:tcW w:w="7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6"/>
        </w:trPr>
        <w:tc>
          <w:tcPr>
            <w:tcW w:w="62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Proceeds from issuance of long-term debt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40,000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20,000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Payments on long-term debt</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(76)</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(151)</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(57,194)</w:t>
            </w:r>
          </w:p>
        </w:tc>
        <w:tc>
          <w:tcPr>
            <w:tcW w:w="0" w:type="dxa"/>
            <w:vAlign w:val="bottom"/>
          </w:tcPr>
          <w:p>
            <w:pPr>
              <w:spacing w:after="0"/>
              <w:rPr>
                <w:sz w:val="1"/>
                <w:szCs w:val="1"/>
                <w:color w:val="auto"/>
              </w:rPr>
            </w:pPr>
          </w:p>
        </w:tc>
      </w:tr>
      <w:tr>
        <w:trPr>
          <w:trHeight w:val="163"/>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Proceeds from line of credit, net</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426,634</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162,000</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66,000</w:t>
            </w:r>
          </w:p>
        </w:tc>
        <w:tc>
          <w:tcPr>
            <w:tcW w:w="0" w:type="dxa"/>
            <w:vAlign w:val="bottom"/>
          </w:tcPr>
          <w:p>
            <w:pPr>
              <w:spacing w:after="0"/>
              <w:rPr>
                <w:sz w:val="1"/>
                <w:szCs w:val="1"/>
                <w:color w:val="auto"/>
              </w:rPr>
            </w:pPr>
          </w:p>
        </w:tc>
      </w:tr>
      <w:tr>
        <w:trPr>
          <w:trHeight w:val="163"/>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Proceeds from issuance of senior notes</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100,000</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Payment of debt issuance costs</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(59,619)</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(9,485)</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(2,772)</w:t>
            </w:r>
          </w:p>
        </w:tc>
        <w:tc>
          <w:tcPr>
            <w:tcW w:w="0" w:type="dxa"/>
            <w:vAlign w:val="bottom"/>
          </w:tcPr>
          <w:p>
            <w:pPr>
              <w:spacing w:after="0"/>
              <w:rPr>
                <w:sz w:val="1"/>
                <w:szCs w:val="1"/>
                <w:color w:val="auto"/>
              </w:rPr>
            </w:pPr>
          </w:p>
        </w:tc>
      </w:tr>
      <w:tr>
        <w:trPr>
          <w:trHeight w:val="163"/>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Proceeds from issuance of common stock</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131,977</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66,148</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Distributions paid on common stock</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7"/>
              </w:rPr>
              <w:t>(209,054)</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Distributions paid on preferred stock</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(8,600)</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Proceeds from exercise of stock options and warrants</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166</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2,099</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9,236</w:t>
            </w:r>
          </w:p>
        </w:tc>
        <w:tc>
          <w:tcPr>
            <w:tcW w:w="0" w:type="dxa"/>
            <w:vAlign w:val="bottom"/>
          </w:tcPr>
          <w:p>
            <w:pPr>
              <w:spacing w:after="0"/>
              <w:rPr>
                <w:sz w:val="1"/>
                <w:szCs w:val="1"/>
                <w:color w:val="auto"/>
              </w:rPr>
            </w:pPr>
          </w:p>
        </w:tc>
      </w:tr>
      <w:tr>
        <w:trPr>
          <w:trHeight w:val="163"/>
        </w:trPr>
        <w:tc>
          <w:tcPr>
            <w:tcW w:w="6240" w:type="dxa"/>
            <w:vAlign w:val="bottom"/>
          </w:tcPr>
          <w:p>
            <w:pPr>
              <w:ind w:left="600"/>
              <w:spacing w:after="0"/>
              <w:rPr>
                <w:sz w:val="20"/>
                <w:szCs w:val="20"/>
                <w:color w:val="auto"/>
              </w:rPr>
            </w:pPr>
            <w:r>
              <w:rPr>
                <w:rFonts w:ascii="Courier New" w:cs="Courier New" w:eastAsia="Courier New" w:hAnsi="Courier New"/>
                <w:sz w:val="14"/>
                <w:szCs w:val="14"/>
                <w:color w:val="auto"/>
              </w:rPr>
              <w:t>Purchase of treasury stock</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(7,600)</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(5,329)</w:t>
            </w:r>
          </w:p>
        </w:tc>
        <w:tc>
          <w:tcPr>
            <w:tcW w:w="0" w:type="dxa"/>
            <w:vAlign w:val="bottom"/>
          </w:tcPr>
          <w:p>
            <w:pPr>
              <w:spacing w:after="0"/>
              <w:rPr>
                <w:sz w:val="1"/>
                <w:szCs w:val="1"/>
                <w:color w:val="auto"/>
              </w:rPr>
            </w:pPr>
          </w:p>
        </w:tc>
      </w:tr>
      <w:tr>
        <w:trPr>
          <w:trHeight w:val="163"/>
        </w:trPr>
        <w:tc>
          <w:tcPr>
            <w:tcW w:w="6240" w:type="dxa"/>
            <w:vAlign w:val="bottom"/>
            <w:vMerge w:val="restart"/>
          </w:tcPr>
          <w:p>
            <w:pPr>
              <w:ind w:left="144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421,428</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233,011</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9,941</w:t>
            </w: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380" w:type="dxa"/>
            <w:vAlign w:val="bottom"/>
          </w:tcPr>
          <w:p>
            <w:pPr>
              <w:spacing w:after="0"/>
              <w:rPr>
                <w:sz w:val="24"/>
                <w:szCs w:val="24"/>
                <w:color w:val="auto"/>
              </w:rPr>
            </w:pPr>
          </w:p>
        </w:tc>
        <w:tc>
          <w:tcPr>
            <w:tcW w:w="106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53,352</w:t>
            </w:r>
          </w:p>
        </w:tc>
        <w:tc>
          <w:tcPr>
            <w:tcW w:w="380" w:type="dxa"/>
            <w:vAlign w:val="bottom"/>
          </w:tcPr>
          <w:p>
            <w:pPr>
              <w:spacing w:after="0"/>
              <w:rPr>
                <w:sz w:val="24"/>
                <w:szCs w:val="24"/>
                <w:color w:val="auto"/>
              </w:rPr>
            </w:pP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w w:val="97"/>
              </w:rPr>
              <w:t>(105,006)</w:t>
            </w:r>
          </w:p>
        </w:tc>
        <w:tc>
          <w:tcPr>
            <w:tcW w:w="420" w:type="dxa"/>
            <w:vAlign w:val="bottom"/>
          </w:tcPr>
          <w:p>
            <w:pPr>
              <w:spacing w:after="0"/>
              <w:rPr>
                <w:sz w:val="24"/>
                <w:szCs w:val="2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131,315</w:t>
            </w:r>
          </w:p>
        </w:tc>
        <w:tc>
          <w:tcPr>
            <w:tcW w:w="0" w:type="dxa"/>
            <w:vAlign w:val="bottom"/>
          </w:tcPr>
          <w:p>
            <w:pPr>
              <w:spacing w:after="0"/>
              <w:rPr>
                <w:sz w:val="1"/>
                <w:szCs w:val="1"/>
                <w:color w:val="auto"/>
              </w:rPr>
            </w:pPr>
          </w:p>
        </w:tc>
      </w:tr>
      <w:tr>
        <w:trPr>
          <w:trHeight w:val="163"/>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24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YEAR</w:t>
            </w:r>
          </w:p>
        </w:tc>
        <w:tc>
          <w:tcPr>
            <w:tcW w:w="380" w:type="dxa"/>
            <w:vAlign w:val="bottom"/>
          </w:tcPr>
          <w:p>
            <w:pPr>
              <w:spacing w:after="0"/>
              <w:rPr>
                <w:sz w:val="21"/>
                <w:szCs w:val="21"/>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31,141</w:t>
            </w:r>
          </w:p>
        </w:tc>
        <w:tc>
          <w:tcPr>
            <w:tcW w:w="380" w:type="dxa"/>
            <w:vAlign w:val="bottom"/>
          </w:tcPr>
          <w:p>
            <w:pPr>
              <w:spacing w:after="0"/>
              <w:rPr>
                <w:sz w:val="21"/>
                <w:szCs w:val="21"/>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136,147</w:t>
            </w:r>
          </w:p>
        </w:tc>
        <w:tc>
          <w:tcPr>
            <w:tcW w:w="420" w:type="dxa"/>
            <w:vAlign w:val="bottom"/>
          </w:tcPr>
          <w:p>
            <w:pPr>
              <w:spacing w:after="0"/>
              <w:rPr>
                <w:sz w:val="21"/>
                <w:szCs w:val="21"/>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4,832</w:t>
            </w: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1"/>
        </w:trPr>
        <w:tc>
          <w:tcPr>
            <w:tcW w:w="624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YEAR</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84,493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31,141</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$ 136,147</w:t>
            </w: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1"/>
        </w:trPr>
        <w:tc>
          <w:tcPr>
            <w:tcW w:w="6240" w:type="dxa"/>
            <w:vAlign w:val="bottom"/>
          </w:tcPr>
          <w:p>
            <w:pPr>
              <w:spacing w:after="0"/>
              <w:rPr>
                <w:sz w:val="20"/>
                <w:szCs w:val="20"/>
                <w:color w:val="auto"/>
              </w:rPr>
            </w:pPr>
            <w:r>
              <w:rPr>
                <w:rFonts w:ascii="Courier New" w:cs="Courier New" w:eastAsia="Courier New" w:hAnsi="Courier New"/>
                <w:sz w:val="14"/>
                <w:szCs w:val="14"/>
                <w:color w:val="auto"/>
              </w:rPr>
              <w:t>SUPPLEMENTAL DISCLOSURES OF CASH</w:t>
            </w: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FLOW INFORMATION:</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40" w:type="dxa"/>
            <w:vAlign w:val="bottom"/>
          </w:tcPr>
          <w:p>
            <w:pPr>
              <w:ind w:left="600"/>
              <w:spacing w:after="0"/>
              <w:rPr>
                <w:sz w:val="20"/>
                <w:szCs w:val="20"/>
                <w:color w:val="auto"/>
              </w:rPr>
            </w:pPr>
            <w:r>
              <w:rPr>
                <w:rFonts w:ascii="Courier New" w:cs="Courier New" w:eastAsia="Courier New" w:hAnsi="Courier New"/>
                <w:sz w:val="14"/>
                <w:szCs w:val="14"/>
                <w:color w:val="auto"/>
              </w:rPr>
              <w:t>Cash paid during the year for:</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40" w:type="dxa"/>
            <w:vAlign w:val="bottom"/>
          </w:tcPr>
          <w:p>
            <w:pPr>
              <w:ind w:left="860"/>
              <w:spacing w:after="0"/>
              <w:rPr>
                <w:sz w:val="20"/>
                <w:szCs w:val="20"/>
                <w:color w:val="auto"/>
              </w:rPr>
            </w:pPr>
            <w:r>
              <w:rPr>
                <w:rFonts w:ascii="Courier New" w:cs="Courier New" w:eastAsia="Courier New" w:hAnsi="Courier New"/>
                <w:sz w:val="14"/>
                <w:szCs w:val="14"/>
                <w:color w:val="auto"/>
              </w:rPr>
              <w:t>Interest (net of amounts capitalized of $37,700, $11,800 and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28,022</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4,424</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6,579</w:t>
            </w:r>
          </w:p>
        </w:tc>
        <w:tc>
          <w:tcPr>
            <w:tcW w:w="0" w:type="dxa"/>
            <w:vAlign w:val="bottom"/>
          </w:tcPr>
          <w:p>
            <w:pPr>
              <w:spacing w:after="0"/>
              <w:rPr>
                <w:sz w:val="1"/>
                <w:szCs w:val="1"/>
                <w:color w:val="auto"/>
              </w:rPr>
            </w:pPr>
          </w:p>
        </w:tc>
      </w:tr>
      <w:tr>
        <w:trPr>
          <w:trHeight w:val="163"/>
        </w:trPr>
        <w:tc>
          <w:tcPr>
            <w:tcW w:w="6240" w:type="dxa"/>
            <w:vAlign w:val="bottom"/>
          </w:tcPr>
          <w:p>
            <w:pPr>
              <w:ind w:left="1200"/>
              <w:spacing w:after="0"/>
              <w:rPr>
                <w:sz w:val="20"/>
                <w:szCs w:val="20"/>
                <w:color w:val="auto"/>
              </w:rPr>
            </w:pPr>
            <w:r>
              <w:rPr>
                <w:rFonts w:ascii="Courier New" w:cs="Courier New" w:eastAsia="Courier New" w:hAnsi="Courier New"/>
                <w:sz w:val="14"/>
                <w:szCs w:val="14"/>
                <w:color w:val="auto"/>
              </w:rPr>
              <w:t>$6,300 in 1999, 1998 and 1997, respectively)</w:t>
            </w:r>
          </w:p>
        </w:tc>
        <w:tc>
          <w:tcPr>
            <w:tcW w:w="3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40" w:type="dxa"/>
            <w:vAlign w:val="bottom"/>
            <w:vMerge w:val="restart"/>
          </w:tcPr>
          <w:p>
            <w:pPr>
              <w:ind w:left="860"/>
              <w:spacing w:after="0"/>
              <w:rPr>
                <w:sz w:val="20"/>
                <w:szCs w:val="20"/>
                <w:color w:val="auto"/>
              </w:rPr>
            </w:pPr>
            <w:r>
              <w:rPr>
                <w:rFonts w:ascii="Courier New" w:cs="Courier New" w:eastAsia="Courier New" w:hAnsi="Courier New"/>
                <w:sz w:val="14"/>
                <w:szCs w:val="14"/>
                <w:color w:val="auto"/>
              </w:rPr>
              <w:t>Income taxes</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9,490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44,341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24,351</w:t>
            </w: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6240" w:type="dxa"/>
            <w:vAlign w:val="bottom"/>
          </w:tcPr>
          <w:p>
            <w:pPr>
              <w:spacing w:after="0"/>
              <w:rPr>
                <w:sz w:val="20"/>
                <w:szCs w:val="20"/>
                <w:color w:val="auto"/>
              </w:rPr>
            </w:pPr>
            <w:r>
              <w:rPr>
                <w:rFonts w:ascii="Courier New" w:cs="Courier New" w:eastAsia="Courier New" w:hAnsi="Courier New"/>
                <w:sz w:val="14"/>
                <w:szCs w:val="14"/>
                <w:color w:val="auto"/>
              </w:rPr>
              <w:t>SUPPLEMENTAL SCHEDULE OF NONCASH INVESTING AND FINANCING ACTIVITIES:</w:t>
            </w: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6240" w:type="dxa"/>
            <w:vAlign w:val="bottom"/>
          </w:tcPr>
          <w:p>
            <w:pPr>
              <w:ind w:left="600"/>
              <w:spacing w:after="0"/>
              <w:rPr>
                <w:sz w:val="20"/>
                <w:szCs w:val="20"/>
                <w:color w:val="auto"/>
              </w:rPr>
            </w:pPr>
            <w:r>
              <w:rPr>
                <w:rFonts w:ascii="Courier New" w:cs="Courier New" w:eastAsia="Courier New" w:hAnsi="Courier New"/>
                <w:sz w:val="14"/>
                <w:szCs w:val="14"/>
                <w:color w:val="auto"/>
              </w:rPr>
              <w:t>Long-term debt was converted into common stock:</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1,161</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5</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3"/>
        </w:trPr>
        <w:tc>
          <w:tcPr>
            <w:tcW w:w="6240" w:type="dxa"/>
            <w:vAlign w:val="bottom"/>
          </w:tcPr>
          <w:p>
            <w:pPr>
              <w:ind w:left="1200"/>
              <w:spacing w:after="0"/>
              <w:rPr>
                <w:sz w:val="20"/>
                <w:szCs w:val="20"/>
                <w:color w:val="auto"/>
              </w:rPr>
            </w:pPr>
            <w:r>
              <w:rPr>
                <w:rFonts w:ascii="Courier New" w:cs="Courier New" w:eastAsia="Courier New" w:hAnsi="Courier New"/>
                <w:sz w:val="14"/>
                <w:szCs w:val="14"/>
                <w:color w:val="auto"/>
              </w:rPr>
              <w:t>Other assets</w:t>
            </w:r>
          </w:p>
        </w:tc>
        <w:tc>
          <w:tcPr>
            <w:tcW w:w="3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40" w:type="dxa"/>
            <w:vAlign w:val="bottom"/>
          </w:tcPr>
          <w:p>
            <w:pPr>
              <w:ind w:left="1200"/>
              <w:spacing w:after="0"/>
              <w:rPr>
                <w:sz w:val="20"/>
                <w:szCs w:val="20"/>
                <w:color w:val="auto"/>
              </w:rPr>
            </w:pPr>
            <w:r>
              <w:rPr>
                <w:rFonts w:ascii="Courier New" w:cs="Courier New" w:eastAsia="Courier New" w:hAnsi="Courier New"/>
                <w:sz w:val="14"/>
                <w:szCs w:val="14"/>
                <w:color w:val="auto"/>
              </w:rPr>
              <w:t>Long-term debt</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(47,000)</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(5,800)</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(1,700)</w:t>
            </w:r>
          </w:p>
        </w:tc>
        <w:tc>
          <w:tcPr>
            <w:tcW w:w="0" w:type="dxa"/>
            <w:vAlign w:val="bottom"/>
          </w:tcPr>
          <w:p>
            <w:pPr>
              <w:spacing w:after="0"/>
              <w:rPr>
                <w:sz w:val="1"/>
                <w:szCs w:val="1"/>
                <w:color w:val="auto"/>
              </w:rPr>
            </w:pPr>
          </w:p>
        </w:tc>
      </w:tr>
      <w:tr>
        <w:trPr>
          <w:trHeight w:val="163"/>
        </w:trPr>
        <w:tc>
          <w:tcPr>
            <w:tcW w:w="6240" w:type="dxa"/>
            <w:vAlign w:val="bottom"/>
          </w:tcPr>
          <w:p>
            <w:pPr>
              <w:ind w:left="1200"/>
              <w:spacing w:after="0"/>
              <w:rPr>
                <w:sz w:val="20"/>
                <w:szCs w:val="20"/>
                <w:color w:val="auto"/>
              </w:rPr>
            </w:pPr>
            <w:r>
              <w:rPr>
                <w:rFonts w:ascii="Courier New" w:cs="Courier New" w:eastAsia="Courier New" w:hAnsi="Courier New"/>
                <w:sz w:val="14"/>
                <w:szCs w:val="14"/>
                <w:color w:val="auto"/>
              </w:rPr>
              <w:t>Common stock</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50</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18</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3"/>
        </w:trPr>
        <w:tc>
          <w:tcPr>
            <w:tcW w:w="6240" w:type="dxa"/>
            <w:vAlign w:val="bottom"/>
          </w:tcPr>
          <w:p>
            <w:pPr>
              <w:ind w:left="1200"/>
              <w:spacing w:after="0"/>
              <w:rPr>
                <w:sz w:val="20"/>
                <w:szCs w:val="20"/>
                <w:color w:val="auto"/>
              </w:rPr>
            </w:pPr>
            <w:r>
              <w:rPr>
                <w:rFonts w:ascii="Courier New" w:cs="Courier New" w:eastAsia="Courier New" w:hAnsi="Courier New"/>
                <w:sz w:val="14"/>
                <w:szCs w:val="14"/>
                <w:color w:val="auto"/>
              </w:rPr>
              <w:t>Additional paid-in capital</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45,789</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3,633</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1,668</w:t>
            </w:r>
          </w:p>
        </w:tc>
        <w:tc>
          <w:tcPr>
            <w:tcW w:w="0" w:type="dxa"/>
            <w:vAlign w:val="bottom"/>
          </w:tcPr>
          <w:p>
            <w:pPr>
              <w:spacing w:after="0"/>
              <w:rPr>
                <w:sz w:val="1"/>
                <w:szCs w:val="1"/>
                <w:color w:val="auto"/>
              </w:rPr>
            </w:pPr>
          </w:p>
        </w:tc>
      </w:tr>
      <w:tr>
        <w:trPr>
          <w:trHeight w:val="163"/>
        </w:trPr>
        <w:tc>
          <w:tcPr>
            <w:tcW w:w="6240" w:type="dxa"/>
            <w:vAlign w:val="bottom"/>
          </w:tcPr>
          <w:p>
            <w:pPr>
              <w:ind w:left="1200"/>
              <w:spacing w:after="0"/>
              <w:rPr>
                <w:sz w:val="20"/>
                <w:szCs w:val="20"/>
                <w:color w:val="auto"/>
              </w:rPr>
            </w:pPr>
            <w:r>
              <w:rPr>
                <w:rFonts w:ascii="Courier New" w:cs="Courier New" w:eastAsia="Courier New" w:hAnsi="Courier New"/>
                <w:sz w:val="14"/>
                <w:szCs w:val="14"/>
                <w:color w:val="auto"/>
              </w:rPr>
              <w:t>Treasury stock</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51,029</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tcPr>
          <w:p>
            <w:pPr>
              <w:ind w:left="1200"/>
              <w:spacing w:after="0"/>
              <w:rPr>
                <w:sz w:val="20"/>
                <w:szCs w:val="20"/>
                <w:color w:val="auto"/>
              </w:rPr>
            </w:pPr>
            <w:r>
              <w:rPr>
                <w:rFonts w:ascii="Courier New" w:cs="Courier New" w:eastAsia="Courier New" w:hAnsi="Courier New"/>
                <w:sz w:val="14"/>
                <w:szCs w:val="14"/>
                <w:color w:val="auto"/>
              </w:rPr>
              <w:t>Retained earnings</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(48,885)</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tcPr>
          <w:p>
            <w:pPr>
              <w:spacing w:after="0"/>
              <w:rPr>
                <w:sz w:val="14"/>
                <w:szCs w:val="14"/>
                <w:color w:val="auto"/>
              </w:rPr>
            </w:pP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1"/>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Preferred stock was converted into common stock:</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(380)</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tcPr>
          <w:p>
            <w:pPr>
              <w:ind w:left="860"/>
              <w:spacing w:after="0"/>
              <w:rPr>
                <w:sz w:val="20"/>
                <w:szCs w:val="20"/>
                <w:color w:val="auto"/>
              </w:rPr>
            </w:pPr>
            <w:r>
              <w:rPr>
                <w:rFonts w:ascii="Courier New" w:cs="Courier New" w:eastAsia="Courier New" w:hAnsi="Courier New"/>
                <w:sz w:val="14"/>
                <w:szCs w:val="14"/>
                <w:color w:val="auto"/>
              </w:rPr>
              <w:t>Preferred stock</w:t>
            </w:r>
          </w:p>
        </w:tc>
        <w:tc>
          <w:tcPr>
            <w:tcW w:w="3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40" w:type="dxa"/>
            <w:vAlign w:val="bottom"/>
          </w:tcPr>
          <w:p>
            <w:pPr>
              <w:ind w:left="860"/>
              <w:spacing w:after="0"/>
              <w:rPr>
                <w:sz w:val="20"/>
                <w:szCs w:val="20"/>
                <w:color w:val="auto"/>
              </w:rPr>
            </w:pPr>
            <w:r>
              <w:rPr>
                <w:rFonts w:ascii="Courier New" w:cs="Courier New" w:eastAsia="Courier New" w:hAnsi="Courier New"/>
                <w:sz w:val="14"/>
                <w:szCs w:val="14"/>
                <w:color w:val="auto"/>
              </w:rPr>
              <w:t>Common stock</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tcPr>
          <w:p>
            <w:pPr>
              <w:ind w:left="860"/>
              <w:spacing w:after="0"/>
              <w:rPr>
                <w:sz w:val="20"/>
                <w:szCs w:val="20"/>
                <w:color w:val="auto"/>
              </w:rPr>
            </w:pPr>
            <w:r>
              <w:rPr>
                <w:rFonts w:ascii="Courier New" w:cs="Courier New" w:eastAsia="Courier New" w:hAnsi="Courier New"/>
                <w:sz w:val="14"/>
                <w:szCs w:val="14"/>
                <w:color w:val="auto"/>
              </w:rPr>
              <w:t>Additional paid-in capital</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374</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tcPr>
          <w:p>
            <w:pPr>
              <w:spacing w:after="0"/>
              <w:rPr>
                <w:sz w:val="14"/>
                <w:szCs w:val="14"/>
                <w:color w:val="auto"/>
              </w:rPr>
            </w:pP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(Continued)</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60"/>
          </w:cols>
          <w:pgMar w:left="300" w:top="257" w:right="1339"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130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PRISON REALTY TRUST, INC. AND SUBSIDIARIES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6580" w:type="dxa"/>
            <w:vAlign w:val="bottom"/>
          </w:tcPr>
          <w:p>
            <w:pPr>
              <w:ind w:left="1880"/>
              <w:spacing w:after="0"/>
              <w:rPr>
                <w:sz w:val="20"/>
                <w:szCs w:val="20"/>
                <w:color w:val="auto"/>
              </w:rPr>
            </w:pPr>
            <w:r>
              <w:rPr>
                <w:rFonts w:ascii="Courier New" w:cs="Courier New" w:eastAsia="Courier New" w:hAnsi="Courier New"/>
                <w:sz w:val="14"/>
                <w:szCs w:val="14"/>
                <w:color w:val="auto"/>
              </w:rPr>
              <w:t>CONSOLIDATED STATEMENTS OF CASH FLOWS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58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FOR THE YEARS ENDED DECEMBER 31, 1999, 1998 AND 1997</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58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(IN THOUSANDS)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580" w:type="dxa"/>
            <w:vAlign w:val="bottom"/>
          </w:tcPr>
          <w:p>
            <w:pPr>
              <w:ind w:left="2980"/>
              <w:spacing w:after="0"/>
              <w:rPr>
                <w:sz w:val="20"/>
                <w:szCs w:val="20"/>
                <w:color w:val="auto"/>
              </w:rPr>
            </w:pPr>
            <w:r>
              <w:rPr>
                <w:rFonts w:ascii="Courier New" w:cs="Courier New" w:eastAsia="Courier New" w:hAnsi="Courier New"/>
                <w:sz w:val="14"/>
                <w:szCs w:val="14"/>
                <w:color w:val="auto"/>
              </w:rPr>
              <w:t>(Continued)</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6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669"/>
              <w:spacing w:after="0"/>
              <w:rPr>
                <w:sz w:val="20"/>
                <w:szCs w:val="20"/>
                <w:color w:val="auto"/>
              </w:rPr>
            </w:pPr>
            <w:r>
              <w:rPr>
                <w:rFonts w:ascii="Courier New" w:cs="Courier New" w:eastAsia="Courier New" w:hAnsi="Courier New"/>
                <w:sz w:val="14"/>
                <w:szCs w:val="14"/>
                <w:color w:val="auto"/>
              </w:rPr>
              <w:t>1999</w:t>
            </w:r>
          </w:p>
        </w:tc>
        <w:tc>
          <w:tcPr>
            <w:tcW w:w="460" w:type="dxa"/>
            <w:vAlign w:val="bottom"/>
          </w:tcPr>
          <w:p>
            <w:pPr>
              <w:spacing w:after="0"/>
              <w:rPr>
                <w:sz w:val="24"/>
                <w:szCs w:val="24"/>
                <w:color w:val="auto"/>
              </w:rPr>
            </w:pPr>
          </w:p>
        </w:tc>
        <w:tc>
          <w:tcPr>
            <w:tcW w:w="11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1998</w:t>
            </w:r>
          </w:p>
        </w:tc>
        <w:tc>
          <w:tcPr>
            <w:tcW w:w="460" w:type="dxa"/>
            <w:vAlign w:val="bottom"/>
          </w:tcPr>
          <w:p>
            <w:pPr>
              <w:spacing w:after="0"/>
              <w:rPr>
                <w:sz w:val="24"/>
                <w:szCs w:val="24"/>
                <w:color w:val="auto"/>
              </w:rPr>
            </w:pPr>
          </w:p>
        </w:tc>
        <w:tc>
          <w:tcPr>
            <w:tcW w:w="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6580" w:type="dxa"/>
            <w:vAlign w:val="bottom"/>
          </w:tcPr>
          <w:p>
            <w:pPr>
              <w:spacing w:after="0"/>
              <w:rPr>
                <w:sz w:val="20"/>
                <w:szCs w:val="20"/>
                <w:color w:val="auto"/>
              </w:rPr>
            </w:pPr>
            <w:r>
              <w:rPr>
                <w:rFonts w:ascii="Courier New" w:cs="Courier New" w:eastAsia="Courier New" w:hAnsi="Courier New"/>
                <w:sz w:val="14"/>
                <w:szCs w:val="14"/>
                <w:color w:val="auto"/>
              </w:rPr>
              <w:t>Property and equipment were acquired through the forgiveness of the direct</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6580" w:type="dxa"/>
            <w:vAlign w:val="bottom"/>
          </w:tcPr>
          <w:p>
            <w:pPr>
              <w:ind w:left="260"/>
              <w:spacing w:after="0"/>
              <w:rPr>
                <w:sz w:val="20"/>
                <w:szCs w:val="20"/>
                <w:color w:val="auto"/>
              </w:rPr>
            </w:pPr>
            <w:r>
              <w:rPr>
                <w:rFonts w:ascii="Courier New" w:cs="Courier New" w:eastAsia="Courier New" w:hAnsi="Courier New"/>
                <w:sz w:val="14"/>
                <w:szCs w:val="14"/>
                <w:color w:val="auto"/>
              </w:rPr>
              <w:t>financing lease receivable and the issuance of a credit toward future</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60"/>
              <w:spacing w:after="0"/>
              <w:rPr>
                <w:sz w:val="20"/>
                <w:szCs w:val="20"/>
                <w:color w:val="auto"/>
              </w:rPr>
            </w:pPr>
            <w:r>
              <w:rPr>
                <w:rFonts w:ascii="Courier New" w:cs="Courier New" w:eastAsia="Courier New" w:hAnsi="Courier New"/>
                <w:sz w:val="14"/>
                <w:szCs w:val="14"/>
                <w:color w:val="auto"/>
              </w:rPr>
              <w:t>management fees: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3,500</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Property and equipment</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(16,207)</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Investment in direct financing lease</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12,707</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4"/>
                <w:szCs w:val="14"/>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6580" w:type="dxa"/>
            <w:vAlign w:val="bottom"/>
          </w:tcPr>
          <w:p>
            <w:pPr>
              <w:spacing w:after="0"/>
              <w:rPr>
                <w:sz w:val="20"/>
                <w:szCs w:val="20"/>
                <w:color w:val="auto"/>
              </w:rPr>
            </w:pPr>
            <w:r>
              <w:rPr>
                <w:rFonts w:ascii="Courier New" w:cs="Courier New" w:eastAsia="Courier New" w:hAnsi="Courier New"/>
                <w:sz w:val="14"/>
                <w:szCs w:val="14"/>
                <w:color w:val="auto"/>
              </w:rPr>
              <w:t>Property and equipment were acquired through the forgiveness of a note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6580" w:type="dxa"/>
            <w:vAlign w:val="bottom"/>
          </w:tcPr>
          <w:p>
            <w:pPr>
              <w:ind w:left="260"/>
              <w:spacing w:after="0"/>
              <w:rPr>
                <w:sz w:val="20"/>
                <w:szCs w:val="20"/>
                <w:color w:val="auto"/>
              </w:rPr>
            </w:pPr>
            <w:r>
              <w:rPr>
                <w:rFonts w:ascii="Courier New" w:cs="Courier New" w:eastAsia="Courier New" w:hAnsi="Courier New"/>
                <w:sz w:val="14"/>
                <w:szCs w:val="14"/>
                <w:color w:val="auto"/>
              </w:rPr>
              <w:t>receivable:</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57,624</w:t>
            </w:r>
          </w:p>
        </w:tc>
        <w:tc>
          <w:tcPr>
            <w:tcW w:w="4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Note receivable</w:t>
            </w:r>
          </w:p>
        </w:tc>
        <w:tc>
          <w:tcPr>
            <w:tcW w:w="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Property and equipment</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(58,487)</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863</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4"/>
                <w:szCs w:val="14"/>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6580" w:type="dxa"/>
            <w:vAlign w:val="bottom"/>
          </w:tcPr>
          <w:p>
            <w:pPr>
              <w:spacing w:after="0"/>
              <w:rPr>
                <w:sz w:val="20"/>
                <w:szCs w:val="20"/>
                <w:color w:val="auto"/>
              </w:rPr>
            </w:pPr>
            <w:r>
              <w:rPr>
                <w:rFonts w:ascii="Courier New" w:cs="Courier New" w:eastAsia="Courier New" w:hAnsi="Courier New"/>
                <w:sz w:val="14"/>
                <w:szCs w:val="14"/>
                <w:color w:val="auto"/>
              </w:rPr>
              <w:t>Stock warrants were exercised for shares of Old CCA's common stock:</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1,450</w:t>
            </w:r>
          </w:p>
        </w:tc>
        <w:tc>
          <w:tcPr>
            <w:tcW w:w="4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Common stock</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38</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Additional paid-in capital</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15,892</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Treasury stock</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(17,380)</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4"/>
                <w:szCs w:val="14"/>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6580" w:type="dxa"/>
            <w:vAlign w:val="bottom"/>
          </w:tcPr>
          <w:p>
            <w:pPr>
              <w:spacing w:after="0"/>
              <w:rPr>
                <w:sz w:val="20"/>
                <w:szCs w:val="20"/>
                <w:color w:val="auto"/>
              </w:rPr>
            </w:pPr>
            <w:r>
              <w:rPr>
                <w:rFonts w:ascii="Courier New" w:cs="Courier New" w:eastAsia="Courier New" w:hAnsi="Courier New"/>
                <w:sz w:val="14"/>
                <w:szCs w:val="14"/>
                <w:color w:val="auto"/>
              </w:rPr>
              <w:t>The Company acquired treasury stock and issued common stock in connection</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6580" w:type="dxa"/>
            <w:vAlign w:val="bottom"/>
          </w:tcPr>
          <w:p>
            <w:pPr>
              <w:ind w:left="260"/>
              <w:spacing w:after="0"/>
              <w:rPr>
                <w:sz w:val="20"/>
                <w:szCs w:val="20"/>
                <w:color w:val="auto"/>
              </w:rPr>
            </w:pPr>
            <w:r>
              <w:rPr>
                <w:rFonts w:ascii="Courier New" w:cs="Courier New" w:eastAsia="Courier New" w:hAnsi="Courier New"/>
                <w:sz w:val="14"/>
                <w:szCs w:val="14"/>
                <w:color w:val="auto"/>
              </w:rPr>
              <w:t>with the exercise of stock options:</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242</w:t>
            </w:r>
          </w:p>
        </w:tc>
        <w:tc>
          <w:tcPr>
            <w:tcW w:w="4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Additional paid-in capital</w:t>
            </w:r>
          </w:p>
        </w:tc>
        <w:tc>
          <w:tcPr>
            <w:tcW w:w="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Treasury stock, at cost</w:t>
            </w:r>
          </w:p>
        </w:tc>
        <w:tc>
          <w:tcPr>
            <w:tcW w:w="38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(242)</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4"/>
                <w:szCs w:val="14"/>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1"/>
        </w:trPr>
        <w:tc>
          <w:tcPr>
            <w:tcW w:w="6580" w:type="dxa"/>
            <w:vAlign w:val="bottom"/>
          </w:tcPr>
          <w:p>
            <w:pPr>
              <w:spacing w:after="0"/>
              <w:rPr>
                <w:sz w:val="20"/>
                <w:szCs w:val="20"/>
                <w:color w:val="auto"/>
              </w:rPr>
            </w:pPr>
            <w:r>
              <w:rPr>
                <w:rFonts w:ascii="Courier New" w:cs="Courier New" w:eastAsia="Courier New" w:hAnsi="Courier New"/>
                <w:sz w:val="14"/>
                <w:szCs w:val="14"/>
                <w:color w:val="auto"/>
              </w:rPr>
              <w:t>The Company acquired Old Prison Realty's assets and liabilities for stock:</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(17,188)</w:t>
            </w:r>
          </w:p>
        </w:tc>
        <w:tc>
          <w:tcPr>
            <w:tcW w:w="4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Restricted cash</w:t>
            </w:r>
          </w:p>
        </w:tc>
        <w:tc>
          <w:tcPr>
            <w:tcW w:w="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Property and equipment</w:t>
            </w:r>
          </w:p>
        </w:tc>
        <w:tc>
          <w:tcPr>
            <w:tcW w:w="38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(1,223,370)</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22,422</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 and accrued expenses</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23,351</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Deferred gains on real estate transactions</w:t>
            </w:r>
          </w:p>
        </w:tc>
        <w:tc>
          <w:tcPr>
            <w:tcW w:w="38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(125,751)</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Line of credit</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279,600</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Distributions payable</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2,150</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Common stock</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253</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Preferred stock</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107,500</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ind w:left="520"/>
              <w:spacing w:after="0"/>
              <w:rPr>
                <w:sz w:val="20"/>
                <w:szCs w:val="20"/>
                <w:color w:val="auto"/>
              </w:rPr>
            </w:pPr>
            <w:r>
              <w:rPr>
                <w:rFonts w:ascii="Courier New" w:cs="Courier New" w:eastAsia="Courier New" w:hAnsi="Courier New"/>
                <w:sz w:val="14"/>
                <w:szCs w:val="14"/>
                <w:color w:val="auto"/>
              </w:rPr>
              <w:t>Additional paid-in capital</w:t>
            </w:r>
          </w:p>
        </w:tc>
        <w:tc>
          <w:tcPr>
            <w:tcW w:w="38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952,927</w:t>
            </w:r>
          </w:p>
        </w:tc>
        <w:tc>
          <w:tcPr>
            <w:tcW w:w="4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4"/>
                <w:szCs w:val="14"/>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21,894</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29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1040"/>
          </w:cols>
          <w:pgMar w:left="300" w:top="257" w:right="559"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131</w:t>
      </w:r>
    </w:p>
    <w:p>
      <w:pPr>
        <w:spacing w:after="0" w:line="30"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42"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ind w:left="2900"/>
              <w:spacing w:after="0"/>
              <w:rPr>
                <w:sz w:val="20"/>
                <w:szCs w:val="20"/>
                <w:color w:val="auto"/>
              </w:rPr>
            </w:pPr>
            <w:r>
              <w:rPr>
                <w:rFonts w:ascii="Courier New" w:cs="Courier New" w:eastAsia="Courier New" w:hAnsi="Courier New"/>
                <w:sz w:val="14"/>
                <w:szCs w:val="14"/>
                <w:color w:val="auto"/>
              </w:rPr>
              <w:t>(Continued)</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741"/>
        </w:trPr>
        <w:tc>
          <w:tcPr>
            <w:tcW w:w="5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24"/>
                <w:szCs w:val="24"/>
                <w:color w:val="auto"/>
              </w:rPr>
            </w:pPr>
          </w:p>
        </w:tc>
        <w:tc>
          <w:tcPr>
            <w:tcW w:w="1060" w:type="dxa"/>
            <w:vAlign w:val="bottom"/>
          </w:tcPr>
          <w:p>
            <w:pPr>
              <w:jc w:val="right"/>
              <w:ind w:right="649"/>
              <w:spacing w:after="0"/>
              <w:rPr>
                <w:sz w:val="20"/>
                <w:szCs w:val="20"/>
                <w:color w:val="auto"/>
              </w:rPr>
            </w:pPr>
            <w:r>
              <w:rPr>
                <w:rFonts w:ascii="Courier New" w:cs="Courier New" w:eastAsia="Courier New" w:hAnsi="Courier New"/>
                <w:sz w:val="14"/>
                <w:szCs w:val="14"/>
                <w:color w:val="auto"/>
                <w:w w:val="95"/>
              </w:rPr>
              <w:t>1998</w:t>
            </w:r>
          </w:p>
        </w:tc>
        <w:tc>
          <w:tcPr>
            <w:tcW w:w="480" w:type="dxa"/>
            <w:vAlign w:val="bottom"/>
          </w:tcPr>
          <w:p>
            <w:pPr>
              <w:spacing w:after="0"/>
              <w:rPr>
                <w:sz w:val="24"/>
                <w:szCs w:val="2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r>
      <w:tr>
        <w:trPr>
          <w:trHeight w:val="238"/>
        </w:trPr>
        <w:tc>
          <w:tcPr>
            <w:tcW w:w="5480" w:type="dxa"/>
            <w:vAlign w:val="bottom"/>
          </w:tcPr>
          <w:p>
            <w:pPr>
              <w:spacing w:after="0"/>
              <w:rPr>
                <w:sz w:val="20"/>
                <w:szCs w:val="20"/>
                <w:color w:val="auto"/>
              </w:rPr>
            </w:pP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5480" w:type="dxa"/>
            <w:vAlign w:val="bottom"/>
          </w:tcPr>
          <w:p>
            <w:pPr>
              <w:spacing w:after="0"/>
              <w:rPr>
                <w:sz w:val="20"/>
                <w:szCs w:val="20"/>
                <w:color w:val="auto"/>
              </w:rPr>
            </w:pPr>
            <w:r>
              <w:rPr>
                <w:rFonts w:ascii="Courier New" w:cs="Courier New" w:eastAsia="Courier New" w:hAnsi="Courier New"/>
                <w:sz w:val="14"/>
                <w:szCs w:val="14"/>
                <w:color w:val="auto"/>
              </w:rPr>
              <w:t>Sales of contracts to Old CCA, PMSI and JJFMSI:</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2"/>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$ 105,695</w:t>
            </w:r>
          </w:p>
        </w:tc>
        <w:tc>
          <w:tcPr>
            <w:tcW w:w="4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Prepaid expenses</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5,935</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Deferred tax assets</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2,960</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Other current assets</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14,865</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Property and equipment, net</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63,083</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Notes receivable</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7"/>
              </w:rPr>
              <w:t>(135,854)</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Investments in affiliates</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7"/>
              </w:rPr>
              <w:t>(120,916)</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Other long-term assets</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10,124</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(25,559)</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Accrued salaries and wages</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(7,401)</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Accrued expenses</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(24,387)</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Current portion of deferred gains on sales of contracts</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16,671</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(10,000)</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Deferred gains on sales of contracts</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104,784</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spacing w:after="0"/>
              <w:rPr>
                <w:sz w:val="14"/>
                <w:szCs w:val="14"/>
                <w:color w:val="auto"/>
              </w:rPr>
            </w:pP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spacing w:after="0"/>
              <w:rPr>
                <w:sz w:val="14"/>
                <w:szCs w:val="14"/>
                <w:color w:val="auto"/>
              </w:rPr>
            </w:pP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38"/>
        </w:trPr>
        <w:tc>
          <w:tcPr>
            <w:tcW w:w="5480" w:type="dxa"/>
            <w:vAlign w:val="bottom"/>
          </w:tcPr>
          <w:p>
            <w:pPr>
              <w:spacing w:after="0"/>
              <w:rPr>
                <w:sz w:val="20"/>
                <w:szCs w:val="20"/>
                <w:color w:val="auto"/>
              </w:rPr>
            </w:pP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159"/>
          </w:cols>
          <w:pgMar w:left="300" w:top="256"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132</w:t>
      </w:r>
    </w:p>
    <w:p>
      <w:pPr>
        <w:spacing w:after="0" w:line="30"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4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DECEMBER 31, 1999, 1998 AND 1997</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(DOLLARS IN THOUSANDS, EXCEPT PER SHARE AMOUNTS AND AS OTHERWISE INDICATED)</w:t>
      </w:r>
    </w:p>
    <w:p>
      <w:pPr>
        <w:spacing w:after="0" w:line="331" w:lineRule="exact"/>
        <w:rPr>
          <w:sz w:val="20"/>
          <w:szCs w:val="20"/>
          <w:color w:val="auto"/>
        </w:rPr>
      </w:pPr>
    </w:p>
    <w:p>
      <w:pPr>
        <w:ind w:left="600" w:right="6419" w:hanging="593"/>
        <w:spacing w:after="0" w:line="493" w:lineRule="auto"/>
        <w:tabs>
          <w:tab w:leader="none" w:pos="6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OPERATIONS BACKGROUND AND FORMATION TRANSACTIONS</w:t>
      </w:r>
    </w:p>
    <w:p>
      <w:pPr>
        <w:ind w:left="600" w:right="335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Trust, Inc., formerly Prison Realty Corporation, a Maryland corporation (the "Company"), was formed in September 1998. Corrections Corporation of America, a Tennessee corporation ("Old CCA"), and CCA Prison Realty Trust, a Maryland real estate investment trust ("Old Prison Realty"), merged with and into the Company on December 31, 1998 and January 1, 1999, respectively (collectively, the "1999 Merger"), pursuant to an Amended and Restated Agreement and Plan of Merger by and among Old CCA, Old Prison Realty and the Company, dated as of September 29, 1998. The 1999 Merger has been accounted for as a reverse acquisition of the Company by Old CCA and as an acquisition of Old Prison Realty by the Company. As such, Old CCA's assets and liabilities have been carried forward at historical cost, and the provisions of reverse acquisition accounting prescribe that Old CCA's historical financial statements be presented as the Company's historical financial statements prior to January 1, 1999. The historical equity section of the financial statements and earnings per share have been retroactively restated to reflect the Company's equity structure, including the exchange ratio and the effects of the differences in par values of the respective companies' common stock. Old Prison Realty's assets and liabilities have been recorded at fair market value, as required by Accounting Principles Board Opinion No. 16, "Business Combinations" ("APB 16").</w:t>
      </w:r>
    </w:p>
    <w:p>
      <w:pPr>
        <w:spacing w:after="0" w:line="73" w:lineRule="exact"/>
        <w:rPr>
          <w:rFonts w:ascii="Courier New" w:cs="Courier New" w:eastAsia="Courier New" w:hAnsi="Courier New"/>
          <w:sz w:val="14"/>
          <w:szCs w:val="14"/>
          <w:color w:val="auto"/>
        </w:rPr>
      </w:pPr>
    </w:p>
    <w:p>
      <w:pPr>
        <w:ind w:left="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OPERATIONS</w:t>
      </w:r>
    </w:p>
    <w:p>
      <w:pPr>
        <w:spacing w:after="0" w:line="167" w:lineRule="exact"/>
        <w:rPr>
          <w:rFonts w:ascii="Courier New" w:cs="Courier New" w:eastAsia="Courier New" w:hAnsi="Courier New"/>
          <w:sz w:val="14"/>
          <w:szCs w:val="14"/>
          <w:color w:val="auto"/>
        </w:rPr>
      </w:pPr>
    </w:p>
    <w:p>
      <w:pPr>
        <w:ind w:left="600" w:right="33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1999 Merger, Old CCA operated and managed prisons and other correctional and detention facilities and provided prisoner transportation services for governmental agencies. Old CCA also provided a full range of related services to governmental agencies, including managing, financing, developing, designing and constructing new correctional and detention facilities and redesigning and renovating older facilities. Since the 1999 Merger, the Company has specialized in acquiring, developing and owning correctional and detention facilities as a lessor. As required by its governing instruments, the Company currently intends to elect to be taxed as a real estate investment trust ("REIT") for the year ended December 31, 1999.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See Note 22 for information on the Company's contingent tax liabilities. In either event, the Company expects that it will be taxed as a C corporation in the taxable year ending December 31, 2000 and thereafter.</w:t>
      </w:r>
    </w:p>
    <w:p>
      <w:pPr>
        <w:spacing w:after="0" w:line="25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159"/>
          </w:cols>
          <w:pgMar w:left="300" w:top="257" w:right="1440" w:bottom="1440" w:gutter="0" w:footer="0" w:header="0"/>
        </w:sectPr>
      </w:pPr>
    </w:p>
    <w:bookmarkStart w:id="134" w:name="page135"/>
    <w:bookmarkEnd w:id="134"/>
    <w:p>
      <w:pPr>
        <w:ind w:left="253"/>
        <w:spacing w:after="0"/>
        <w:rPr>
          <w:sz w:val="20"/>
          <w:szCs w:val="20"/>
          <w:color w:val="auto"/>
        </w:rPr>
      </w:pPr>
      <w:r>
        <w:rPr>
          <w:rFonts w:ascii="Courier New" w:cs="Courier New" w:eastAsia="Courier New" w:hAnsi="Courier New"/>
          <w:sz w:val="14"/>
          <w:szCs w:val="14"/>
          <w:color w:val="auto"/>
        </w:rPr>
        <w:t>133</w:t>
      </w:r>
    </w:p>
    <w:p>
      <w:pPr>
        <w:spacing w:after="0" w:line="30" w:lineRule="exact"/>
        <w:rPr>
          <w:sz w:val="20"/>
          <w:szCs w:val="20"/>
          <w:color w:val="auto"/>
        </w:rPr>
      </w:pPr>
    </w:p>
    <w:p>
      <w:pPr>
        <w:ind w:left="593" w:right="3359"/>
        <w:spacing w:after="0" w:line="258" w:lineRule="auto"/>
        <w:rPr>
          <w:sz w:val="20"/>
          <w:szCs w:val="20"/>
          <w:color w:val="auto"/>
        </w:rPr>
      </w:pPr>
      <w:r>
        <w:rPr>
          <w:rFonts w:ascii="Courier New" w:cs="Courier New" w:eastAsia="Courier New" w:hAnsi="Courier New"/>
          <w:sz w:val="14"/>
          <w:szCs w:val="14"/>
          <w:color w:val="auto"/>
        </w:rPr>
        <w:t>The Company's results of operations for all periods prior to January 1, 1999 reflect the operating results of Old CCA, and the results of operations subsequent to January 1, 1999 reflect the operating results of the Company as a REIT. Management believes the comparison between 1999 and prior years is not meaningful because the prior years' financial condition, results of operations, and cash flows reflect the operations of Old CCA and the 1999 financial condition, results of operations and cash flows reflect the operations of the Company as a REIT.</w:t>
      </w:r>
    </w:p>
    <w:p>
      <w:pPr>
        <w:spacing w:after="0" w:line="78" w:lineRule="exact"/>
        <w:rPr>
          <w:sz w:val="20"/>
          <w:szCs w:val="20"/>
          <w:color w:val="auto"/>
        </w:rPr>
      </w:pPr>
    </w:p>
    <w:p>
      <w:pPr>
        <w:ind w:left="593" w:right="3619"/>
        <w:spacing w:after="0" w:line="254" w:lineRule="auto"/>
        <w:rPr>
          <w:sz w:val="20"/>
          <w:szCs w:val="20"/>
          <w:color w:val="auto"/>
        </w:rPr>
      </w:pPr>
      <w:r>
        <w:rPr>
          <w:rFonts w:ascii="Courier New" w:cs="Courier New" w:eastAsia="Courier New" w:hAnsi="Courier New"/>
          <w:sz w:val="14"/>
          <w:szCs w:val="14"/>
          <w:color w:val="auto"/>
        </w:rPr>
        <w:t>The following unaudited pro forma operating information presents a summary of comparable consolidated results of combined operations as a REIT of Old CCA and Old Prison Realty for the year ended December 31, 1998 (excluding (i) Old CCA's historical operations, (ii) the New CCA compensation charge, (iii) the cumulative effect of accounting change,</w:t>
      </w:r>
    </w:p>
    <w:p>
      <w:pPr>
        <w:spacing w:after="0" w:line="2" w:lineRule="exact"/>
        <w:rPr>
          <w:sz w:val="20"/>
          <w:szCs w:val="20"/>
          <w:color w:val="auto"/>
        </w:rPr>
      </w:pPr>
    </w:p>
    <w:p>
      <w:pPr>
        <w:ind w:left="593" w:right="3359" w:firstLine="1"/>
        <w:spacing w:after="0" w:line="256" w:lineRule="auto"/>
        <w:tabs>
          <w:tab w:leader="none" w:pos="101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write off of loan costs, (v) any non-recurring expenses related to the 1999 Merger, (vi) any write-off of amounts under lease arrangements, (vii) any impairment loss, (viii) any loss on disposals of assets, and (ix) any provision for income taxes or change in tax status), as if the 1999 Merger had occurred as of January 1, 1998. The unaudited pro forma operating information is presented for comparison purposes only and does not purport to represent what the Company's results of operations actually would have been had the 1999 Merger, in fact, occurred on January 1, 1998.</w:t>
      </w:r>
    </w:p>
    <w:p>
      <w:pPr>
        <w:spacing w:after="0" w:line="200" w:lineRule="exact"/>
        <w:rPr>
          <w:sz w:val="20"/>
          <w:szCs w:val="20"/>
          <w:color w:val="auto"/>
        </w:rPr>
      </w:pPr>
    </w:p>
    <w:p>
      <w:pPr>
        <w:spacing w:after="0" w:line="208" w:lineRule="exact"/>
        <w:rPr>
          <w:sz w:val="20"/>
          <w:szCs w:val="20"/>
          <w:color w:val="auto"/>
        </w:rPr>
      </w:pPr>
    </w:p>
    <w:tbl>
      <w:tblPr>
        <w:tblLayout w:type="fixed"/>
        <w:tblInd w:w="773" w:type="dxa"/>
        <w:tblCellMar>
          <w:top w:w="0" w:type="dxa"/>
          <w:left w:w="0" w:type="dxa"/>
          <w:bottom w:w="0" w:type="dxa"/>
          <w:right w:w="0" w:type="dxa"/>
        </w:tblCellMar>
      </w:tblPr>
      <w:tr>
        <w:trPr>
          <w:trHeight w:val="163"/>
        </w:trPr>
        <w:tc>
          <w:tcPr>
            <w:tcW w:w="3900" w:type="dxa"/>
            <w:vAlign w:val="bottom"/>
          </w:tcPr>
          <w:p>
            <w:pPr>
              <w:spacing w:after="0"/>
              <w:rPr>
                <w:sz w:val="14"/>
                <w:szCs w:val="14"/>
                <w:color w:val="auto"/>
              </w:rPr>
            </w:pPr>
          </w:p>
        </w:tc>
        <w:tc>
          <w:tcPr>
            <w:tcW w:w="1680" w:type="dxa"/>
            <w:vAlign w:val="bottom"/>
          </w:tcPr>
          <w:p>
            <w:pPr>
              <w:jc w:val="center"/>
              <w:ind w:left="169"/>
              <w:spacing w:after="0"/>
              <w:rPr>
                <w:sz w:val="20"/>
                <w:szCs w:val="20"/>
                <w:color w:val="auto"/>
              </w:rPr>
            </w:pPr>
            <w:r>
              <w:rPr>
                <w:rFonts w:ascii="Courier New" w:cs="Courier New" w:eastAsia="Courier New" w:hAnsi="Courier New"/>
                <w:sz w:val="14"/>
                <w:szCs w:val="14"/>
                <w:color w:val="auto"/>
              </w:rPr>
              <w:t>PRO FORMA</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680" w:type="dxa"/>
            <w:vAlign w:val="bottom"/>
          </w:tcPr>
          <w:p>
            <w:pPr>
              <w:jc w:val="center"/>
              <w:ind w:left="189"/>
              <w:spacing w:after="0"/>
              <w:rPr>
                <w:sz w:val="20"/>
                <w:szCs w:val="20"/>
                <w:color w:val="auto"/>
              </w:rPr>
            </w:pPr>
            <w:r>
              <w:rPr>
                <w:rFonts w:ascii="Courier New" w:cs="Courier New" w:eastAsia="Courier New" w:hAnsi="Courier New"/>
                <w:sz w:val="14"/>
                <w:szCs w:val="14"/>
                <w:color w:val="auto"/>
              </w:rPr>
              <w:t>TWELVE MONTHS</w:t>
            </w:r>
          </w:p>
        </w:tc>
        <w:tc>
          <w:tcPr>
            <w:tcW w:w="0" w:type="dxa"/>
            <w:vAlign w:val="bottom"/>
          </w:tcPr>
          <w:p>
            <w:pPr>
              <w:spacing w:after="0"/>
              <w:rPr>
                <w:sz w:val="1"/>
                <w:szCs w:val="1"/>
                <w:color w:val="auto"/>
              </w:rPr>
            </w:pPr>
          </w:p>
        </w:tc>
      </w:tr>
      <w:tr>
        <w:trPr>
          <w:trHeight w:val="163"/>
        </w:trPr>
        <w:tc>
          <w:tcPr>
            <w:tcW w:w="3900" w:type="dxa"/>
            <w:vAlign w:val="bottom"/>
            <w:vMerge w:val="restart"/>
          </w:tcPr>
          <w:p>
            <w:pPr>
              <w:ind w:left="1260"/>
              <w:spacing w:after="0"/>
              <w:rPr>
                <w:sz w:val="20"/>
                <w:szCs w:val="20"/>
                <w:color w:val="auto"/>
              </w:rPr>
            </w:pPr>
            <w:r>
              <w:rPr>
                <w:rFonts w:ascii="Courier New" w:cs="Courier New" w:eastAsia="Courier New" w:hAnsi="Courier New"/>
                <w:sz w:val="14"/>
                <w:szCs w:val="14"/>
                <w:color w:val="auto"/>
              </w:rPr>
              <w:t>(UNAUDITED)</w:t>
            </w:r>
          </w:p>
        </w:tc>
        <w:tc>
          <w:tcPr>
            <w:tcW w:w="1680" w:type="dxa"/>
            <w:vAlign w:val="bottom"/>
          </w:tcPr>
          <w:p>
            <w:pPr>
              <w:jc w:val="center"/>
              <w:ind w:left="189"/>
              <w:spacing w:after="0"/>
              <w:rPr>
                <w:sz w:val="20"/>
                <w:szCs w:val="20"/>
                <w:color w:val="auto"/>
              </w:rPr>
            </w:pPr>
            <w:r>
              <w:rPr>
                <w:rFonts w:ascii="Courier New" w:cs="Courier New" w:eastAsia="Courier New" w:hAnsi="Courier New"/>
                <w:sz w:val="14"/>
                <w:szCs w:val="14"/>
                <w:color w:val="auto"/>
                <w:w w:val="99"/>
              </w:rPr>
              <w:t>ENDED</w:t>
            </w:r>
          </w:p>
        </w:tc>
        <w:tc>
          <w:tcPr>
            <w:tcW w:w="0" w:type="dxa"/>
            <w:vAlign w:val="bottom"/>
          </w:tcPr>
          <w:p>
            <w:pPr>
              <w:spacing w:after="0"/>
              <w:rPr>
                <w:sz w:val="1"/>
                <w:szCs w:val="1"/>
                <w:color w:val="auto"/>
              </w:rPr>
            </w:pPr>
          </w:p>
        </w:tc>
      </w:tr>
      <w:tr>
        <w:trPr>
          <w:trHeight w:val="163"/>
        </w:trPr>
        <w:tc>
          <w:tcPr>
            <w:tcW w:w="3900" w:type="dxa"/>
            <w:vAlign w:val="bottom"/>
            <w:vMerge w:val="continue"/>
          </w:tcPr>
          <w:p>
            <w:pPr>
              <w:spacing w:after="0"/>
              <w:rPr>
                <w:sz w:val="14"/>
                <w:szCs w:val="14"/>
                <w:color w:val="auto"/>
              </w:rPr>
            </w:pPr>
          </w:p>
        </w:tc>
        <w:tc>
          <w:tcPr>
            <w:tcW w:w="1680" w:type="dxa"/>
            <w:vAlign w:val="bottom"/>
          </w:tcPr>
          <w:p>
            <w:pPr>
              <w:jc w:val="center"/>
              <w:ind w:left="169"/>
              <w:spacing w:after="0"/>
              <w:rPr>
                <w:sz w:val="20"/>
                <w:szCs w:val="20"/>
                <w:color w:val="auto"/>
              </w:rPr>
            </w:pPr>
            <w:r>
              <w:rPr>
                <w:rFonts w:ascii="Courier New" w:cs="Courier New" w:eastAsia="Courier New" w:hAnsi="Courier New"/>
                <w:sz w:val="14"/>
                <w:szCs w:val="14"/>
                <w:color w:val="auto"/>
              </w:rPr>
              <w:t>DECEMBER 31, 1998</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1680" w:type="dxa"/>
            <w:vAlign w:val="bottom"/>
          </w:tcPr>
          <w:p>
            <w:pPr>
              <w:jc w:val="center"/>
              <w:ind w:left="1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39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$218,587</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181,238</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20"/>
                <w:szCs w:val="20"/>
                <w:color w:val="auto"/>
              </w:rPr>
            </w:pPr>
            <w:r>
              <w:rPr>
                <w:rFonts w:ascii="Courier New" w:cs="Courier New" w:eastAsia="Courier New" w:hAnsi="Courier New"/>
                <w:sz w:val="14"/>
                <w:szCs w:val="14"/>
                <w:color w:val="auto"/>
              </w:rPr>
              <w:t>Net income available to common shareholders</w:t>
            </w:r>
          </w:p>
        </w:tc>
        <w:tc>
          <w:tcPr>
            <w:tcW w:w="1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174,888</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16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1.88</w:t>
            </w:r>
          </w:p>
        </w:tc>
        <w:tc>
          <w:tcPr>
            <w:tcW w:w="0" w:type="dxa"/>
            <w:vAlign w:val="bottom"/>
          </w:tcPr>
          <w:p>
            <w:pPr>
              <w:spacing w:after="0"/>
              <w:rPr>
                <w:sz w:val="1"/>
                <w:szCs w:val="1"/>
                <w:color w:val="auto"/>
              </w:rPr>
            </w:pPr>
          </w:p>
        </w:tc>
      </w:tr>
      <w:tr>
        <w:trPr>
          <w:trHeight w:val="163"/>
        </w:trPr>
        <w:tc>
          <w:tcPr>
            <w:tcW w:w="3900" w:type="dxa"/>
            <w:vAlign w:val="bottom"/>
          </w:tcPr>
          <w:p>
            <w:pPr>
              <w:ind w:left="320"/>
              <w:spacing w:after="0"/>
              <w:rPr>
                <w:sz w:val="20"/>
                <w:szCs w:val="20"/>
                <w:color w:val="auto"/>
              </w:rPr>
            </w:pPr>
            <w:r>
              <w:rPr>
                <w:rFonts w:ascii="Courier New" w:cs="Courier New" w:eastAsia="Courier New" w:hAnsi="Courier New"/>
                <w:sz w:val="14"/>
                <w:szCs w:val="14"/>
                <w:color w:val="auto"/>
              </w:rPr>
              <w:t>Basic</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900" w:type="dxa"/>
            <w:vAlign w:val="bottom"/>
          </w:tcPr>
          <w:p>
            <w:pPr>
              <w:ind w:left="320"/>
              <w:spacing w:after="0"/>
              <w:rPr>
                <w:sz w:val="20"/>
                <w:szCs w:val="20"/>
                <w:color w:val="auto"/>
              </w:rPr>
            </w:pPr>
            <w:r>
              <w:rPr>
                <w:rFonts w:ascii="Courier New" w:cs="Courier New" w:eastAsia="Courier New" w:hAnsi="Courier New"/>
                <w:sz w:val="14"/>
                <w:szCs w:val="14"/>
                <w:color w:val="auto"/>
              </w:rPr>
              <w:t>Diluted</w:t>
            </w:r>
          </w:p>
        </w:tc>
        <w:tc>
          <w:tcPr>
            <w:tcW w:w="1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93" w:hanging="593"/>
        <w:spacing w:after="0"/>
        <w:tabs>
          <w:tab w:leader="none" w:pos="59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GOING CONCERN MATTERS</w:t>
      </w:r>
    </w:p>
    <w:p>
      <w:pPr>
        <w:spacing w:after="0" w:line="167" w:lineRule="exact"/>
        <w:rPr>
          <w:rFonts w:ascii="Courier New" w:cs="Courier New" w:eastAsia="Courier New" w:hAnsi="Courier New"/>
          <w:sz w:val="14"/>
          <w:szCs w:val="14"/>
          <w:color w:val="auto"/>
        </w:rPr>
      </w:pPr>
    </w:p>
    <w:p>
      <w:pPr>
        <w:ind w:left="593" w:right="33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consolidated financial statements have been prepared assuming that the Company will continue as a going concern. The Company is in default under its secured bank credit facility (the "Amended Credit Facility", outstanding balance of $928.2 million at December 31, 1999) and is in default under its 9.5% convertible subordinated notes (the "9.5% Convertible Notes", outstanding balance of $40.0 million at December 31, 1999). The defaults relate to failure to comply with certain financial covenants, the issuance of a going concern opinion qualification, and a "change in control" provision, as defined in the agreements. The noncompliance with the requirements under these outstanding obligations could result in the creditors demanding immediate repayment of these obligations. The events of default have not been formally or informally declared and no acceleration actions have been taken by the creditors. The Company has not obtained waivers of the noncompliance issues. Also, Prison Realty Trust, Inc. has limited resources currently available to meet its operating, capital expenditure and debt service requirements during 2000. In addition, as discussed in Note 22, the Company has significant outstanding shareholder and other litigation matters.</w:t>
      </w:r>
    </w:p>
    <w:p>
      <w:pPr>
        <w:spacing w:after="0" w:line="248" w:lineRule="exact"/>
        <w:rPr>
          <w:sz w:val="20"/>
          <w:szCs w:val="20"/>
          <w:color w:val="auto"/>
        </w:rPr>
      </w:pPr>
    </w:p>
    <w:p>
      <w:pPr>
        <w:ind w:left="3213"/>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152"/>
          </w:cols>
          <w:pgMar w:left="307" w:top="257"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4"/>
          <w:szCs w:val="14"/>
          <w:color w:val="auto"/>
        </w:rPr>
        <w:t>134</w:t>
      </w:r>
    </w:p>
    <w:p>
      <w:pPr>
        <w:spacing w:after="0" w:line="30" w:lineRule="exact"/>
        <w:rPr>
          <w:sz w:val="20"/>
          <w:szCs w:val="20"/>
          <w:color w:val="auto"/>
        </w:rPr>
      </w:pPr>
    </w:p>
    <w:p>
      <w:pPr>
        <w:ind w:left="340" w:right="3359"/>
        <w:spacing w:after="0" w:line="252" w:lineRule="auto"/>
        <w:rPr>
          <w:sz w:val="20"/>
          <w:szCs w:val="20"/>
          <w:color w:val="auto"/>
        </w:rPr>
      </w:pPr>
      <w:r>
        <w:rPr>
          <w:rFonts w:ascii="Courier New" w:cs="Courier New" w:eastAsia="Courier New" w:hAnsi="Courier New"/>
          <w:sz w:val="14"/>
          <w:szCs w:val="14"/>
          <w:color w:val="auto"/>
        </w:rPr>
        <w:t>The Company's primary lessee, Corrections Corporation of America ("New CCA"), which the Company is dependent on for its major sources of income, incurred a net loss of $202.9 million for the year ended December 31, 1999, has a net working capital deficiency and a net capital deficiency at December 31, 1999, and is in default under its revolving credit facility. New CCA's default under its revolving credit facility relates to failure to comply with certain financial covenants. In addition, New CCA is in default under the $137.0 million promissory note payable by New CCA to the Company (the "CCA Note"). As of December 31, 1999, approximately $24.9 million of rents due from New CCA to the Company under the master lease agreement and leases with respect to each leased property between New CCA and the Company (the "CCA Leases") were unpaid. The terms of the CCA Leases provide that rental payments were due and payable on December 25, 1999. During 2000, New CCA has paid $12.9 million of lease payments related to 1999.</w:t>
      </w:r>
    </w:p>
    <w:p>
      <w:pPr>
        <w:spacing w:after="0" w:line="85" w:lineRule="exact"/>
        <w:rPr>
          <w:sz w:val="20"/>
          <w:szCs w:val="20"/>
          <w:color w:val="auto"/>
        </w:rPr>
      </w:pPr>
    </w:p>
    <w:p>
      <w:pPr>
        <w:ind w:left="340" w:right="3359"/>
        <w:spacing w:after="0" w:line="253" w:lineRule="auto"/>
        <w:rPr>
          <w:sz w:val="20"/>
          <w:szCs w:val="20"/>
          <w:color w:val="auto"/>
        </w:rPr>
      </w:pPr>
      <w:r>
        <w:rPr>
          <w:rFonts w:ascii="Courier New" w:cs="Courier New" w:eastAsia="Courier New" w:hAnsi="Courier New"/>
          <w:sz w:val="14"/>
          <w:szCs w:val="14"/>
          <w:color w:val="auto"/>
        </w:rPr>
        <w:t>New CCA's defaults under the CCA Note relate to failure to make timely contractual payments. As of December 31, 1999, the first scheduled payment of interest, totaling approximately $16.4 million, on the CCA Note was unpaid. Pursuant to the terms of the CCA Note, New CCA was required to make the payment on December 31, 1999; however, pursuant to the terms of a subordination agreement, dated as of March 1, 1999, by and between the Company and the agent of New CCA's revolving credit facility, New CCA is prohibited from making the scheduled interest payments on the CCA Note when New CCA is not in compliance with certain financial covenants. New CCA is not in compliance with these financial covenants and, consequently, is prohibited from making the scheduled interest payments to the Company. Pursuant to the terms of the subordination agreement between the Company and the agent of New CCA's revolving credit facility, the Company is prohibited from accelerating payment of the principal amount of the CCA Note or taking any other action to enforce its rights under the provisions of the CCA Note for so long as New CCA's revolving credit facility remains outstanding. Also, the independent public accountants of New CCA have indicated in their opinion on the respective 1999 consolidated financial statements that there is substantial doubt about New CCA's ability to continue as a going concern.</w:t>
      </w:r>
    </w:p>
    <w:p>
      <w:pPr>
        <w:spacing w:after="0" w:line="81" w:lineRule="exact"/>
        <w:rPr>
          <w:sz w:val="20"/>
          <w:szCs w:val="20"/>
          <w:color w:val="auto"/>
        </w:rPr>
      </w:pPr>
    </w:p>
    <w:p>
      <w:pPr>
        <w:ind w:left="340" w:right="3459"/>
        <w:spacing w:after="0" w:line="256" w:lineRule="auto"/>
        <w:rPr>
          <w:sz w:val="20"/>
          <w:szCs w:val="20"/>
          <w:color w:val="auto"/>
        </w:rPr>
      </w:pPr>
      <w:r>
        <w:rPr>
          <w:rFonts w:ascii="Courier New" w:cs="Courier New" w:eastAsia="Courier New" w:hAnsi="Courier New"/>
          <w:sz w:val="14"/>
          <w:szCs w:val="14"/>
          <w:color w:val="auto"/>
        </w:rPr>
        <w:t>Continued operating losses by New CCA, declarations of events of default and acceleration actions by the Company's and New CCA's creditors, the continued inability of New CCA to make contractual payments to the Company, and the Company's limited resources currently available to meet its operating, capital expenditure and debt service requirements will have a material adverse impact on the Company's consolidated financial position, results of operations and cash flows. In addition, these matters concerning the Company and New CCA raise substantial doubt about the Company's ability to continue as a going concern. The consolidated financial statements do not include any adjustments relating to the recoverability of asset carrying amounts or the amounts of liabilities that might result should the Company be unable to continue as a going concern.</w:t>
      </w:r>
    </w:p>
    <w:p>
      <w:pPr>
        <w:spacing w:after="0" w:line="84" w:lineRule="exact"/>
        <w:rPr>
          <w:sz w:val="20"/>
          <w:szCs w:val="20"/>
          <w:color w:val="auto"/>
        </w:rPr>
      </w:pPr>
    </w:p>
    <w:p>
      <w:pPr>
        <w:ind w:left="340" w:right="3459"/>
        <w:spacing w:after="0" w:line="266" w:lineRule="auto"/>
        <w:rPr>
          <w:sz w:val="20"/>
          <w:szCs w:val="20"/>
          <w:color w:val="auto"/>
        </w:rPr>
      </w:pPr>
      <w:r>
        <w:rPr>
          <w:rFonts w:ascii="Courier New" w:cs="Courier New" w:eastAsia="Courier New" w:hAnsi="Courier New"/>
          <w:sz w:val="14"/>
          <w:szCs w:val="14"/>
          <w:color w:val="auto"/>
        </w:rPr>
        <w:t>In response to the significant losses experienced by the Company and by New CCA during 1999 and in response to the defaults under the Company's debt agreements, the Company's Board of Directors is considering various capital infusion proposals through one or more strategic investors, as well as various restructurings. A complete discussion of the Company's plan and recent developments affecting the Company's plan is included in Note 23.</w:t>
      </w:r>
    </w:p>
    <w:p>
      <w:pPr>
        <w:spacing w:after="0" w:line="237"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9899"/>
          </w:cols>
          <w:pgMar w:left="560" w:top="257" w:right="1440" w:bottom="1440" w:gutter="0" w:footer="0" w:header="0"/>
        </w:sectPr>
      </w:pPr>
    </w:p>
    <w:bookmarkStart w:id="136" w:name="page137"/>
    <w:bookmarkEnd w:id="136"/>
    <w:p>
      <w:pPr>
        <w:ind w:left="253"/>
        <w:spacing w:after="0"/>
        <w:rPr>
          <w:sz w:val="20"/>
          <w:szCs w:val="20"/>
          <w:color w:val="auto"/>
        </w:rPr>
      </w:pPr>
      <w:r>
        <w:rPr>
          <w:rFonts w:ascii="Courier New" w:cs="Courier New" w:eastAsia="Courier New" w:hAnsi="Courier New"/>
          <w:sz w:val="14"/>
          <w:szCs w:val="14"/>
          <w:color w:val="auto"/>
        </w:rPr>
        <w:t>135</w:t>
      </w:r>
    </w:p>
    <w:p>
      <w:pPr>
        <w:spacing w:after="0" w:line="30" w:lineRule="exact"/>
        <w:rPr>
          <w:sz w:val="20"/>
          <w:szCs w:val="20"/>
          <w:color w:val="auto"/>
        </w:rPr>
      </w:pPr>
    </w:p>
    <w:p>
      <w:pPr>
        <w:ind w:left="593" w:hanging="593"/>
        <w:spacing w:after="0"/>
        <w:tabs>
          <w:tab w:leader="none" w:pos="59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MERGER TRANSACTIONS</w:t>
      </w:r>
    </w:p>
    <w:p>
      <w:pPr>
        <w:spacing w:after="0" w:line="141" w:lineRule="exact"/>
        <w:rPr>
          <w:rFonts w:ascii="Courier New" w:cs="Courier New" w:eastAsia="Courier New" w:hAnsi="Courier New"/>
          <w:sz w:val="14"/>
          <w:szCs w:val="14"/>
          <w:color w:val="auto"/>
        </w:rPr>
      </w:pPr>
    </w:p>
    <w:p>
      <w:pPr>
        <w:ind w:left="593" w:right="335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31, 1998, immediately prior to the 1999 Merger, Old CCA sold to New CCA all of the issued and outstanding capital stock of certain wholly-owned corporate subsidiaries of Old CCA, certain management contracts and certain other assets and liabilities, and entered into a trade name use agreement as described in Note 5. In exchange, Old CCA received the CCA Note and 100% of the non-voting common stock of New CCA. The non-voting common stock represents a 9.5% economic interest in New CCA and was valued at the implied fair market value of $4.8 million. The Company succeeded to these interests as a result of the 1999 Merger. The sale to New CCA generated a deferred gain of $63.3 million. See Note 5 for discussion of the accounting for the CCA Note, the investment in New CCA and the deferred gain and for discussion of ongoing relationships with New CCA.</w:t>
      </w:r>
    </w:p>
    <w:p>
      <w:pPr>
        <w:spacing w:after="0" w:line="83" w:lineRule="exact"/>
        <w:rPr>
          <w:rFonts w:ascii="Courier New" w:cs="Courier New" w:eastAsia="Courier New" w:hAnsi="Courier New"/>
          <w:sz w:val="14"/>
          <w:szCs w:val="14"/>
          <w:color w:val="auto"/>
        </w:rPr>
      </w:pPr>
    </w:p>
    <w:p>
      <w:pPr>
        <w:ind w:left="593" w:right="335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31, 1998, immediately prior to the 1999 Merger, Old CCA sold to a newly-created company, Prison Management Services, LLC ("PMS LLC"), certain management contracts and certain other assets and liabilities relating to government-owned adult prison facilities. On January 1, 1999, PMS LLC merged with Prison Management Services, Inc., a privately-held Tennessee corporation ("PMSI"). In exchange, Old CCA received 100% of the non-voting membership interest in PMSI valued at the implied fair market value of $67.1 million. The Company succeeded to this interest as a result of the 1999 Merger. The sale to PMSI generated a deferred gain of $35.4 million.</w:t>
      </w:r>
    </w:p>
    <w:p>
      <w:pPr>
        <w:spacing w:after="0" w:line="75" w:lineRule="exact"/>
        <w:rPr>
          <w:rFonts w:ascii="Courier New" w:cs="Courier New" w:eastAsia="Courier New" w:hAnsi="Courier New"/>
          <w:sz w:val="14"/>
          <w:szCs w:val="14"/>
          <w:color w:val="auto"/>
        </w:rPr>
      </w:pPr>
    </w:p>
    <w:p>
      <w:pPr>
        <w:ind w:left="593" w:right="33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31, 1998, immediately prior to the 1999 Merger, Old CCA sold to a newly-created company, Juvenile and Jail Facility Management Services, LLC ("JJFMS LLC"), certain management contracts and certain other assets and liabilities relating to government-owned jails and juvenile facilities. On January 1, 1999, JJFMS LLC merged with Juvenile and Jail Facility Management Services, Inc., a privately-held Tennessee corporation ("JJFMSI"). In exchange, Old CCA received 100% of the non-voting membership interest in JJFMSI valued at the implied fair market value of $55.9 million. The Company succeeded to this interest as a result of the 1999 Merger. The sale to JJFMSI generated a deferred gain of $18.0 million.</w:t>
      </w:r>
    </w:p>
    <w:p>
      <w:pPr>
        <w:spacing w:after="0" w:line="81" w:lineRule="exact"/>
        <w:rPr>
          <w:rFonts w:ascii="Courier New" w:cs="Courier New" w:eastAsia="Courier New" w:hAnsi="Courier New"/>
          <w:sz w:val="14"/>
          <w:szCs w:val="14"/>
          <w:color w:val="auto"/>
        </w:rPr>
      </w:pPr>
    </w:p>
    <w:p>
      <w:pPr>
        <w:ind w:left="593" w:right="335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1, 1999, Old Prison Realty merged with and into the Company (the "Prison Realty Merger"). In the Prison Realty Merger, Old Prison Realty shareholders received 1.0 share of common stock or 8.0% Series A Cumulative Preferred Stock of the Company in exchange for each Old Prison Realty common share or Series A Cumulative Preferred Share. The Prison Realty Merger was accounted for as a purchase acquisition of Old Prison Realty. Subsequent to the Prison Realty Merger, the Company acquires, develops and leases properties rather than operating and managing prison facilities.</w:t>
      </w:r>
    </w:p>
    <w:p>
      <w:pPr>
        <w:spacing w:after="0" w:line="78" w:lineRule="exact"/>
        <w:rPr>
          <w:rFonts w:ascii="Courier New" w:cs="Courier New" w:eastAsia="Courier New" w:hAnsi="Courier New"/>
          <w:sz w:val="14"/>
          <w:szCs w:val="14"/>
          <w:color w:val="auto"/>
        </w:rPr>
      </w:pPr>
    </w:p>
    <w:p>
      <w:pPr>
        <w:ind w:left="593" w:right="5999" w:hanging="593"/>
        <w:spacing w:after="0" w:line="493" w:lineRule="auto"/>
        <w:tabs>
          <w:tab w:leader="none" w:pos="59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BASIS OF PRESENTATION</w:t>
      </w:r>
    </w:p>
    <w:p>
      <w:pPr>
        <w:ind w:left="593" w:right="335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include the accounts of the Company and its wholly-owned subsidiaries. Investments in majority-owned affiliates where control does not exist, including the Company's investments in PMSI and JJFMSI, are accounted for under the equity method. Investments in entities of less than 20% of an entity's outstanding stock and where no significant influence exists, including the Company's investment in New CCA, are accounted for under the cost method. All material intercompany transactions and balances have been eliminated in consolidation.</w:t>
      </w:r>
    </w:p>
    <w:p>
      <w:pPr>
        <w:spacing w:after="0" w:line="242" w:lineRule="exact"/>
        <w:rPr>
          <w:sz w:val="20"/>
          <w:szCs w:val="20"/>
          <w:color w:val="auto"/>
        </w:rPr>
      </w:pPr>
    </w:p>
    <w:p>
      <w:pPr>
        <w:ind w:left="3213"/>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152"/>
          </w:cols>
          <w:pgMar w:left="307" w:top="257"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4"/>
          <w:szCs w:val="14"/>
          <w:color w:val="auto"/>
        </w:rPr>
        <w:t>136</w:t>
      </w:r>
    </w:p>
    <w:p>
      <w:pPr>
        <w:spacing w:after="0" w:line="3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REAL ESTATE PROPERTIES</w:t>
      </w:r>
    </w:p>
    <w:p>
      <w:pPr>
        <w:spacing w:after="0" w:line="142" w:lineRule="exact"/>
        <w:rPr>
          <w:sz w:val="20"/>
          <w:szCs w:val="20"/>
          <w:color w:val="auto"/>
        </w:rPr>
      </w:pPr>
    </w:p>
    <w:p>
      <w:pPr>
        <w:ind w:left="340" w:right="3459"/>
        <w:spacing w:after="0" w:line="260" w:lineRule="auto"/>
        <w:rPr>
          <w:sz w:val="20"/>
          <w:szCs w:val="20"/>
          <w:color w:val="auto"/>
        </w:rPr>
      </w:pPr>
      <w:r>
        <w:rPr>
          <w:rFonts w:ascii="Courier New" w:cs="Courier New" w:eastAsia="Courier New" w:hAnsi="Courier New"/>
          <w:sz w:val="14"/>
          <w:szCs w:val="14"/>
          <w:color w:val="auto"/>
        </w:rPr>
        <w:t>Property and equipment is carried at cost. Betterments, renewals and extraordinary repairs that extend the life of an asset are capitalized; other repair and maintenance costs are expensed. Interest is capitalized to the asset to which it relates in connection with the construction of major facilities. The cost and accumulated depreciation applicable to assets retired are removed from the accounts and the gain or loss on disposition is recognized in income. Depreciation is computed by the straight-line method for financial reporting purposes and accelerated methods for tax reporting purposes based upon the estimated useful lives of the related assets of up to 50 years.</w:t>
      </w:r>
    </w:p>
    <w:p>
      <w:pPr>
        <w:spacing w:after="0" w:line="7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ACCOUNTING FOR THE IMPAIRMENT OF LONG LIVED ASSETS</w:t>
      </w:r>
    </w:p>
    <w:p>
      <w:pPr>
        <w:spacing w:after="0" w:line="168" w:lineRule="exact"/>
        <w:rPr>
          <w:sz w:val="20"/>
          <w:szCs w:val="20"/>
          <w:color w:val="auto"/>
        </w:rPr>
      </w:pPr>
    </w:p>
    <w:p>
      <w:pPr>
        <w:ind w:left="340" w:right="3359"/>
        <w:spacing w:after="0" w:line="261" w:lineRule="auto"/>
        <w:rPr>
          <w:sz w:val="20"/>
          <w:szCs w:val="20"/>
          <w:color w:val="auto"/>
        </w:rPr>
      </w:pPr>
      <w:r>
        <w:rPr>
          <w:rFonts w:ascii="Courier New" w:cs="Courier New" w:eastAsia="Courier New" w:hAnsi="Courier New"/>
          <w:sz w:val="14"/>
          <w:szCs w:val="14"/>
          <w:color w:val="auto"/>
        </w:rPr>
        <w:t>In accordance with Statement of Financial Accounting Standards No. 121, "Accounting for the Impairment of Long-Lived Assets and Long-Lived Assets to be Disposed Of" ("SFAS 121"), the Company continually evaluates the recoverability of the carrying values of its long-lived assets when events suggest that an impairment may have occurred. In these circumstances, the Company utilizes estimates of undiscounted cash flows to determine if an impairment exists. If an impairment exists, it is measured as the amount by which the carrying amount of the asset exceeds the fair value of the asset.</w:t>
      </w:r>
    </w:p>
    <w:p>
      <w:pPr>
        <w:spacing w:after="0" w:line="7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CASH AND CASH EQUIVALENTS</w:t>
      </w:r>
    </w:p>
    <w:p>
      <w:pPr>
        <w:spacing w:after="0" w:line="168" w:lineRule="exact"/>
        <w:rPr>
          <w:sz w:val="20"/>
          <w:szCs w:val="20"/>
          <w:color w:val="auto"/>
        </w:rPr>
      </w:pPr>
    </w:p>
    <w:p>
      <w:pPr>
        <w:ind w:left="340" w:right="3359"/>
        <w:spacing w:after="0" w:line="366" w:lineRule="auto"/>
        <w:rPr>
          <w:sz w:val="20"/>
          <w:szCs w:val="20"/>
          <w:color w:val="auto"/>
        </w:rPr>
      </w:pPr>
      <w:r>
        <w:rPr>
          <w:rFonts w:ascii="Courier New" w:cs="Courier New" w:eastAsia="Courier New" w:hAnsi="Courier New"/>
          <w:sz w:val="14"/>
          <w:szCs w:val="14"/>
          <w:color w:val="auto"/>
        </w:rPr>
        <w:t>The Company considers all highly liquid debt instruments with an original maturity of three months or less to be cash equivalents.</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RESTRICTED CASH</w:t>
      </w:r>
    </w:p>
    <w:p>
      <w:pPr>
        <w:spacing w:after="0" w:line="168" w:lineRule="exact"/>
        <w:rPr>
          <w:sz w:val="20"/>
          <w:szCs w:val="20"/>
          <w:color w:val="auto"/>
        </w:rPr>
      </w:pPr>
    </w:p>
    <w:p>
      <w:pPr>
        <w:ind w:left="340" w:right="3359"/>
        <w:spacing w:after="0" w:line="270" w:lineRule="auto"/>
        <w:rPr>
          <w:sz w:val="20"/>
          <w:szCs w:val="20"/>
          <w:color w:val="auto"/>
        </w:rPr>
      </w:pPr>
      <w:r>
        <w:rPr>
          <w:rFonts w:ascii="Courier New" w:cs="Courier New" w:eastAsia="Courier New" w:hAnsi="Courier New"/>
          <w:sz w:val="14"/>
          <w:szCs w:val="14"/>
          <w:color w:val="auto"/>
        </w:rPr>
        <w:t>Restricted cash at December 31, 1999 was $24.4 million, of which $15.5 million represents cash collateral for an irrevocable letter of credit issued in connection with the construction of a facility and $6.9 million represents cash collateral for a guarantee agreement. The remaining $2.0 million represents cash collateral for outstanding letters of credit securing workers' compensation claims related to Old CCA.</w:t>
      </w:r>
    </w:p>
    <w:p>
      <w:pPr>
        <w:spacing w:after="0" w:line="7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INVESTMENTS IN DIRECT FINANCING LEASES</w:t>
      </w:r>
    </w:p>
    <w:p>
      <w:pPr>
        <w:spacing w:after="0" w:line="168" w:lineRule="exact"/>
        <w:rPr>
          <w:sz w:val="20"/>
          <w:szCs w:val="20"/>
          <w:color w:val="auto"/>
        </w:rPr>
      </w:pPr>
    </w:p>
    <w:p>
      <w:pPr>
        <w:ind w:left="340" w:right="3359"/>
        <w:spacing w:after="0" w:line="266" w:lineRule="auto"/>
        <w:rPr>
          <w:sz w:val="20"/>
          <w:szCs w:val="20"/>
          <w:color w:val="auto"/>
        </w:rPr>
      </w:pPr>
      <w:r>
        <w:rPr>
          <w:rFonts w:ascii="Courier New" w:cs="Courier New" w:eastAsia="Courier New" w:hAnsi="Courier New"/>
          <w:sz w:val="14"/>
          <w:szCs w:val="14"/>
          <w:color w:val="auto"/>
        </w:rPr>
        <w:t>Investments in direct financing leases represent the portion of Old CCA's management contracts with governmental agencies that represent payments on building and equipment leases. The leases are accounted for using the financing method and, accordingly, the minimum lease payments to be received over the term of the leases less unearned income are capitalized as the Company's investments in the leases. Unearned income is recognized as income over the term of the leases using the interest method.</w:t>
      </w:r>
    </w:p>
    <w:p>
      <w:pPr>
        <w:spacing w:after="0" w:line="7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DEBT ISSUANCE COSTS</w:t>
      </w:r>
    </w:p>
    <w:p>
      <w:pPr>
        <w:spacing w:after="0" w:line="168" w:lineRule="exact"/>
        <w:rPr>
          <w:sz w:val="20"/>
          <w:szCs w:val="20"/>
          <w:color w:val="auto"/>
        </w:rPr>
      </w:pPr>
    </w:p>
    <w:p>
      <w:pPr>
        <w:ind w:left="340" w:right="3459"/>
        <w:spacing w:after="0" w:line="366" w:lineRule="auto"/>
        <w:rPr>
          <w:sz w:val="20"/>
          <w:szCs w:val="20"/>
          <w:color w:val="auto"/>
        </w:rPr>
      </w:pPr>
      <w:r>
        <w:rPr>
          <w:rFonts w:ascii="Courier New" w:cs="Courier New" w:eastAsia="Courier New" w:hAnsi="Courier New"/>
          <w:sz w:val="14"/>
          <w:szCs w:val="14"/>
          <w:color w:val="auto"/>
        </w:rPr>
        <w:t>Debt issuance costs are amortized on a straight-line basis over the life of the related debt and reflected as interest expense.</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9899"/>
          </w:cols>
          <w:pgMar w:left="560" w:top="257"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4"/>
          <w:szCs w:val="14"/>
          <w:color w:val="auto"/>
        </w:rPr>
        <w:t>137</w:t>
      </w:r>
    </w:p>
    <w:p>
      <w:pPr>
        <w:spacing w:after="0" w:line="3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DEFERRED GAINS ON REAL ESTATE TRANSACTIONS</w:t>
      </w:r>
    </w:p>
    <w:p>
      <w:pPr>
        <w:spacing w:after="0" w:line="142" w:lineRule="exact"/>
        <w:rPr>
          <w:sz w:val="20"/>
          <w:szCs w:val="20"/>
          <w:color w:val="auto"/>
        </w:rPr>
      </w:pPr>
    </w:p>
    <w:p>
      <w:pPr>
        <w:ind w:left="340" w:right="3359"/>
        <w:spacing w:after="0" w:line="270" w:lineRule="auto"/>
        <w:rPr>
          <w:sz w:val="20"/>
          <w:szCs w:val="20"/>
          <w:color w:val="auto"/>
        </w:rPr>
      </w:pPr>
      <w:r>
        <w:rPr>
          <w:rFonts w:ascii="Courier New" w:cs="Courier New" w:eastAsia="Courier New" w:hAnsi="Courier New"/>
          <w:sz w:val="14"/>
          <w:szCs w:val="14"/>
          <w:color w:val="auto"/>
        </w:rPr>
        <w:t>Deferred gains on real estate transactions were generated in 1997 and 1998 as a result of the sale of real estate properties to Old Prison Realty by Old CCA. Effective with the Prison Realty Merger on January 1, 1999, the Company eliminated the deferred gains on real estate transactions and reduced the value of the real estate properties received in connection with the Prison Realty Merger.</w:t>
      </w:r>
    </w:p>
    <w:p>
      <w:pPr>
        <w:spacing w:after="0" w:line="7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DEFERRED GAINS ON SALES OF CONTRACTS</w:t>
      </w:r>
    </w:p>
    <w:p>
      <w:pPr>
        <w:spacing w:after="0" w:line="168" w:lineRule="exact"/>
        <w:rPr>
          <w:sz w:val="20"/>
          <w:szCs w:val="20"/>
          <w:color w:val="auto"/>
        </w:rPr>
      </w:pPr>
    </w:p>
    <w:p>
      <w:pPr>
        <w:ind w:left="340" w:right="3359"/>
        <w:spacing w:after="0" w:line="266" w:lineRule="auto"/>
        <w:rPr>
          <w:sz w:val="20"/>
          <w:szCs w:val="20"/>
          <w:color w:val="auto"/>
        </w:rPr>
      </w:pPr>
      <w:r>
        <w:rPr>
          <w:rFonts w:ascii="Courier New" w:cs="Courier New" w:eastAsia="Courier New" w:hAnsi="Courier New"/>
          <w:sz w:val="14"/>
          <w:szCs w:val="14"/>
          <w:color w:val="auto"/>
        </w:rPr>
        <w:t>The Company amortizes these deferred gains into income in accordance with the Securities and Exchange Commission's Staff Accounting Bulletin No.</w:t>
      </w:r>
    </w:p>
    <w:p>
      <w:pPr>
        <w:spacing w:after="0" w:line="1" w:lineRule="exact"/>
        <w:rPr>
          <w:sz w:val="20"/>
          <w:szCs w:val="20"/>
          <w:color w:val="auto"/>
        </w:rPr>
      </w:pPr>
    </w:p>
    <w:p>
      <w:pPr>
        <w:ind w:left="340" w:right="3359" w:firstLine="1"/>
        <w:spacing w:after="0" w:line="262" w:lineRule="auto"/>
        <w:tabs>
          <w:tab w:leader="none" w:pos="67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deferred gain from the sale to New CCA will be amortized over the six year period in which principal payments on the CCA Note will be received. The deferred gains from the sales to PMSI and JJFMSI are being amortized over a five year period commencing January 1, 1999, which represents the average remaining lives of the contracts sold to PMSI and JJFMSI, plus any contractual renewal options.</w:t>
      </w:r>
    </w:p>
    <w:p>
      <w:pPr>
        <w:spacing w:after="0" w:line="7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RENTAL REVENUES</w:t>
      </w:r>
    </w:p>
    <w:p>
      <w:pPr>
        <w:spacing w:after="0" w:line="168" w:lineRule="exact"/>
        <w:rPr>
          <w:sz w:val="20"/>
          <w:szCs w:val="20"/>
          <w:color w:val="auto"/>
        </w:rPr>
      </w:pPr>
    </w:p>
    <w:p>
      <w:pPr>
        <w:ind w:left="340" w:right="3359"/>
        <w:spacing w:after="0" w:line="276" w:lineRule="auto"/>
        <w:rPr>
          <w:sz w:val="20"/>
          <w:szCs w:val="20"/>
          <w:color w:val="auto"/>
        </w:rPr>
      </w:pPr>
      <w:r>
        <w:rPr>
          <w:rFonts w:ascii="Courier New" w:cs="Courier New" w:eastAsia="Courier New" w:hAnsi="Courier New"/>
          <w:sz w:val="14"/>
          <w:szCs w:val="14"/>
          <w:color w:val="auto"/>
        </w:rPr>
        <w:t>Rental revenues are recognized based on the terms of the Company's leases. Tenant incentive fees paid to lessees, including New CCA, are deferred and amortized as a reduction of rental revenue over the term of related leases. The realizability of capitalized tenant incentive fees is continually evaluated.</w:t>
      </w:r>
    </w:p>
    <w:p>
      <w:pPr>
        <w:spacing w:after="0" w:line="6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INCOME TAXES</w:t>
      </w:r>
    </w:p>
    <w:p>
      <w:pPr>
        <w:spacing w:after="0" w:line="168" w:lineRule="exact"/>
        <w:rPr>
          <w:sz w:val="20"/>
          <w:szCs w:val="20"/>
          <w:color w:val="auto"/>
        </w:rPr>
      </w:pPr>
    </w:p>
    <w:p>
      <w:pPr>
        <w:ind w:left="340" w:right="3359"/>
        <w:spacing w:after="0" w:line="252" w:lineRule="auto"/>
        <w:rPr>
          <w:sz w:val="20"/>
          <w:szCs w:val="20"/>
          <w:color w:val="auto"/>
        </w:rPr>
      </w:pPr>
      <w:r>
        <w:rPr>
          <w:rFonts w:ascii="Courier New" w:cs="Courier New" w:eastAsia="Courier New" w:hAnsi="Courier New"/>
          <w:sz w:val="14"/>
          <w:szCs w:val="14"/>
          <w:color w:val="auto"/>
        </w:rPr>
        <w:t>Prior to 1999, income taxes were accounted for under the provisions of Statement of Financial Accounting Standards No. 109, "Accounting for Income Taxes" ("SFAS 109"). SFAS 109 generally requires the Company to record deferred income taxes for the tax effect of differences between book and tax bases of its assets and liabilities. For the year ended December 31, 1999, as required by the Company's governing instruments, the Company currently intends to elect to qualify as a REIT under the Internal Revenue Code of 1986, as amended (the "Code"). As a result, the Company will generally not be subject to income tax on its taxable income at corporate rates to the extent it distributes annually at least 95% of its taxable income to its shareholders and complies with certain other requirements. Accordingly, no provision has been made for income taxes in the accompanying 1999 consolidated financial statements. The Company's election of REIT status for the taxable year ended December 31, 1999 will be subject to review by the Internal Revenue Service ("IRS"), for a period of three years from the date of filing of its 1999 tax return.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See Note 22 for additional information on the Company's contingent tax liabilities.</w:t>
      </w:r>
    </w:p>
    <w:p>
      <w:pPr>
        <w:spacing w:after="0" w:line="25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9899"/>
          </w:cols>
          <w:pgMar w:left="560" w:top="257"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4"/>
          <w:szCs w:val="14"/>
          <w:color w:val="auto"/>
        </w:rPr>
        <w:t>138</w:t>
      </w:r>
    </w:p>
    <w:p>
      <w:pPr>
        <w:spacing w:after="0" w:line="3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42" w:lineRule="exact"/>
        <w:rPr>
          <w:sz w:val="20"/>
          <w:szCs w:val="20"/>
          <w:color w:val="auto"/>
        </w:rPr>
      </w:pPr>
    </w:p>
    <w:p>
      <w:pPr>
        <w:ind w:left="340" w:right="3359"/>
        <w:spacing w:after="0" w:line="266" w:lineRule="auto"/>
        <w:rPr>
          <w:sz w:val="20"/>
          <w:szCs w:val="20"/>
          <w:color w:val="auto"/>
        </w:rPr>
      </w:pPr>
      <w:r>
        <w:rPr>
          <w:rFonts w:ascii="Courier New" w:cs="Courier New" w:eastAsia="Courier New" w:hAnsi="Courier New"/>
          <w:sz w:val="14"/>
          <w:szCs w:val="14"/>
          <w:color w:val="auto"/>
        </w:rPr>
        <w:t>To meet the reporting requirements of Statement of Financial Accounting Standards No. 107, "Disclosures About Fair Value of Financial Instruments" ("SFAS 107"), the Company calculates the fair value of financial instruments using quoted market prices of similar instruments and discounted cash flow techniques. At December 31, 1999 and 1998, there were no differences between the carrying amounts and fair values of the Company's financial instruments, other than as disclosed in this note.</w:t>
      </w:r>
    </w:p>
    <w:p>
      <w:pPr>
        <w:spacing w:after="0" w:line="400" w:lineRule="exact"/>
        <w:rPr>
          <w:sz w:val="20"/>
          <w:szCs w:val="20"/>
          <w:color w:val="auto"/>
        </w:rPr>
      </w:pPr>
    </w:p>
    <w:tbl>
      <w:tblPr>
        <w:tblLayout w:type="fixed"/>
        <w:tblInd w:w="520" w:type="dxa"/>
        <w:tblCellMar>
          <w:top w:w="0" w:type="dxa"/>
          <w:left w:w="0" w:type="dxa"/>
          <w:bottom w:w="0" w:type="dxa"/>
          <w:right w:w="0" w:type="dxa"/>
        </w:tblCellMar>
      </w:tblPr>
      <w:tr>
        <w:trPr>
          <w:trHeight w:val="163"/>
        </w:trPr>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2"/>
          </w:tcPr>
          <w:p>
            <w:pPr>
              <w:jc w:val="right"/>
              <w:ind w:right="769"/>
              <w:spacing w:after="0"/>
              <w:rPr>
                <w:sz w:val="20"/>
                <w:szCs w:val="20"/>
                <w:color w:val="auto"/>
              </w:rPr>
            </w:pPr>
            <w:r>
              <w:rPr>
                <w:rFonts w:ascii="Courier New" w:cs="Courier New" w:eastAsia="Courier New" w:hAnsi="Courier New"/>
                <w:sz w:val="14"/>
                <w:szCs w:val="14"/>
                <w:color w:val="auto"/>
              </w:rPr>
              <w:t>DECEMBER 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40" w:type="dxa"/>
            <w:vAlign w:val="bottom"/>
          </w:tcPr>
          <w:p>
            <w:pPr>
              <w:spacing w:after="0"/>
              <w:rPr>
                <w:sz w:val="14"/>
                <w:szCs w:val="14"/>
                <w:color w:val="auto"/>
              </w:rPr>
            </w:pPr>
          </w:p>
        </w:tc>
        <w:tc>
          <w:tcPr>
            <w:tcW w:w="46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120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CARRYING</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97"/>
              </w:rPr>
              <w:t>FAIR VALUE</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CARRYING</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9"/>
              </w:rPr>
              <w:t>FAIR VALUE</w:t>
            </w:r>
          </w:p>
        </w:tc>
        <w:tc>
          <w:tcPr>
            <w:tcW w:w="0" w:type="dxa"/>
            <w:vAlign w:val="bottom"/>
          </w:tcPr>
          <w:p>
            <w:pPr>
              <w:spacing w:after="0"/>
              <w:rPr>
                <w:sz w:val="1"/>
                <w:szCs w:val="1"/>
                <w:color w:val="auto"/>
              </w:rPr>
            </w:pPr>
          </w:p>
        </w:tc>
      </w:tr>
      <w:tr>
        <w:trPr>
          <w:trHeight w:val="163"/>
        </w:trPr>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AMOUNT</w:t>
            </w: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AMOUNT</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14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2"/>
        </w:trPr>
        <w:tc>
          <w:tcPr>
            <w:tcW w:w="2840" w:type="dxa"/>
            <w:vAlign w:val="bottom"/>
          </w:tcPr>
          <w:p>
            <w:pPr>
              <w:spacing w:after="0"/>
              <w:rPr>
                <w:sz w:val="20"/>
                <w:szCs w:val="20"/>
                <w:color w:val="auto"/>
              </w:rPr>
            </w:pPr>
            <w:r>
              <w:rPr>
                <w:rFonts w:ascii="Courier New" w:cs="Courier New" w:eastAsia="Courier New" w:hAnsi="Courier New"/>
                <w:sz w:val="14"/>
                <w:szCs w:val="14"/>
                <w:color w:val="auto"/>
              </w:rPr>
              <w:t>Investments in direct financing</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74,059</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62,650</w:t>
            </w:r>
          </w:p>
        </w:tc>
        <w:tc>
          <w:tcPr>
            <w:tcW w:w="12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  77,809</w:t>
            </w:r>
          </w:p>
        </w:tc>
        <w:tc>
          <w:tcPr>
            <w:tcW w:w="8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w w:val="97"/>
              </w:rPr>
              <w:t>$  71,612</w:t>
            </w:r>
          </w:p>
        </w:tc>
        <w:tc>
          <w:tcPr>
            <w:tcW w:w="0" w:type="dxa"/>
            <w:vAlign w:val="bottom"/>
          </w:tcPr>
          <w:p>
            <w:pPr>
              <w:spacing w:after="0"/>
              <w:rPr>
                <w:sz w:val="1"/>
                <w:szCs w:val="1"/>
                <w:color w:val="auto"/>
              </w:rPr>
            </w:pPr>
          </w:p>
        </w:tc>
      </w:tr>
      <w:tr>
        <w:trPr>
          <w:trHeight w:val="163"/>
        </w:trPr>
        <w:tc>
          <w:tcPr>
            <w:tcW w:w="2840" w:type="dxa"/>
            <w:vAlign w:val="bottom"/>
          </w:tcPr>
          <w:p>
            <w:pPr>
              <w:ind w:left="240"/>
              <w:spacing w:after="0"/>
              <w:rPr>
                <w:sz w:val="20"/>
                <w:szCs w:val="20"/>
                <w:color w:val="auto"/>
              </w:rPr>
            </w:pPr>
            <w:r>
              <w:rPr>
                <w:rFonts w:ascii="Courier New" w:cs="Courier New" w:eastAsia="Courier New" w:hAnsi="Courier New"/>
                <w:sz w:val="14"/>
                <w:szCs w:val="14"/>
                <w:color w:val="auto"/>
              </w:rPr>
              <w:t>leases</w:t>
            </w:r>
          </w:p>
        </w:tc>
        <w:tc>
          <w:tcPr>
            <w:tcW w:w="2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4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200" w:type="dxa"/>
            <w:vAlign w:val="bottom"/>
          </w:tcPr>
          <w:p>
            <w:pPr>
              <w:spacing w:after="0"/>
              <w:rPr>
                <w:sz w:val="14"/>
                <w:szCs w:val="14"/>
                <w:color w:val="auto"/>
              </w:rPr>
            </w:pP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(1,098,991)</w:t>
            </w:r>
          </w:p>
        </w:tc>
        <w:tc>
          <w:tcPr>
            <w:tcW w:w="8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(1,103,171)</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(299,833)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(307,806)</w:t>
            </w:r>
          </w:p>
        </w:tc>
        <w:tc>
          <w:tcPr>
            <w:tcW w:w="0" w:type="dxa"/>
            <w:vAlign w:val="bottom"/>
          </w:tcPr>
          <w:p>
            <w:pPr>
              <w:spacing w:after="0"/>
              <w:rPr>
                <w:sz w:val="1"/>
                <w:szCs w:val="1"/>
                <w:color w:val="auto"/>
              </w:rPr>
            </w:pPr>
          </w:p>
        </w:tc>
      </w:tr>
      <w:tr>
        <w:trPr>
          <w:trHeight w:val="163"/>
        </w:trPr>
        <w:tc>
          <w:tcPr>
            <w:tcW w:w="2840" w:type="dxa"/>
            <w:vAlign w:val="bottom"/>
          </w:tcPr>
          <w:p>
            <w:pPr>
              <w:spacing w:after="0"/>
              <w:rPr>
                <w:sz w:val="20"/>
                <w:szCs w:val="20"/>
                <w:color w:val="auto"/>
              </w:rPr>
            </w:pPr>
            <w:r>
              <w:rPr>
                <w:rFonts w:ascii="Courier New" w:cs="Courier New" w:eastAsia="Courier New" w:hAnsi="Courier New"/>
                <w:sz w:val="14"/>
                <w:szCs w:val="14"/>
                <w:color w:val="auto"/>
              </w:rPr>
              <w:t>Interest rate swap arrangement</w:t>
            </w:r>
          </w:p>
        </w:tc>
        <w:tc>
          <w:tcPr>
            <w:tcW w:w="200" w:type="dxa"/>
            <w:vAlign w:val="bottom"/>
          </w:tcPr>
          <w:p>
            <w:pPr>
              <w:spacing w:after="0"/>
              <w:rPr>
                <w:sz w:val="14"/>
                <w:szCs w:val="14"/>
                <w:color w:val="auto"/>
              </w:rPr>
            </w:pP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2,407</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840" w:type="dxa"/>
            <w:vAlign w:val="bottom"/>
          </w:tcPr>
          <w:p>
            <w:pPr>
              <w:spacing w:after="0"/>
              <w:rPr>
                <w:sz w:val="20"/>
                <w:szCs w:val="20"/>
                <w:color w:val="auto"/>
              </w:rPr>
            </w:pPr>
            <w:r>
              <w:rPr>
                <w:rFonts w:ascii="Courier New" w:cs="Courier New" w:eastAsia="Courier New" w:hAnsi="Courier New"/>
                <w:sz w:val="14"/>
                <w:szCs w:val="14"/>
                <w:color w:val="auto"/>
              </w:rPr>
              <w:t>Forward contract for convertible</w:t>
            </w:r>
          </w:p>
        </w:tc>
        <w:tc>
          <w:tcPr>
            <w:tcW w:w="200" w:type="dxa"/>
            <w:vAlign w:val="bottom"/>
          </w:tcPr>
          <w:p>
            <w:pPr>
              <w:spacing w:after="0"/>
              <w:rPr>
                <w:sz w:val="14"/>
                <w:szCs w:val="14"/>
                <w:color w:val="auto"/>
              </w:rPr>
            </w:pPr>
          </w:p>
        </w:tc>
        <w:tc>
          <w:tcPr>
            <w:tcW w:w="12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(51,663)</w:t>
            </w:r>
          </w:p>
        </w:tc>
        <w:tc>
          <w:tcPr>
            <w:tcW w:w="0" w:type="dxa"/>
            <w:vAlign w:val="bottom"/>
          </w:tcPr>
          <w:p>
            <w:pPr>
              <w:spacing w:after="0"/>
              <w:rPr>
                <w:sz w:val="1"/>
                <w:szCs w:val="1"/>
                <w:color w:val="auto"/>
              </w:rPr>
            </w:pPr>
          </w:p>
        </w:tc>
      </w:tr>
      <w:tr>
        <w:trPr>
          <w:trHeight w:val="238"/>
        </w:trPr>
        <w:tc>
          <w:tcPr>
            <w:tcW w:w="2840" w:type="dxa"/>
            <w:vAlign w:val="bottom"/>
          </w:tcPr>
          <w:p>
            <w:pPr>
              <w:ind w:left="240"/>
              <w:spacing w:after="0"/>
              <w:rPr>
                <w:sz w:val="20"/>
                <w:szCs w:val="20"/>
                <w:color w:val="auto"/>
              </w:rPr>
            </w:pPr>
            <w:r>
              <w:rPr>
                <w:rFonts w:ascii="Courier New" w:cs="Courier New" w:eastAsia="Courier New" w:hAnsi="Courier New"/>
                <w:sz w:val="14"/>
                <w:szCs w:val="14"/>
                <w:color w:val="auto"/>
              </w:rPr>
              <w:t>subordinated notes</w:t>
            </w:r>
          </w:p>
        </w:tc>
        <w:tc>
          <w:tcPr>
            <w:tcW w:w="2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USE OF ESTIMATES IN PREPARATION OF FINANCIAL STATEMENTS</w:t>
      </w:r>
    </w:p>
    <w:p>
      <w:pPr>
        <w:spacing w:after="0" w:line="168" w:lineRule="exact"/>
        <w:rPr>
          <w:sz w:val="20"/>
          <w:szCs w:val="20"/>
          <w:color w:val="auto"/>
        </w:rPr>
      </w:pPr>
    </w:p>
    <w:p>
      <w:pPr>
        <w:ind w:left="340" w:right="3459"/>
        <w:spacing w:after="0" w:line="266"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CONCENTRATION OF CREDIT RISKS</w:t>
      </w:r>
    </w:p>
    <w:p>
      <w:pPr>
        <w:spacing w:after="0" w:line="168" w:lineRule="exact"/>
        <w:rPr>
          <w:sz w:val="20"/>
          <w:szCs w:val="20"/>
          <w:color w:val="auto"/>
        </w:rPr>
      </w:pPr>
    </w:p>
    <w:p>
      <w:pPr>
        <w:ind w:left="340" w:right="3359"/>
        <w:spacing w:after="0" w:line="258" w:lineRule="auto"/>
        <w:rPr>
          <w:sz w:val="20"/>
          <w:szCs w:val="20"/>
          <w:color w:val="auto"/>
        </w:rPr>
      </w:pPr>
      <w:r>
        <w:rPr>
          <w:rFonts w:ascii="Courier New" w:cs="Courier New" w:eastAsia="Courier New" w:hAnsi="Courier New"/>
          <w:sz w:val="14"/>
          <w:szCs w:val="14"/>
          <w:color w:val="auto"/>
        </w:rPr>
        <w:t>The Company's credit risks related primarily to cash and cash equivalents, restricted cash, investments in direct financing leases and notes and other receivables from New CCA. See Notes 2 and 5 for discussion of credit risk related to New CCA. Cash and cash equivalents and restricted cash are primarily held in bank accounts and overnight investments. The Company's investments in direct financing leases represent amounts due from governmental agencies. The Company's financial instruments are subject to the possibility of loss in carrying value as a result of either the failure of other parties to perform according to their contractual obligations or changes in market prices that make the instruments less valuable.</w:t>
      </w:r>
    </w:p>
    <w:p>
      <w:pPr>
        <w:spacing w:after="0" w:line="8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COMPREHENSIVE INCOME</w:t>
      </w:r>
    </w:p>
    <w:p>
      <w:pPr>
        <w:spacing w:after="0" w:line="168" w:lineRule="exact"/>
        <w:rPr>
          <w:sz w:val="20"/>
          <w:szCs w:val="20"/>
          <w:color w:val="auto"/>
        </w:rPr>
      </w:pPr>
    </w:p>
    <w:p>
      <w:pPr>
        <w:ind w:left="340" w:right="3359"/>
        <w:spacing w:after="0" w:line="260" w:lineRule="auto"/>
        <w:rPr>
          <w:sz w:val="20"/>
          <w:szCs w:val="20"/>
          <w:color w:val="auto"/>
        </w:rPr>
      </w:pPr>
      <w:r>
        <w:rPr>
          <w:rFonts w:ascii="Courier New" w:cs="Courier New" w:eastAsia="Courier New" w:hAnsi="Courier New"/>
          <w:sz w:val="14"/>
          <w:szCs w:val="14"/>
          <w:color w:val="auto"/>
        </w:rPr>
        <w:t>In June 1997, the Financial Accounting Standards Board ("FASB") issued Statement of Financial Accounting Standards No. 130, "Reporting Comprehensive Income" ("SFAS 130"), effective for fiscal years beginning after December 15, 1997. SFAS 130 requires that changes in the amounts of certain items, including gains and losses on certain securities, be shown in the financial statements. The Company's adoption of SFAS 130, effective January 1, 1998, has had no significant impact on the Company's results of operations as comprehensive income (loss) was equivalent to the Company's reported net income (loss) for the years ended December 31, 1999, 1998 and 1997.</w:t>
      </w:r>
    </w:p>
    <w:p>
      <w:pPr>
        <w:spacing w:after="0" w:line="23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9899"/>
          </w:cols>
          <w:pgMar w:left="560" w:top="257"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4"/>
          <w:szCs w:val="14"/>
          <w:color w:val="auto"/>
        </w:rPr>
        <w:t>139</w:t>
      </w:r>
    </w:p>
    <w:p>
      <w:pPr>
        <w:spacing w:after="0" w:line="3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SEGMENT DISCLOSURES</w:t>
      </w:r>
    </w:p>
    <w:p>
      <w:pPr>
        <w:spacing w:after="0" w:line="142" w:lineRule="exact"/>
        <w:rPr>
          <w:sz w:val="20"/>
          <w:szCs w:val="20"/>
          <w:color w:val="auto"/>
        </w:rPr>
      </w:pPr>
    </w:p>
    <w:p>
      <w:pPr>
        <w:ind w:left="340" w:right="3359"/>
        <w:spacing w:after="0" w:line="256" w:lineRule="auto"/>
        <w:rPr>
          <w:sz w:val="20"/>
          <w:szCs w:val="20"/>
          <w:color w:val="auto"/>
        </w:rPr>
      </w:pPr>
      <w:r>
        <w:rPr>
          <w:rFonts w:ascii="Courier New" w:cs="Courier New" w:eastAsia="Courier New" w:hAnsi="Courier New"/>
          <w:sz w:val="14"/>
          <w:szCs w:val="14"/>
          <w:color w:val="auto"/>
        </w:rPr>
        <w:t>In June 1997, the FASB issued Statement of Financial Accounting Standards No. 131, "Disclosures About Segments of an Enterprise and Related Information" ("SFAS 131"), effective for fiscal years beginning after December 15, 1997. SFAS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SFAS 131 also establishes standards for related disclosures about products and services, geographic areas, and major customers. The Company adopted the provisions of SFAS 131 effective January 1, 1998. However, the Company operates in one industry segment and, accordingly, the adoption of SFAS 131 had no significant effect on the Company.</w:t>
      </w:r>
    </w:p>
    <w:p>
      <w:pPr>
        <w:spacing w:after="0" w:line="8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START UP COSTS</w:t>
      </w:r>
    </w:p>
    <w:p>
      <w:pPr>
        <w:spacing w:after="0" w:line="168" w:lineRule="exact"/>
        <w:rPr>
          <w:sz w:val="20"/>
          <w:szCs w:val="20"/>
          <w:color w:val="auto"/>
        </w:rPr>
      </w:pPr>
    </w:p>
    <w:p>
      <w:pPr>
        <w:ind w:left="340" w:right="3359"/>
        <w:spacing w:after="0" w:line="260" w:lineRule="auto"/>
        <w:rPr>
          <w:sz w:val="20"/>
          <w:szCs w:val="20"/>
          <w:color w:val="auto"/>
        </w:rPr>
      </w:pPr>
      <w:r>
        <w:rPr>
          <w:rFonts w:ascii="Courier New" w:cs="Courier New" w:eastAsia="Courier New" w:hAnsi="Courier New"/>
          <w:sz w:val="14"/>
          <w:szCs w:val="14"/>
          <w:color w:val="auto"/>
        </w:rPr>
        <w:t>Effective January 1, 1998, Old CCA adopted the provisions of the AICPA's Statement of Position 98-5, "Reporting on the Costs of Start-up Activities" ("SOP 98-5"). As a result, Old CCA recorded a $16.1 million charge as a cumulative effect of accounting change, net of taxes of $10.3 million, for the effect of this change on periods through December 31, 1997. The effect of this accounting change for the year ended December 31, 1998 was a $14.9 million charge reflected in operating expenses. Prior to adoption of SOP 98-5, project development and facility start-up costs were deferred and amortized on a straight-line basis over the lesser of the initial term of the contract plus renewals or five years.</w:t>
      </w:r>
    </w:p>
    <w:p>
      <w:pPr>
        <w:spacing w:after="0" w:line="7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MANAGEMENT CONTRACTS</w:t>
      </w:r>
    </w:p>
    <w:p>
      <w:pPr>
        <w:spacing w:after="0" w:line="168" w:lineRule="exact"/>
        <w:rPr>
          <w:sz w:val="20"/>
          <w:szCs w:val="20"/>
          <w:color w:val="auto"/>
        </w:rPr>
      </w:pPr>
    </w:p>
    <w:p>
      <w:pPr>
        <w:ind w:left="340" w:right="3359"/>
        <w:spacing w:after="0" w:line="254" w:lineRule="auto"/>
        <w:rPr>
          <w:sz w:val="20"/>
          <w:szCs w:val="20"/>
          <w:color w:val="auto"/>
        </w:rPr>
      </w:pPr>
      <w:r>
        <w:rPr>
          <w:rFonts w:ascii="Courier New" w:cs="Courier New" w:eastAsia="Courier New" w:hAnsi="Courier New"/>
          <w:sz w:val="14"/>
          <w:szCs w:val="14"/>
          <w:color w:val="auto"/>
        </w:rPr>
        <w:t>Prior to 1999, Old CCA had maintained contracts with various governmental entities to manage their facilities for fixed per diem rates or monthly fixed rates. Old CCA also maintained contracts with various federal, state and local governmental entities for the housing of inmates in Old CCA owned facilities at fixed per diem rates. These contracts usually contained expiration dates with renewal options ranging from annual to multi-year renewals. Most of these contracts had current terms that required renewal every two to five years. Old CCA expected to renew these contracts for periods consistent with the remaining renewal options allowed by the contracts or other reasonable extensions. Fixed monthly rate revenue has been recorded in the month earned and fixed per diem revenue has been recorded based on the per diem rate multiplied by the number of inmates housed during the respective period. Old CCA recognized development revenue on the percentage-of-completion method and recognized any additional management service revenues when earned or awarded by the respective authorities. As discussed in Note 3, Old CCA sold its management contracts and related net assets on December 31, 1998.</w:t>
      </w:r>
    </w:p>
    <w:p>
      <w:pPr>
        <w:spacing w:after="0" w:line="8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68" w:lineRule="exact"/>
        <w:rPr>
          <w:sz w:val="20"/>
          <w:szCs w:val="20"/>
          <w:color w:val="auto"/>
        </w:rPr>
      </w:pPr>
    </w:p>
    <w:p>
      <w:pPr>
        <w:ind w:left="340" w:right="3359"/>
        <w:spacing w:after="0" w:line="256" w:lineRule="auto"/>
        <w:rPr>
          <w:sz w:val="20"/>
          <w:szCs w:val="20"/>
          <w:color w:val="auto"/>
        </w:rPr>
      </w:pPr>
      <w:r>
        <w:rPr>
          <w:rFonts w:ascii="Courier New" w:cs="Courier New" w:eastAsia="Courier New" w:hAnsi="Courier New"/>
          <w:sz w:val="14"/>
          <w:szCs w:val="14"/>
          <w:color w:val="auto"/>
        </w:rPr>
        <w:t>In June 1998, the FASB issued Statement of Financial Accounting Standards No. 133, "Accounting for Derivative Instruments and Hedging Activities" ("SFAS 133"). SFAS 133 establishes accounting and reporting standards requiring that every derivative instrument be recorded in the balance sheet as either an asset or liability measured at its fair value. SFAS 133 requires that changes in a derivative's fair value be recognized currently in earnings unless specific hedge accounting criteria are met. SFAS 133, as amended by Statement of Financial Accounting Standards No. 137, "Deferral of the Effective Date of SFAS 133", is effective for fiscal quarters beginning after June 15, 2000. The Company does not believe that the impact of adoption of SFAS 133 will have a material impact on the Company's consolidated financial position, results of operations or cash flows.</w:t>
      </w:r>
    </w:p>
    <w:p>
      <w:pPr>
        <w:spacing w:after="0" w:line="247"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9899"/>
          </w:cols>
          <w:pgMar w:left="560" w:top="257" w:right="1440" w:bottom="1440" w:gutter="0" w:footer="0" w:header="0"/>
        </w:sectPr>
      </w:pPr>
    </w:p>
    <w:bookmarkStart w:id="141" w:name="page142"/>
    <w:bookmarkEnd w:id="141"/>
    <w:p>
      <w:pPr>
        <w:ind w:left="253"/>
        <w:spacing w:after="0"/>
        <w:rPr>
          <w:sz w:val="20"/>
          <w:szCs w:val="20"/>
          <w:color w:val="auto"/>
        </w:rPr>
      </w:pPr>
      <w:r>
        <w:rPr>
          <w:rFonts w:ascii="Courier New" w:cs="Courier New" w:eastAsia="Courier New" w:hAnsi="Courier New"/>
          <w:sz w:val="14"/>
          <w:szCs w:val="14"/>
          <w:color w:val="auto"/>
        </w:rPr>
        <w:t>140</w:t>
      </w:r>
    </w:p>
    <w:p>
      <w:pPr>
        <w:spacing w:after="0" w:line="30" w:lineRule="exact"/>
        <w:rPr>
          <w:sz w:val="20"/>
          <w:szCs w:val="20"/>
          <w:color w:val="auto"/>
        </w:rPr>
      </w:pPr>
    </w:p>
    <w:p>
      <w:pPr>
        <w:ind w:left="593"/>
        <w:spacing w:after="0"/>
        <w:rPr>
          <w:sz w:val="20"/>
          <w:szCs w:val="20"/>
          <w:color w:val="auto"/>
        </w:rPr>
      </w:pPr>
      <w:r>
        <w:rPr>
          <w:rFonts w:ascii="Courier New" w:cs="Courier New" w:eastAsia="Courier New" w:hAnsi="Courier New"/>
          <w:sz w:val="14"/>
          <w:szCs w:val="14"/>
          <w:color w:val="auto"/>
        </w:rPr>
        <w:t>RECLASSIFICATIONS</w:t>
      </w:r>
    </w:p>
    <w:p>
      <w:pPr>
        <w:spacing w:after="0" w:line="142" w:lineRule="exact"/>
        <w:rPr>
          <w:sz w:val="20"/>
          <w:szCs w:val="20"/>
          <w:color w:val="auto"/>
        </w:rPr>
      </w:pPr>
    </w:p>
    <w:p>
      <w:pPr>
        <w:ind w:left="593" w:right="3799"/>
        <w:spacing w:after="0" w:line="366" w:lineRule="auto"/>
        <w:rPr>
          <w:sz w:val="20"/>
          <w:szCs w:val="20"/>
          <w:color w:val="auto"/>
        </w:rPr>
      </w:pPr>
      <w:r>
        <w:rPr>
          <w:rFonts w:ascii="Courier New" w:cs="Courier New" w:eastAsia="Courier New" w:hAnsi="Courier New"/>
          <w:sz w:val="14"/>
          <w:szCs w:val="14"/>
          <w:color w:val="auto"/>
        </w:rPr>
        <w:t>Certain reclassifications of 1998 and 1997 amounts have been made to conform with the 1999 presentation.</w:t>
      </w:r>
    </w:p>
    <w:p>
      <w:pPr>
        <w:spacing w:after="0" w:line="6" w:lineRule="exact"/>
        <w:rPr>
          <w:sz w:val="20"/>
          <w:szCs w:val="20"/>
          <w:color w:val="auto"/>
        </w:rPr>
      </w:pPr>
    </w:p>
    <w:p>
      <w:pPr>
        <w:ind w:left="593" w:hanging="593"/>
        <w:spacing w:after="0"/>
        <w:tabs>
          <w:tab w:leader="none" w:pos="593"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RELATIONSHIP WITH NEW CCA</w:t>
      </w:r>
    </w:p>
    <w:p>
      <w:pPr>
        <w:spacing w:after="0" w:line="167" w:lineRule="exact"/>
        <w:rPr>
          <w:rFonts w:ascii="Courier New" w:cs="Courier New" w:eastAsia="Courier New" w:hAnsi="Courier New"/>
          <w:sz w:val="14"/>
          <w:szCs w:val="14"/>
          <w:color w:val="auto"/>
        </w:rPr>
      </w:pPr>
    </w:p>
    <w:p>
      <w:pPr>
        <w:ind w:left="593" w:right="335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New CCA is a private prison management company that operates and manages the substantial majority of facilities owned by the Company. As a result of the 1999 Merger and certain contractual relationships existing between the Company and New CCA, the Company is dependent on its significant sources of income from New CCA. In addition, the Company pays New CCA tenant incentive fees and fees for services rendered to the Company in development of its correctional and detention facilities. As of December 31, 1999, New CCA leased 34 of the 42 operating facilities owned by the Company.</w:t>
      </w:r>
    </w:p>
    <w:p>
      <w:pPr>
        <w:spacing w:after="0" w:line="78" w:lineRule="exact"/>
        <w:rPr>
          <w:rFonts w:ascii="Courier New" w:cs="Courier New" w:eastAsia="Courier New" w:hAnsi="Courier New"/>
          <w:sz w:val="14"/>
          <w:szCs w:val="14"/>
          <w:color w:val="auto"/>
        </w:rPr>
      </w:pPr>
    </w:p>
    <w:p>
      <w:pPr>
        <w:ind w:left="59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CCA NOTE</w:t>
      </w:r>
    </w:p>
    <w:p>
      <w:pPr>
        <w:spacing w:after="0" w:line="167" w:lineRule="exact"/>
        <w:rPr>
          <w:rFonts w:ascii="Courier New" w:cs="Courier New" w:eastAsia="Courier New" w:hAnsi="Courier New"/>
          <w:sz w:val="14"/>
          <w:szCs w:val="14"/>
          <w:color w:val="auto"/>
        </w:rPr>
      </w:pPr>
    </w:p>
    <w:p>
      <w:pPr>
        <w:ind w:left="593" w:right="33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discussed in Note 3, in connection with the 1999 Merger, Old CCA received a $137.0 million promissory note due from New CCA. The Company succeeded to the CCA Note as a result of the 1999 Merger. Interest on the CCA Note is payable annually at the rate of 12%. Principal is due in six equal annual installments beginning December 31, 2003. Ten percent of the outstanding principal of the CCA Note is personally guaranteed by the Company's Chief Executive Officer, who also serves as the Chief Executive Officer and a member of the Board of Directors of New CCA. As discussed in Note 2, as of December 31, 1999, the first scheduled payment of interest, totaling approximately $16.4 million, on the CCA Note was unpaid. Pursuant to the terms of the CCA Note, New CCA was required to make the payment on December 31, 1999; however, pursuant to the terms of a subordination agreement, dated as of March 1, 1999, by and between the Company and the agent of New CCA's revolving credit facility, New CCA is prohibited from making the scheduled interest payments on the CCA Note when New CCA is not in compliance with certain financial covenants. New CCA is not in compliance with these financial covenants and, consequently, is prohibited from making the scheduled interest payments to the Company. Pursuant to the terms of the subordination agreement between the Company and the agent of New CCA's revolving credit facility, the Company is prohibited from accelerating payment of the principal amount of the CCA Note or taking any other action to enforce its rights under the provisions of the CCA Note for so long as New CCA's revolving credit facility remains outstanding. The Company has fully reserved the $16.4 million of interest accrued under the terms of the CCA Note during 1999.</w:t>
      </w:r>
    </w:p>
    <w:p>
      <w:pPr>
        <w:spacing w:after="0" w:line="90" w:lineRule="exact"/>
        <w:rPr>
          <w:rFonts w:ascii="Courier New" w:cs="Courier New" w:eastAsia="Courier New" w:hAnsi="Courier New"/>
          <w:sz w:val="14"/>
          <w:szCs w:val="14"/>
          <w:color w:val="auto"/>
        </w:rPr>
      </w:pPr>
    </w:p>
    <w:p>
      <w:pPr>
        <w:ind w:left="59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NEW CCA</w:t>
      </w:r>
    </w:p>
    <w:p>
      <w:pPr>
        <w:spacing w:after="0" w:line="167" w:lineRule="exact"/>
        <w:rPr>
          <w:rFonts w:ascii="Courier New" w:cs="Courier New" w:eastAsia="Courier New" w:hAnsi="Courier New"/>
          <w:sz w:val="14"/>
          <w:szCs w:val="14"/>
          <w:color w:val="auto"/>
        </w:rPr>
      </w:pPr>
    </w:p>
    <w:p>
      <w:pPr>
        <w:ind w:left="593" w:right="3459"/>
        <w:spacing w:after="0" w:line="26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discussed in Note 3, in connection with the 1999 Merger, Old CCA received 100% of the non-voting common stock of New CCA. The Company succeeded to the investment in New CCA as a result of the 1999 Merger. The non-voting common stock represents a 9.5% economic interest in New CCA. The investment in New CCA is valued at $4.8 million and is included in Investments in affiliates in the accompanying consolidated balance sheets. For the year ended December 31, 1999, the Company recognized no income or loss related to its stock ownership investment in New CCA.</w:t>
      </w:r>
    </w:p>
    <w:p>
      <w:pPr>
        <w:spacing w:after="0" w:line="240" w:lineRule="exact"/>
        <w:rPr>
          <w:sz w:val="20"/>
          <w:szCs w:val="20"/>
          <w:color w:val="auto"/>
        </w:rPr>
      </w:pPr>
    </w:p>
    <w:p>
      <w:pPr>
        <w:ind w:left="3213"/>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152"/>
          </w:cols>
          <w:pgMar w:left="307" w:top="257"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4"/>
          <w:szCs w:val="14"/>
          <w:color w:val="auto"/>
        </w:rPr>
        <w:t>141</w:t>
      </w:r>
    </w:p>
    <w:p>
      <w:pPr>
        <w:spacing w:after="0" w:line="3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DEFERRED GAIN ON SALE TO NEW CCA</w:t>
      </w:r>
    </w:p>
    <w:p>
      <w:pPr>
        <w:spacing w:after="0" w:line="142" w:lineRule="exact"/>
        <w:rPr>
          <w:sz w:val="20"/>
          <w:szCs w:val="20"/>
          <w:color w:val="auto"/>
        </w:rPr>
      </w:pPr>
    </w:p>
    <w:p>
      <w:pPr>
        <w:ind w:left="340" w:right="3459"/>
        <w:spacing w:after="0" w:line="276" w:lineRule="auto"/>
        <w:rPr>
          <w:sz w:val="20"/>
          <w:szCs w:val="20"/>
          <w:color w:val="auto"/>
        </w:rPr>
      </w:pPr>
      <w:r>
        <w:rPr>
          <w:rFonts w:ascii="Courier New" w:cs="Courier New" w:eastAsia="Courier New" w:hAnsi="Courier New"/>
          <w:sz w:val="14"/>
          <w:szCs w:val="14"/>
          <w:color w:val="auto"/>
        </w:rPr>
        <w:t>As discussed in Note 3, the sale to New CCA generated a deferred gain of $63.3 million. The $63.3 million deferred gain is included in deferred gains on sales of contracts in the accompanying consolidated balance sheets. No amortization of the New CCA deferred gain occurred during the year ended December 31, 1999.</w:t>
      </w:r>
    </w:p>
    <w:p>
      <w:pPr>
        <w:spacing w:after="0" w:line="6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CCA LEASES</w:t>
      </w:r>
    </w:p>
    <w:p>
      <w:pPr>
        <w:spacing w:after="0" w:line="168" w:lineRule="exact"/>
        <w:rPr>
          <w:sz w:val="20"/>
          <w:szCs w:val="20"/>
          <w:color w:val="auto"/>
        </w:rPr>
      </w:pPr>
    </w:p>
    <w:p>
      <w:pPr>
        <w:ind w:left="340" w:right="3359"/>
        <w:spacing w:after="0" w:line="270" w:lineRule="auto"/>
        <w:rPr>
          <w:sz w:val="20"/>
          <w:szCs w:val="20"/>
          <w:color w:val="auto"/>
        </w:rPr>
      </w:pPr>
      <w:r>
        <w:rPr>
          <w:rFonts w:ascii="Courier New" w:cs="Courier New" w:eastAsia="Courier New" w:hAnsi="Courier New"/>
          <w:sz w:val="14"/>
          <w:szCs w:val="14"/>
          <w:color w:val="auto"/>
        </w:rPr>
        <w:t>On January 1, 1999, immediately after the 1999 Merger, all existing leases between Old CCA and Old Prison Realty were cancelled and the Company entered into the CCA Leases. The terms of the CCA Leases are for twelve years and may be extended at fair market rates for three additional five-year periods upon the mutual agreement of the Company and New CCA.</w:t>
      </w:r>
    </w:p>
    <w:p>
      <w:pPr>
        <w:spacing w:after="0" w:line="71" w:lineRule="exact"/>
        <w:rPr>
          <w:sz w:val="20"/>
          <w:szCs w:val="20"/>
          <w:color w:val="auto"/>
        </w:rPr>
      </w:pPr>
    </w:p>
    <w:p>
      <w:pPr>
        <w:ind w:left="340" w:right="3359"/>
        <w:spacing w:after="0" w:line="270" w:lineRule="auto"/>
        <w:rPr>
          <w:sz w:val="20"/>
          <w:szCs w:val="20"/>
          <w:color w:val="auto"/>
        </w:rPr>
      </w:pPr>
      <w:r>
        <w:rPr>
          <w:rFonts w:ascii="Courier New" w:cs="Courier New" w:eastAsia="Courier New" w:hAnsi="Courier New"/>
          <w:sz w:val="14"/>
          <w:szCs w:val="14"/>
          <w:color w:val="auto"/>
        </w:rPr>
        <w:t>As of December 31, 1999, the annual base rent with respect to each facility is subject to increase each year in an amount equal to the lesser of: (i) 4% of the annualized yearly rental payment with respect to such facility or (ii) 10% of the excess of New CCA's aggregate gross management revenues for the prior year over a base amount of $325.0 million.</w:t>
      </w:r>
    </w:p>
    <w:p>
      <w:pPr>
        <w:spacing w:after="0" w:line="71" w:lineRule="exact"/>
        <w:rPr>
          <w:sz w:val="20"/>
          <w:szCs w:val="20"/>
          <w:color w:val="auto"/>
        </w:rPr>
      </w:pPr>
    </w:p>
    <w:p>
      <w:pPr>
        <w:ind w:left="340" w:right="3359"/>
        <w:spacing w:after="0" w:line="366" w:lineRule="auto"/>
        <w:rPr>
          <w:sz w:val="20"/>
          <w:szCs w:val="20"/>
          <w:color w:val="auto"/>
        </w:rPr>
      </w:pPr>
      <w:r>
        <w:rPr>
          <w:rFonts w:ascii="Courier New" w:cs="Courier New" w:eastAsia="Courier New" w:hAnsi="Courier New"/>
          <w:sz w:val="14"/>
          <w:szCs w:val="14"/>
          <w:color w:val="auto"/>
        </w:rPr>
        <w:t>For the year ended December 31, 1999, the Company recognized gross rental revenue from New CCA of $263.5 million.</w:t>
      </w:r>
    </w:p>
    <w:p>
      <w:pPr>
        <w:spacing w:after="0" w:line="6" w:lineRule="exact"/>
        <w:rPr>
          <w:sz w:val="20"/>
          <w:szCs w:val="20"/>
          <w:color w:val="auto"/>
        </w:rPr>
      </w:pPr>
    </w:p>
    <w:p>
      <w:pPr>
        <w:ind w:left="340" w:right="3459"/>
        <w:spacing w:after="0" w:line="306" w:lineRule="auto"/>
        <w:rPr>
          <w:sz w:val="20"/>
          <w:szCs w:val="20"/>
          <w:color w:val="auto"/>
        </w:rPr>
      </w:pPr>
      <w:r>
        <w:rPr>
          <w:rFonts w:ascii="Courier New" w:cs="Courier New" w:eastAsia="Courier New" w:hAnsi="Courier New"/>
          <w:sz w:val="14"/>
          <w:szCs w:val="14"/>
          <w:color w:val="auto"/>
        </w:rPr>
        <w:t>Based on the CCA Leases in effect at December 31, 1999, the future minimum lease payments scheduled to be received by the Company under the CCA Leases as of January 1, 2000 are as follows:</w:t>
      </w:r>
    </w:p>
    <w:p>
      <w:pPr>
        <w:spacing w:after="0" w:line="372" w:lineRule="exact"/>
        <w:rPr>
          <w:sz w:val="20"/>
          <w:szCs w:val="20"/>
          <w:color w:val="auto"/>
        </w:rPr>
      </w:pPr>
    </w:p>
    <w:tbl>
      <w:tblPr>
        <w:tblLayout w:type="fixed"/>
        <w:tblInd w:w="760" w:type="dxa"/>
        <w:tblCellMar>
          <w:top w:w="0" w:type="dxa"/>
          <w:left w:w="0" w:type="dxa"/>
          <w:bottom w:w="0" w:type="dxa"/>
          <w:right w:w="0" w:type="dxa"/>
        </w:tblCellMar>
      </w:tblPr>
      <w:tr>
        <w:trPr>
          <w:trHeight w:val="163"/>
        </w:trPr>
        <w:tc>
          <w:tcPr>
            <w:tcW w:w="3140" w:type="dxa"/>
            <w:vAlign w:val="bottom"/>
          </w:tcPr>
          <w:p>
            <w:pPr>
              <w:spacing w:after="0"/>
              <w:rPr>
                <w:sz w:val="20"/>
                <w:szCs w:val="20"/>
                <w:color w:val="auto"/>
              </w:rPr>
            </w:pPr>
            <w:r>
              <w:rPr>
                <w:rFonts w:ascii="Courier New" w:cs="Courier New" w:eastAsia="Courier New" w:hAnsi="Courier New"/>
                <w:sz w:val="14"/>
                <w:szCs w:val="14"/>
                <w:color w:val="auto"/>
              </w:rPr>
              <w:t>Years Ending December 31:</w:t>
            </w:r>
          </w:p>
        </w:tc>
        <w:tc>
          <w:tcPr>
            <w:tcW w:w="1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310,651</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1,890,193</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$3,443,448</w:t>
            </w: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right="3359"/>
        <w:spacing w:after="0" w:line="270" w:lineRule="auto"/>
        <w:rPr>
          <w:sz w:val="20"/>
          <w:szCs w:val="20"/>
          <w:color w:val="auto"/>
        </w:rPr>
      </w:pPr>
      <w:r>
        <w:rPr>
          <w:rFonts w:ascii="Courier New" w:cs="Courier New" w:eastAsia="Courier New" w:hAnsi="Courier New"/>
          <w:sz w:val="14"/>
          <w:szCs w:val="14"/>
          <w:color w:val="auto"/>
        </w:rPr>
        <w:t>As discussed in Note 2, New CCA failed to make timely contractual payments under the CCA Leases. As of December 31, 1999, approximately $24.9 million of rents due from New CCA to the Company were unpaid. The terms of the CCA Leases provide that rental payments were due and payable on December 25, 1999. During 2000, New CCA has paid $12.9 million of lease payments related to 1999 and no lease payments related to 2000.</w:t>
      </w:r>
    </w:p>
    <w:p>
      <w:pPr>
        <w:spacing w:after="0" w:line="71" w:lineRule="exact"/>
        <w:rPr>
          <w:sz w:val="20"/>
          <w:szCs w:val="20"/>
          <w:color w:val="auto"/>
        </w:rPr>
      </w:pPr>
    </w:p>
    <w:p>
      <w:pPr>
        <w:ind w:left="340" w:right="3459"/>
        <w:spacing w:after="0" w:line="286" w:lineRule="auto"/>
        <w:rPr>
          <w:sz w:val="20"/>
          <w:szCs w:val="20"/>
          <w:color w:val="auto"/>
        </w:rPr>
      </w:pPr>
      <w:r>
        <w:rPr>
          <w:rFonts w:ascii="Courier New" w:cs="Courier New" w:eastAsia="Courier New" w:hAnsi="Courier New"/>
          <w:sz w:val="14"/>
          <w:szCs w:val="14"/>
          <w:color w:val="auto"/>
        </w:rPr>
        <w:t>In addition, the Company expects that the CCA Leases will be materially impacted by either the prospective equity investment and related restructuring discussed in Note 23 or by renegotiation of the CCA Leases with New CCA.</w:t>
      </w:r>
    </w:p>
    <w:p>
      <w:pPr>
        <w:spacing w:after="0" w:line="22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9899"/>
          </w:cols>
          <w:pgMar w:left="560" w:top="257"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4"/>
          <w:szCs w:val="14"/>
          <w:color w:val="auto"/>
        </w:rPr>
        <w:t>142</w:t>
      </w:r>
    </w:p>
    <w:p>
      <w:pPr>
        <w:spacing w:after="0" w:line="3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TENANT INCENTIVE ARRANGEMENT</w:t>
      </w:r>
    </w:p>
    <w:p>
      <w:pPr>
        <w:spacing w:after="0" w:line="142" w:lineRule="exact"/>
        <w:rPr>
          <w:sz w:val="20"/>
          <w:szCs w:val="20"/>
          <w:color w:val="auto"/>
        </w:rPr>
      </w:pPr>
    </w:p>
    <w:p>
      <w:pPr>
        <w:ind w:left="340" w:right="3359"/>
        <w:spacing w:after="0" w:line="254" w:lineRule="auto"/>
        <w:rPr>
          <w:sz w:val="20"/>
          <w:szCs w:val="20"/>
          <w:color w:val="auto"/>
        </w:rPr>
      </w:pPr>
      <w:r>
        <w:rPr>
          <w:rFonts w:ascii="Courier New" w:cs="Courier New" w:eastAsia="Courier New" w:hAnsi="Courier New"/>
          <w:sz w:val="14"/>
          <w:szCs w:val="14"/>
          <w:color w:val="auto"/>
        </w:rPr>
        <w:t>On May 4, 1999, the Company and New CCA entered into an amended and restated tenant incentive agreement (the "Amended and Restated Tenant Incentive Agreement"), effective as of January 1, 1999, providing for (i) a tenant incentive fee of up to $4,000 (four thousand dollars) per bed payable with respect to all future facilities developed and facilitated by New CCA, as well as certain other facilities which, although operational on January 1, 1999, had not achieved full occupancy, and (ii) an $840 (eight hundred forty dollars) per bed allowance for all beds in operation at the beginning of January 1999, approximately 21,500 beds, that were not subject to the tenant allowance in the first quarter of 1999. The amount of the amended tenant incentive fee includes an allowance for rental payments to be paid by New CCA prior to the facility reaching stabilized occupancy. The term of the Amended and Restated Tenant Incentive Agreement is four years, unless extended upon the written agreement of the Company and New CCA. The incentive fees with New CCA were deferred and the Company expected to amortize them as a reduction to rental revenues over the respective lease term.</w:t>
      </w:r>
    </w:p>
    <w:p>
      <w:pPr>
        <w:spacing w:after="0" w:line="82" w:lineRule="exact"/>
        <w:rPr>
          <w:sz w:val="20"/>
          <w:szCs w:val="20"/>
          <w:color w:val="auto"/>
        </w:rPr>
      </w:pPr>
    </w:p>
    <w:p>
      <w:pPr>
        <w:ind w:left="340" w:right="3359"/>
        <w:spacing w:after="0" w:line="261" w:lineRule="auto"/>
        <w:rPr>
          <w:sz w:val="20"/>
          <w:szCs w:val="20"/>
          <w:color w:val="auto"/>
        </w:rPr>
      </w:pPr>
      <w:r>
        <w:rPr>
          <w:rFonts w:ascii="Courier New" w:cs="Courier New" w:eastAsia="Courier New" w:hAnsi="Courier New"/>
          <w:sz w:val="14"/>
          <w:szCs w:val="14"/>
          <w:color w:val="auto"/>
        </w:rPr>
        <w:t>For the year ended December 1999, the Company had paid tenant incentive fees of $68.6 million, with $2.9 million of those fees amortized against rental revenues. During the fourth quarter of 1999, the Company undertook a plan that contemplates either merging with New CCA and thereby eliminating the CCA Leases or amending the CCA Leases to reduce the lease payments to be paid by New CCA to the Company during 2000. Consequently, the Company determined that the remaining deferred tenant incentive fees under the existing lease arrangements at December 31, 1999 were not realizable and wrote off fees totaling $65.7 million.</w:t>
      </w:r>
    </w:p>
    <w:p>
      <w:pPr>
        <w:spacing w:after="0" w:line="7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TRADE NAME USE AGREEMENT</w:t>
      </w:r>
    </w:p>
    <w:p>
      <w:pPr>
        <w:spacing w:after="0" w:line="168" w:lineRule="exact"/>
        <w:rPr>
          <w:sz w:val="20"/>
          <w:szCs w:val="20"/>
          <w:color w:val="auto"/>
        </w:rPr>
      </w:pPr>
    </w:p>
    <w:p>
      <w:pPr>
        <w:ind w:left="340" w:right="3359"/>
        <w:spacing w:after="0" w:line="255" w:lineRule="auto"/>
        <w:rPr>
          <w:sz w:val="20"/>
          <w:szCs w:val="20"/>
          <w:color w:val="auto"/>
        </w:rPr>
      </w:pPr>
      <w:r>
        <w:rPr>
          <w:rFonts w:ascii="Courier New" w:cs="Courier New" w:eastAsia="Courier New" w:hAnsi="Courier New"/>
          <w:sz w:val="14"/>
          <w:szCs w:val="14"/>
          <w:color w:val="auto"/>
        </w:rPr>
        <w:t>In connection with the 1999 Merger, Old CCA entered into a trade name use agreement with New CCA (the "Trade Name Use Agreement"). Under the Trade Name Use Agreement, which has a term of ten years, Old CCA granted to New CCA the right to use the name "Corrections Corporation of America" and derivatives thereof, subject to specified terms and conditions therein. The Company succeeded to this interest as a result of the 1999 Merger. In consideration for such right under the terms of the Trade Name Use Agreement, New CCA will pay a fee equal to (i) 2.75% of the gross revenues of New CCA for the first three years, (ii) 3.25% of New CCA's gross revenues for the following two years, and (iii) 3.625% of New CCA's gross revenues for the remaining term, provided that after completion of the 1999 Merger the amount of such fee may not exceed (a) 2.75% of the gross revenues of the Company for the first three years, (b) 3.5% of the Company's gross revenues for the following two years, and (c) 3.875% of the Company's gross revenues for the remaining term.</w:t>
      </w:r>
    </w:p>
    <w:p>
      <w:pPr>
        <w:spacing w:after="0" w:line="82" w:lineRule="exact"/>
        <w:rPr>
          <w:sz w:val="20"/>
          <w:szCs w:val="20"/>
          <w:color w:val="auto"/>
        </w:rPr>
      </w:pPr>
    </w:p>
    <w:p>
      <w:pPr>
        <w:ind w:left="340" w:right="3619"/>
        <w:spacing w:after="0" w:line="306" w:lineRule="auto"/>
        <w:rPr>
          <w:sz w:val="20"/>
          <w:szCs w:val="20"/>
          <w:color w:val="auto"/>
        </w:rPr>
      </w:pPr>
      <w:r>
        <w:rPr>
          <w:rFonts w:ascii="Courier New" w:cs="Courier New" w:eastAsia="Courier New" w:hAnsi="Courier New"/>
          <w:sz w:val="14"/>
          <w:szCs w:val="14"/>
          <w:color w:val="auto"/>
        </w:rPr>
        <w:t>For the year ended December 31, 1999, the Company recognized income of $8.7 million from New CCA under the terms of the Trade Name Use Agreement.</w:t>
      </w:r>
    </w:p>
    <w:p>
      <w:pPr>
        <w:spacing w:after="0" w:line="4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CCA RIGHT TO PURCHASE AGREEMENT</w:t>
      </w:r>
    </w:p>
    <w:p>
      <w:pPr>
        <w:spacing w:after="0" w:line="168" w:lineRule="exact"/>
        <w:rPr>
          <w:sz w:val="20"/>
          <w:szCs w:val="20"/>
          <w:color w:val="auto"/>
        </w:rPr>
      </w:pPr>
    </w:p>
    <w:p>
      <w:pPr>
        <w:ind w:left="340" w:right="3359"/>
        <w:spacing w:after="0" w:line="260" w:lineRule="auto"/>
        <w:rPr>
          <w:sz w:val="20"/>
          <w:szCs w:val="20"/>
          <w:color w:val="auto"/>
        </w:rPr>
      </w:pPr>
      <w:r>
        <w:rPr>
          <w:rFonts w:ascii="Courier New" w:cs="Courier New" w:eastAsia="Courier New" w:hAnsi="Courier New"/>
          <w:sz w:val="14"/>
          <w:szCs w:val="14"/>
          <w:color w:val="auto"/>
        </w:rPr>
        <w:t>On January 1, 1999, immediately after the 1999 Merger, the Company and New CCA entered into a Right to Purchase Agreement (the "CCA Right to Purchase Agreement") pursuant to which New CCA granted to the Company a right to acquire, and lease back to New CCA at fair market rental rates, any correctional or detention facility acquired or developed and owned by New CCA in the future for a period of ten years following the date inmates are first received at such facility. The initial annual rental rate on such facilities will be the fair market rental rate as determined by the Company and New CCA. Additionally, New CCA granted the Company a right of first refusal to</w:t>
      </w:r>
    </w:p>
    <w:p>
      <w:pPr>
        <w:spacing w:after="0" w:line="23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9899"/>
          </w:cols>
          <w:pgMar w:left="560" w:top="257"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4"/>
          <w:szCs w:val="14"/>
          <w:color w:val="auto"/>
        </w:rPr>
        <w:t>143</w:t>
      </w:r>
    </w:p>
    <w:p>
      <w:pPr>
        <w:spacing w:after="0" w:line="30" w:lineRule="exact"/>
        <w:rPr>
          <w:sz w:val="20"/>
          <w:szCs w:val="20"/>
          <w:color w:val="auto"/>
        </w:rPr>
      </w:pPr>
    </w:p>
    <w:p>
      <w:pPr>
        <w:ind w:left="340" w:right="3359"/>
        <w:spacing w:after="0" w:line="273" w:lineRule="auto"/>
        <w:rPr>
          <w:sz w:val="20"/>
          <w:szCs w:val="20"/>
          <w:color w:val="auto"/>
        </w:rPr>
      </w:pPr>
      <w:r>
        <w:rPr>
          <w:rFonts w:ascii="Courier New" w:cs="Courier New" w:eastAsia="Courier New" w:hAnsi="Courier New"/>
          <w:sz w:val="14"/>
          <w:szCs w:val="14"/>
          <w:color w:val="auto"/>
        </w:rPr>
        <w:t>acquire any New CCA-owned correctional or detention facility should New CCA receive an acceptable third party offer to acquire any such facility. Since January 1, 1999, the Company has not purchased any assets from New CCA under the CCA Right to Purchase Agreement.</w:t>
      </w:r>
    </w:p>
    <w:p>
      <w:pPr>
        <w:spacing w:after="0" w:line="6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CCA SERVICES AGREEMENT</w:t>
      </w:r>
    </w:p>
    <w:p>
      <w:pPr>
        <w:spacing w:after="0" w:line="168" w:lineRule="exact"/>
        <w:rPr>
          <w:sz w:val="20"/>
          <w:szCs w:val="20"/>
          <w:color w:val="auto"/>
        </w:rPr>
      </w:pPr>
    </w:p>
    <w:p>
      <w:pPr>
        <w:ind w:left="340" w:right="3359"/>
        <w:spacing w:after="0" w:line="252"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services agreement (the "CCA Services Agreement") with New CCA pursuant to which New CCA will serve as a facilitator of the construction and development of additional facilities on behalf of the Company for a term of five years from the date of the CCA Services Agreement. In such capacity, New CCA will perform, at the direction of the Company, such services as are customarily needed in the construction and development of correctional and detention facilities, including services related to construction of the facilities, project bidding, project design, and governmental relations. In consideration for the performance of such services by New CCA, the Company agreed to pay a fee equal to 5% of the total capital expenditures (excluding the incentive fee discussed below and the 5% fee herein referred to) incurred in connection with the construction and development of a facility, plus an amount equal to approximately $560 (five hundred sixty dollars) per bed for facility preparation services provided by New CCA prior to the date on which inmates are first received at such facility. The Board of Directors of the Company has authorized payments up to an additional 5% of the total capital expenditures (as determined above) to New CCA if additional services are requested by the Company. A majority of the Company's current development projects have been subject to a fee totaling 10%.</w:t>
      </w:r>
    </w:p>
    <w:p>
      <w:pPr>
        <w:spacing w:after="0" w:line="87" w:lineRule="exact"/>
        <w:rPr>
          <w:sz w:val="20"/>
          <w:szCs w:val="20"/>
          <w:color w:val="auto"/>
        </w:rPr>
      </w:pPr>
    </w:p>
    <w:p>
      <w:pPr>
        <w:ind w:left="340" w:right="3539"/>
        <w:spacing w:after="0" w:line="276" w:lineRule="auto"/>
        <w:rPr>
          <w:sz w:val="20"/>
          <w:szCs w:val="20"/>
          <w:color w:val="auto"/>
        </w:rPr>
      </w:pPr>
      <w:r>
        <w:rPr>
          <w:rFonts w:ascii="Courier New" w:cs="Courier New" w:eastAsia="Courier New" w:hAnsi="Courier New"/>
          <w:sz w:val="14"/>
          <w:szCs w:val="14"/>
          <w:color w:val="auto"/>
        </w:rPr>
        <w:t>Costs incurred by the Company under the CCA Services Agreement are capitalized as part of the facilities' development cost. Costs incurred under the CCA Services Agreement and capitalized as part of the facilities' development cost totaled $41.6 million for the year ended December 31, 1999.</w:t>
      </w:r>
    </w:p>
    <w:p>
      <w:pPr>
        <w:spacing w:after="0" w:line="6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BUSINESS DEVELOPMENT AGREEMENT</w:t>
      </w:r>
    </w:p>
    <w:p>
      <w:pPr>
        <w:spacing w:after="0" w:line="168" w:lineRule="exact"/>
        <w:rPr>
          <w:sz w:val="20"/>
          <w:szCs w:val="20"/>
          <w:color w:val="auto"/>
        </w:rPr>
      </w:pPr>
    </w:p>
    <w:p>
      <w:pPr>
        <w:ind w:left="340" w:right="3359"/>
        <w:spacing w:after="0" w:line="257"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four year business development agreement (the "Business Development Agreement") with New CCA, which provides that New CCA will perform, at the direction of the Company, services designed to assist the Company in identifying and obtaining new business. Pursuant to the agreement, the Company has agreed to pay to New CCA a total fee equal to 4.5% of the total capital expenditures (excluding the amount of the tenant incentive fee and the services fee discussed above as well as the 4.5% fee) incurred in connection with the construction and development of each new facility, or the construction and development of an addition to an existing facility, for which New CCA performed business development services.</w:t>
      </w:r>
    </w:p>
    <w:p>
      <w:pPr>
        <w:spacing w:after="0" w:line="82" w:lineRule="exact"/>
        <w:rPr>
          <w:sz w:val="20"/>
          <w:szCs w:val="20"/>
          <w:color w:val="auto"/>
        </w:rPr>
      </w:pPr>
    </w:p>
    <w:p>
      <w:pPr>
        <w:ind w:left="340" w:right="3359"/>
        <w:spacing w:after="0" w:line="276" w:lineRule="auto"/>
        <w:rPr>
          <w:sz w:val="20"/>
          <w:szCs w:val="20"/>
          <w:color w:val="auto"/>
        </w:rPr>
      </w:pPr>
      <w:r>
        <w:rPr>
          <w:rFonts w:ascii="Courier New" w:cs="Courier New" w:eastAsia="Courier New" w:hAnsi="Courier New"/>
          <w:sz w:val="14"/>
          <w:szCs w:val="14"/>
          <w:color w:val="auto"/>
        </w:rPr>
        <w:t>Costs incurred by the Company under the Business Development Agreement are capitalized as part of the facilities' development cost. Costs incurred under the Business Development Agreement and capitalized as part of the facilities' development cost totaled $15.0 million for the year ended December 31, 1999.</w:t>
      </w:r>
    </w:p>
    <w:p>
      <w:pPr>
        <w:spacing w:after="0" w:line="6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RECEIVABLE FROM NEW CCA</w:t>
      </w:r>
    </w:p>
    <w:p>
      <w:pPr>
        <w:spacing w:after="0" w:line="168" w:lineRule="exact"/>
        <w:rPr>
          <w:sz w:val="20"/>
          <w:szCs w:val="20"/>
          <w:color w:val="auto"/>
        </w:rPr>
      </w:pPr>
    </w:p>
    <w:p>
      <w:pPr>
        <w:ind w:left="340" w:right="3359"/>
        <w:spacing w:after="0" w:line="286" w:lineRule="auto"/>
        <w:rPr>
          <w:sz w:val="20"/>
          <w:szCs w:val="20"/>
          <w:color w:val="auto"/>
        </w:rPr>
      </w:pPr>
      <w:r>
        <w:rPr>
          <w:rFonts w:ascii="Courier New" w:cs="Courier New" w:eastAsia="Courier New" w:hAnsi="Courier New"/>
          <w:sz w:val="14"/>
          <w:szCs w:val="14"/>
          <w:color w:val="auto"/>
        </w:rPr>
        <w:t>As of December 31, 1999, the Company had recorded a receivable of $28.6 million from New CCA. This receivable was comprised primarily of rent due under the CCA Leases for the month of December 1999 ($24.9 million) and licensing fees due under the Trade Name Use Agreement ($2.2 million).</w:t>
      </w:r>
    </w:p>
    <w:p>
      <w:pPr>
        <w:spacing w:after="0" w:line="22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9899"/>
          </w:cols>
          <w:pgMar w:left="560" w:top="256" w:right="1440" w:bottom="1440" w:gutter="0" w:footer="0" w:header="0"/>
        </w:sectPr>
      </w:pPr>
    </w:p>
    <w:bookmarkStart w:id="145" w:name="page146"/>
    <w:bookmarkEnd w:id="145"/>
    <w:p>
      <w:pPr>
        <w:ind w:left="253"/>
        <w:spacing w:after="0"/>
        <w:rPr>
          <w:sz w:val="20"/>
          <w:szCs w:val="20"/>
          <w:color w:val="auto"/>
        </w:rPr>
      </w:pPr>
      <w:r>
        <w:rPr>
          <w:rFonts w:ascii="Courier New" w:cs="Courier New" w:eastAsia="Courier New" w:hAnsi="Courier New"/>
          <w:sz w:val="14"/>
          <w:szCs w:val="14"/>
          <w:color w:val="auto"/>
        </w:rPr>
        <w:t>144</w:t>
      </w:r>
    </w:p>
    <w:p>
      <w:pPr>
        <w:spacing w:after="0" w:line="30" w:lineRule="exact"/>
        <w:rPr>
          <w:sz w:val="20"/>
          <w:szCs w:val="20"/>
          <w:color w:val="auto"/>
        </w:rPr>
      </w:pPr>
    </w:p>
    <w:p>
      <w:pPr>
        <w:ind w:left="593"/>
        <w:spacing w:after="0"/>
        <w:rPr>
          <w:sz w:val="20"/>
          <w:szCs w:val="20"/>
          <w:color w:val="auto"/>
        </w:rPr>
      </w:pPr>
      <w:r>
        <w:rPr>
          <w:rFonts w:ascii="Courier New" w:cs="Courier New" w:eastAsia="Courier New" w:hAnsi="Courier New"/>
          <w:sz w:val="14"/>
          <w:szCs w:val="14"/>
          <w:color w:val="auto"/>
        </w:rPr>
        <w:t>NEW CCA FINANCIAL INFORMATION</w:t>
      </w:r>
    </w:p>
    <w:p>
      <w:pPr>
        <w:spacing w:after="0" w:line="142" w:lineRule="exact"/>
        <w:rPr>
          <w:sz w:val="20"/>
          <w:szCs w:val="20"/>
          <w:color w:val="auto"/>
        </w:rPr>
      </w:pPr>
    </w:p>
    <w:p>
      <w:pPr>
        <w:ind w:left="593" w:right="3359"/>
        <w:spacing w:after="0" w:line="366" w:lineRule="auto"/>
        <w:rPr>
          <w:sz w:val="20"/>
          <w:szCs w:val="20"/>
          <w:color w:val="auto"/>
        </w:rPr>
      </w:pPr>
      <w:r>
        <w:rPr>
          <w:rFonts w:ascii="Courier New" w:cs="Courier New" w:eastAsia="Courier New" w:hAnsi="Courier New"/>
          <w:sz w:val="14"/>
          <w:szCs w:val="14"/>
          <w:color w:val="auto"/>
        </w:rPr>
        <w:t>The following summarized operating information presents New CCA's results of operations for the year ended December 31, 1999:</w:t>
      </w:r>
    </w:p>
    <w:p>
      <w:pPr>
        <w:spacing w:after="0" w:line="332" w:lineRule="exact"/>
        <w:rPr>
          <w:sz w:val="20"/>
          <w:szCs w:val="20"/>
          <w:color w:val="auto"/>
        </w:rPr>
      </w:pPr>
    </w:p>
    <w:tbl>
      <w:tblPr>
        <w:tblLayout w:type="fixed"/>
        <w:tblInd w:w="1093" w:type="dxa"/>
        <w:tblCellMar>
          <w:top w:w="0" w:type="dxa"/>
          <w:left w:w="0" w:type="dxa"/>
          <w:bottom w:w="0" w:type="dxa"/>
          <w:right w:w="0" w:type="dxa"/>
        </w:tblCellMar>
      </w:tblP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$ 499,292</w:t>
            </w:r>
          </w:p>
        </w:tc>
      </w:tr>
      <w:tr>
        <w:trPr>
          <w:trHeight w:val="238"/>
        </w:trPr>
        <w:tc>
          <w:tcPr>
            <w:tcW w:w="23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(202,918)</w:t>
            </w:r>
          </w:p>
        </w:tc>
      </w:tr>
    </w:tbl>
    <w:p>
      <w:pPr>
        <w:spacing w:after="0" w:line="252" w:lineRule="exact"/>
        <w:rPr>
          <w:sz w:val="20"/>
          <w:szCs w:val="20"/>
          <w:color w:val="auto"/>
        </w:rPr>
      </w:pPr>
    </w:p>
    <w:p>
      <w:pPr>
        <w:ind w:left="593" w:right="3699"/>
        <w:spacing w:after="0" w:line="366" w:lineRule="auto"/>
        <w:rPr>
          <w:sz w:val="20"/>
          <w:szCs w:val="20"/>
          <w:color w:val="auto"/>
        </w:rPr>
      </w:pPr>
      <w:r>
        <w:rPr>
          <w:rFonts w:ascii="Courier New" w:cs="Courier New" w:eastAsia="Courier New" w:hAnsi="Courier New"/>
          <w:sz w:val="14"/>
          <w:szCs w:val="14"/>
          <w:color w:val="auto"/>
        </w:rPr>
        <w:t>The following summarized balance sheet information presents New CCA's financial position as of December 31, 1999:</w:t>
      </w:r>
    </w:p>
    <w:p>
      <w:pPr>
        <w:spacing w:after="0" w:line="332" w:lineRule="exact"/>
        <w:rPr>
          <w:sz w:val="20"/>
          <w:szCs w:val="20"/>
          <w:color w:val="auto"/>
        </w:rPr>
      </w:pPr>
    </w:p>
    <w:tbl>
      <w:tblPr>
        <w:tblLayout w:type="fixed"/>
        <w:tblInd w:w="1093" w:type="dxa"/>
        <w:tblCellMar>
          <w:top w:w="0" w:type="dxa"/>
          <w:left w:w="0" w:type="dxa"/>
          <w:bottom w:w="0" w:type="dxa"/>
          <w:right w:w="0" w:type="dxa"/>
        </w:tblCellMar>
      </w:tblPr>
      <w:tr>
        <w:trPr>
          <w:trHeight w:val="163"/>
        </w:trPr>
        <w:tc>
          <w:tcPr>
            <w:tcW w:w="28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88,647</w:t>
            </w:r>
          </w:p>
        </w:tc>
      </w:tr>
      <w:tr>
        <w:trPr>
          <w:trHeight w:val="163"/>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184,701</w:t>
            </w:r>
          </w:p>
        </w:tc>
      </w:tr>
      <w:tr>
        <w:trPr>
          <w:trHeight w:val="163"/>
        </w:trPr>
        <w:tc>
          <w:tcPr>
            <w:tcW w:w="28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258,421</w:t>
            </w:r>
          </w:p>
        </w:tc>
      </w:tr>
      <w:tr>
        <w:trPr>
          <w:trHeight w:val="163"/>
        </w:trPr>
        <w:tc>
          <w:tcPr>
            <w:tcW w:w="2860" w:type="dxa"/>
            <w:vAlign w:val="bottom"/>
          </w:tcPr>
          <w:p>
            <w:pPr>
              <w:spacing w:after="0"/>
              <w:rPr>
                <w:sz w:val="20"/>
                <w:szCs w:val="20"/>
                <w:color w:val="auto"/>
              </w:rPr>
            </w:pPr>
            <w:r>
              <w:rPr>
                <w:rFonts w:ascii="Courier New" w:cs="Courier New" w:eastAsia="Courier New" w:hAnsi="Courier New"/>
                <w:sz w:val="14"/>
                <w:szCs w:val="14"/>
                <w:color w:val="auto"/>
              </w:rPr>
              <w:t>Deferred credits</w:t>
            </w:r>
          </w:p>
        </w:tc>
        <w:tc>
          <w:tcPr>
            <w:tcW w:w="1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107,070</w:t>
            </w:r>
          </w:p>
        </w:tc>
      </w:tr>
      <w:tr>
        <w:trPr>
          <w:trHeight w:val="163"/>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1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365,491</w:t>
            </w:r>
          </w:p>
        </w:tc>
      </w:tr>
      <w:tr>
        <w:trPr>
          <w:trHeight w:val="238"/>
        </w:trPr>
        <w:tc>
          <w:tcPr>
            <w:tcW w:w="2860" w:type="dxa"/>
            <w:vAlign w:val="bottom"/>
          </w:tcPr>
          <w:p>
            <w:pPr>
              <w:spacing w:after="0"/>
              <w:rPr>
                <w:sz w:val="20"/>
                <w:szCs w:val="20"/>
                <w:color w:val="auto"/>
              </w:rPr>
            </w:pPr>
            <w:r>
              <w:rPr>
                <w:rFonts w:ascii="Courier New" w:cs="Courier New" w:eastAsia="Courier New" w:hAnsi="Courier New"/>
                <w:sz w:val="14"/>
                <w:szCs w:val="14"/>
                <w:color w:val="auto"/>
              </w:rPr>
              <w:t>Stockholders' deficit</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(180,790)</w:t>
            </w:r>
          </w:p>
        </w:tc>
      </w:tr>
    </w:tbl>
    <w:p>
      <w:pPr>
        <w:spacing w:after="0" w:line="252" w:lineRule="exact"/>
        <w:rPr>
          <w:sz w:val="20"/>
          <w:szCs w:val="20"/>
          <w:color w:val="auto"/>
        </w:rPr>
      </w:pPr>
    </w:p>
    <w:p>
      <w:pPr>
        <w:ind w:left="593"/>
        <w:spacing w:after="0"/>
        <w:rPr>
          <w:sz w:val="20"/>
          <w:szCs w:val="20"/>
          <w:color w:val="auto"/>
        </w:rPr>
      </w:pPr>
      <w:r>
        <w:rPr>
          <w:rFonts w:ascii="Courier New" w:cs="Courier New" w:eastAsia="Courier New" w:hAnsi="Courier New"/>
          <w:sz w:val="14"/>
          <w:szCs w:val="14"/>
          <w:color w:val="auto"/>
        </w:rPr>
        <w:t>The following summary presents New CCA's cash flows for the year ended</w:t>
      </w:r>
    </w:p>
    <w:p>
      <w:pPr>
        <w:spacing w:after="0" w:line="30" w:lineRule="exact"/>
        <w:rPr>
          <w:sz w:val="20"/>
          <w:szCs w:val="20"/>
          <w:color w:val="auto"/>
        </w:rPr>
      </w:pPr>
    </w:p>
    <w:p>
      <w:pPr>
        <w:ind w:left="593"/>
        <w:spacing w:after="0"/>
        <w:rPr>
          <w:sz w:val="20"/>
          <w:szCs w:val="20"/>
          <w:color w:val="auto"/>
        </w:rPr>
      </w:pPr>
      <w:r>
        <w:rPr>
          <w:rFonts w:ascii="Courier New" w:cs="Courier New" w:eastAsia="Courier New" w:hAnsi="Courier New"/>
          <w:sz w:val="14"/>
          <w:szCs w:val="14"/>
          <w:color w:val="auto"/>
        </w:rPr>
        <w:t>December 31, 1999:</w:t>
      </w:r>
    </w:p>
    <w:p>
      <w:pPr>
        <w:spacing w:after="0" w:line="200" w:lineRule="exact"/>
        <w:rPr>
          <w:sz w:val="20"/>
          <w:szCs w:val="20"/>
          <w:color w:val="auto"/>
        </w:rPr>
      </w:pPr>
    </w:p>
    <w:p>
      <w:pPr>
        <w:spacing w:after="0" w:line="268" w:lineRule="exact"/>
        <w:rPr>
          <w:sz w:val="20"/>
          <w:szCs w:val="20"/>
          <w:color w:val="auto"/>
        </w:rPr>
      </w:pPr>
    </w:p>
    <w:tbl>
      <w:tblPr>
        <w:tblLayout w:type="fixed"/>
        <w:tblInd w:w="1093" w:type="dxa"/>
        <w:tblCellMar>
          <w:top w:w="0" w:type="dxa"/>
          <w:left w:w="0" w:type="dxa"/>
          <w:bottom w:w="0" w:type="dxa"/>
          <w:right w:w="0" w:type="dxa"/>
        </w:tblCellMar>
      </w:tblP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Cash flows used in operating activities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$(16,332)</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Cash flows used in investing activities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(2,091)</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Cash flows provided by financing activities</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10,089</w:t>
            </w:r>
          </w:p>
        </w:tc>
        <w:tc>
          <w:tcPr>
            <w:tcW w:w="0" w:type="dxa"/>
            <w:vAlign w:val="bottom"/>
          </w:tcPr>
          <w:p>
            <w:pPr>
              <w:spacing w:after="0"/>
              <w:rPr>
                <w:sz w:val="1"/>
                <w:szCs w:val="1"/>
                <w:color w:val="auto"/>
              </w:rPr>
            </w:pPr>
          </w:p>
        </w:tc>
      </w:tr>
      <w:tr>
        <w:trPr>
          <w:trHeight w:val="163"/>
        </w:trPr>
        <w:tc>
          <w:tcPr>
            <w:tcW w:w="3780" w:type="dxa"/>
            <w:vAlign w:val="bottom"/>
            <w:vMerge w:val="restart"/>
          </w:tcPr>
          <w:p>
            <w:pPr>
              <w:spacing w:after="0"/>
              <w:rPr>
                <w:sz w:val="20"/>
                <w:szCs w:val="20"/>
                <w:color w:val="auto"/>
              </w:rPr>
            </w:pPr>
            <w:r>
              <w:rPr>
                <w:rFonts w:ascii="Courier New" w:cs="Courier New" w:eastAsia="Courier New" w:hAnsi="Courier New"/>
                <w:sz w:val="14"/>
                <w:szCs w:val="14"/>
                <w:color w:val="auto"/>
              </w:rPr>
              <w:t>Net decrease in cash for 1999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780" w:type="dxa"/>
            <w:vAlign w:val="bottom"/>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(8,334)</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93" w:right="3359"/>
        <w:spacing w:after="0" w:line="266" w:lineRule="auto"/>
        <w:rPr>
          <w:sz w:val="20"/>
          <w:szCs w:val="20"/>
          <w:color w:val="auto"/>
        </w:rPr>
      </w:pPr>
      <w:r>
        <w:rPr>
          <w:rFonts w:ascii="Courier New" w:cs="Courier New" w:eastAsia="Courier New" w:hAnsi="Courier New"/>
          <w:sz w:val="14"/>
          <w:szCs w:val="14"/>
          <w:color w:val="auto"/>
        </w:rPr>
        <w:t>New CCA has utilized cash from borrowings under its revolving credit facility, equity issuances and payments from the Company for tenant incentive arrangements and other services to offset the cash requirements of its operating losses. New CCA expects to continue to use these sources of cash to offset its anticipated losses from operations; however, amounts presently anticipated to be available to New CCA will not be sufficient to offset all of New CCA's expected future operating losses.</w:t>
      </w:r>
    </w:p>
    <w:p>
      <w:pPr>
        <w:spacing w:after="0" w:line="74" w:lineRule="exact"/>
        <w:rPr>
          <w:sz w:val="20"/>
          <w:szCs w:val="20"/>
          <w:color w:val="auto"/>
        </w:rPr>
      </w:pPr>
    </w:p>
    <w:p>
      <w:pPr>
        <w:ind w:left="593" w:hanging="593"/>
        <w:spacing w:after="0"/>
        <w:tabs>
          <w:tab w:leader="none" w:pos="593"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 PROPERTIES</w:t>
      </w:r>
    </w:p>
    <w:p>
      <w:pPr>
        <w:spacing w:after="0" w:line="167" w:lineRule="exact"/>
        <w:rPr>
          <w:rFonts w:ascii="Courier New" w:cs="Courier New" w:eastAsia="Courier New" w:hAnsi="Courier New"/>
          <w:sz w:val="14"/>
          <w:szCs w:val="14"/>
          <w:color w:val="auto"/>
        </w:rPr>
      </w:pPr>
    </w:p>
    <w:p>
      <w:pPr>
        <w:ind w:left="593" w:right="345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1999, the Company owned or was in the process of developing 52 real estate properties (including 50 correctional and detention facilities and two corporate office buildings), of which 44 properties were operating, five were under construction or expansion and three were in the planning stages, with a total aggregate cost of $2.3 billion. At December 31, 1999, New CCA leased 36 properties from the Company, governmental agencies leased five facilities from the Company and private operators leased three facilities from the Company. The Company expects to lease four of the facilities under construction or development to New CCA.</w:t>
      </w:r>
    </w:p>
    <w:p>
      <w:pPr>
        <w:spacing w:after="0" w:line="239" w:lineRule="exact"/>
        <w:rPr>
          <w:sz w:val="20"/>
          <w:szCs w:val="20"/>
          <w:color w:val="auto"/>
        </w:rPr>
      </w:pPr>
    </w:p>
    <w:p>
      <w:pPr>
        <w:ind w:left="3213"/>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152"/>
          </w:cols>
          <w:pgMar w:left="307" w:top="257"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4"/>
          <w:szCs w:val="14"/>
          <w:color w:val="auto"/>
        </w:rPr>
        <w:t>145</w:t>
      </w:r>
    </w:p>
    <w:p>
      <w:pPr>
        <w:spacing w:after="0" w:line="3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Real estate properties as of December 31, 1999 consist of the following: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2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gridSpan w:val="2"/>
            <w:vMerge w:val="restart"/>
          </w:tcPr>
          <w:p>
            <w:pPr>
              <w:jc w:val="right"/>
              <w:ind w:right="769"/>
              <w:spacing w:after="0"/>
              <w:rPr>
                <w:sz w:val="20"/>
                <w:szCs w:val="20"/>
                <w:color w:val="auto"/>
              </w:rPr>
            </w:pPr>
            <w:r>
              <w:rPr>
                <w:rFonts w:ascii="Courier New" w:cs="Courier New" w:eastAsia="Courier New" w:hAnsi="Courier New"/>
                <w:sz w:val="14"/>
                <w:szCs w:val="14"/>
                <w:color w:val="auto"/>
              </w:rPr>
              <w:t>INITIAL COST</w:t>
            </w:r>
          </w:p>
        </w:tc>
        <w:tc>
          <w:tcPr>
            <w:tcW w:w="26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COSTS CAPITALIZED SUBSEQUENT</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3"/>
          </w:tcPr>
          <w:p>
            <w:pPr>
              <w:jc w:val="right"/>
              <w:ind w:right="529"/>
              <w:spacing w:after="0"/>
              <w:rPr>
                <w:sz w:val="20"/>
                <w:szCs w:val="20"/>
                <w:color w:val="auto"/>
              </w:rPr>
            </w:pPr>
            <w:r>
              <w:rPr>
                <w:rFonts w:ascii="Courier New" w:cs="Courier New" w:eastAsia="Courier New" w:hAnsi="Courier New"/>
                <w:sz w:val="14"/>
                <w:szCs w:val="14"/>
                <w:color w:val="auto"/>
              </w:rPr>
              <w:t>TO ACQUISITION</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28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26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BUILDINGS,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BUILDINGS,</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IMPROVEMENTS,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IMPROVEMENTS,</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EQUIPMENT,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LAND</w:t>
            </w:r>
          </w:p>
        </w:tc>
        <w:tc>
          <w:tcPr>
            <w:tcW w:w="15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CONSTRUCTION IN</w:t>
            </w:r>
          </w:p>
        </w:tc>
        <w:tc>
          <w:tcPr>
            <w:tcW w:w="260" w:type="dxa"/>
            <w:vAlign w:val="bottom"/>
          </w:tcPr>
          <w:p>
            <w:pPr>
              <w:spacing w:after="0"/>
              <w:rPr>
                <w:sz w:val="14"/>
                <w:szCs w:val="14"/>
                <w:color w:val="auto"/>
              </w:rPr>
            </w:pPr>
          </w:p>
        </w:tc>
        <w:tc>
          <w:tcPr>
            <w:tcW w:w="92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LAND</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CONSTRUCTION IN</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PROGRESS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PROGRESS</w:t>
            </w: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0"/>
                <w:szCs w:val="20"/>
                <w:color w:val="auto"/>
              </w:rPr>
            </w:pPr>
            <w:r>
              <w:rPr>
                <w:rFonts w:ascii="Courier New" w:cs="Courier New" w:eastAsia="Courier New" w:hAnsi="Courier New"/>
                <w:sz w:val="14"/>
                <w:szCs w:val="14"/>
                <w:color w:val="auto"/>
              </w:rPr>
              <w:t>Texas (9 properties)</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2,930</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275,059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559</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4,959</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20"/>
                <w:szCs w:val="20"/>
                <w:color w:val="auto"/>
              </w:rPr>
            </w:pPr>
            <w:r>
              <w:rPr>
                <w:rFonts w:ascii="Courier New" w:cs="Courier New" w:eastAsia="Courier New" w:hAnsi="Courier New"/>
                <w:sz w:val="14"/>
                <w:szCs w:val="14"/>
                <w:color w:val="auto"/>
              </w:rPr>
              <w:t>Oklahoma (4 properties)</w:t>
            </w:r>
          </w:p>
        </w:tc>
        <w:tc>
          <w:tcPr>
            <w:tcW w:w="42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826</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225,572</w:t>
            </w:r>
          </w:p>
        </w:tc>
        <w:tc>
          <w:tcPr>
            <w:tcW w:w="260" w:type="dxa"/>
            <w:vAlign w:val="bottom"/>
          </w:tcPr>
          <w:p>
            <w:pPr>
              <w:spacing w:after="0"/>
              <w:rPr>
                <w:sz w:val="14"/>
                <w:szCs w:val="14"/>
                <w:color w:val="auto"/>
              </w:rPr>
            </w:pP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7,998</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20"/>
                <w:szCs w:val="20"/>
                <w:color w:val="auto"/>
              </w:rPr>
            </w:pPr>
            <w:r>
              <w:rPr>
                <w:rFonts w:ascii="Courier New" w:cs="Courier New" w:eastAsia="Courier New" w:hAnsi="Courier New"/>
                <w:sz w:val="14"/>
                <w:szCs w:val="14"/>
                <w:color w:val="auto"/>
              </w:rPr>
              <w:t>Kentucky (4 properties)</w:t>
            </w:r>
          </w:p>
        </w:tc>
        <w:tc>
          <w:tcPr>
            <w:tcW w:w="42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1,818</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25,028</w:t>
            </w:r>
          </w:p>
        </w:tc>
        <w:tc>
          <w:tcPr>
            <w:tcW w:w="260" w:type="dxa"/>
            <w:vAlign w:val="bottom"/>
          </w:tcPr>
          <w:p>
            <w:pPr>
              <w:spacing w:after="0"/>
              <w:rPr>
                <w:sz w:val="14"/>
                <w:szCs w:val="14"/>
                <w:color w:val="auto"/>
              </w:rPr>
            </w:pP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33,489</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20"/>
                <w:szCs w:val="20"/>
                <w:color w:val="auto"/>
              </w:rPr>
            </w:pPr>
            <w:r>
              <w:rPr>
                <w:rFonts w:ascii="Courier New" w:cs="Courier New" w:eastAsia="Courier New" w:hAnsi="Courier New"/>
                <w:sz w:val="14"/>
                <w:szCs w:val="14"/>
                <w:color w:val="auto"/>
              </w:rPr>
              <w:t>Tennessee (5 properties)</w:t>
            </w:r>
          </w:p>
        </w:tc>
        <w:tc>
          <w:tcPr>
            <w:tcW w:w="42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15,485</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114,052</w:t>
            </w:r>
          </w:p>
        </w:tc>
        <w:tc>
          <w:tcPr>
            <w:tcW w:w="260" w:type="dxa"/>
            <w:vAlign w:val="bottom"/>
          </w:tcPr>
          <w:p>
            <w:pPr>
              <w:spacing w:after="0"/>
              <w:rPr>
                <w:sz w:val="14"/>
                <w:szCs w:val="14"/>
                <w:color w:val="auto"/>
              </w:rPr>
            </w:pP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2,948</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New Mexico (3 properties)</w:t>
            </w:r>
          </w:p>
        </w:tc>
        <w:tc>
          <w:tcPr>
            <w:tcW w:w="42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1,376</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88,618</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403</w:t>
            </w:r>
          </w:p>
        </w:tc>
        <w:tc>
          <w:tcPr>
            <w:tcW w:w="44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23,813</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20"/>
                <w:szCs w:val="20"/>
                <w:color w:val="auto"/>
              </w:rPr>
            </w:pPr>
            <w:r>
              <w:rPr>
                <w:rFonts w:ascii="Courier New" w:cs="Courier New" w:eastAsia="Courier New" w:hAnsi="Courier New"/>
                <w:sz w:val="14"/>
                <w:szCs w:val="14"/>
                <w:color w:val="auto"/>
              </w:rPr>
              <w:t>Arizona (3 properties)</w:t>
            </w:r>
          </w:p>
        </w:tc>
        <w:tc>
          <w:tcPr>
            <w:tcW w:w="42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2,688</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401,666</w:t>
            </w:r>
          </w:p>
        </w:tc>
        <w:tc>
          <w:tcPr>
            <w:tcW w:w="260" w:type="dxa"/>
            <w:vAlign w:val="bottom"/>
          </w:tcPr>
          <w:p>
            <w:pPr>
              <w:spacing w:after="0"/>
              <w:rPr>
                <w:sz w:val="14"/>
                <w:szCs w:val="14"/>
                <w:color w:val="auto"/>
              </w:rPr>
            </w:pP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1,462</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20"/>
                <w:szCs w:val="20"/>
                <w:color w:val="auto"/>
              </w:rPr>
            </w:pPr>
            <w:r>
              <w:rPr>
                <w:rFonts w:ascii="Courier New" w:cs="Courier New" w:eastAsia="Courier New" w:hAnsi="Courier New"/>
                <w:sz w:val="14"/>
                <w:szCs w:val="14"/>
                <w:color w:val="auto"/>
              </w:rPr>
              <w:t>Colorado (3 properties)</w:t>
            </w:r>
          </w:p>
        </w:tc>
        <w:tc>
          <w:tcPr>
            <w:tcW w:w="42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956</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78,978</w:t>
            </w:r>
          </w:p>
        </w:tc>
        <w:tc>
          <w:tcPr>
            <w:tcW w:w="260" w:type="dxa"/>
            <w:vAlign w:val="bottom"/>
          </w:tcPr>
          <w:p>
            <w:pPr>
              <w:spacing w:after="0"/>
              <w:rPr>
                <w:sz w:val="14"/>
                <w:szCs w:val="14"/>
                <w:color w:val="auto"/>
              </w:rPr>
            </w:pP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18,665</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20"/>
                <w:szCs w:val="20"/>
                <w:color w:val="auto"/>
              </w:rPr>
            </w:pPr>
            <w:r>
              <w:rPr>
                <w:rFonts w:ascii="Courier New" w:cs="Courier New" w:eastAsia="Courier New" w:hAnsi="Courier New"/>
                <w:sz w:val="14"/>
                <w:szCs w:val="14"/>
                <w:color w:val="auto"/>
              </w:rPr>
              <w:t>Georgia (5 properties)</w:t>
            </w:r>
          </w:p>
        </w:tc>
        <w:tc>
          <w:tcPr>
            <w:tcW w:w="42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1,297</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154,058</w:t>
            </w:r>
          </w:p>
        </w:tc>
        <w:tc>
          <w:tcPr>
            <w:tcW w:w="260" w:type="dxa"/>
            <w:vAlign w:val="bottom"/>
          </w:tcPr>
          <w:p>
            <w:pPr>
              <w:spacing w:after="0"/>
              <w:rPr>
                <w:sz w:val="14"/>
                <w:szCs w:val="14"/>
                <w:color w:val="auto"/>
              </w:rPr>
            </w:pP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20"/>
                <w:szCs w:val="20"/>
                <w:color w:val="auto"/>
              </w:rPr>
            </w:pPr>
            <w:r>
              <w:rPr>
                <w:rFonts w:ascii="Courier New" w:cs="Courier New" w:eastAsia="Courier New" w:hAnsi="Courier New"/>
                <w:sz w:val="14"/>
                <w:szCs w:val="14"/>
                <w:color w:val="auto"/>
              </w:rPr>
              <w:t>California (4 properties)</w:t>
            </w:r>
          </w:p>
        </w:tc>
        <w:tc>
          <w:tcPr>
            <w:tcW w:w="42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3,699</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231,824</w:t>
            </w:r>
          </w:p>
        </w:tc>
        <w:tc>
          <w:tcPr>
            <w:tcW w:w="260" w:type="dxa"/>
            <w:vAlign w:val="bottom"/>
          </w:tcPr>
          <w:p>
            <w:pPr>
              <w:spacing w:after="0"/>
              <w:rPr>
                <w:sz w:val="14"/>
                <w:szCs w:val="14"/>
                <w:color w:val="auto"/>
              </w:rPr>
            </w:pP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20"/>
                <w:szCs w:val="20"/>
                <w:color w:val="auto"/>
              </w:rPr>
            </w:pPr>
            <w:r>
              <w:rPr>
                <w:rFonts w:ascii="Courier New" w:cs="Courier New" w:eastAsia="Courier New" w:hAnsi="Courier New"/>
                <w:sz w:val="14"/>
                <w:szCs w:val="14"/>
                <w:color w:val="auto"/>
              </w:rPr>
              <w:t>North Carolina (2 properties)</w:t>
            </w:r>
          </w:p>
        </w:tc>
        <w:tc>
          <w:tcPr>
            <w:tcW w:w="42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406</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83,448</w:t>
            </w:r>
          </w:p>
        </w:tc>
        <w:tc>
          <w:tcPr>
            <w:tcW w:w="260" w:type="dxa"/>
            <w:vAlign w:val="bottom"/>
          </w:tcPr>
          <w:p>
            <w:pPr>
              <w:spacing w:after="0"/>
              <w:rPr>
                <w:sz w:val="14"/>
                <w:szCs w:val="14"/>
                <w:color w:val="auto"/>
              </w:rPr>
            </w:pP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20"/>
                <w:szCs w:val="20"/>
                <w:color w:val="auto"/>
              </w:rPr>
            </w:pPr>
            <w:r>
              <w:rPr>
                <w:rFonts w:ascii="Courier New" w:cs="Courier New" w:eastAsia="Courier New" w:hAnsi="Courier New"/>
                <w:sz w:val="14"/>
                <w:szCs w:val="14"/>
                <w:color w:val="auto"/>
              </w:rPr>
              <w:t>Ohio (2 properties)</w:t>
            </w:r>
          </w:p>
        </w:tc>
        <w:tc>
          <w:tcPr>
            <w:tcW w:w="42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1,507</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163,967</w:t>
            </w:r>
          </w:p>
        </w:tc>
        <w:tc>
          <w:tcPr>
            <w:tcW w:w="260" w:type="dxa"/>
            <w:vAlign w:val="bottom"/>
          </w:tcPr>
          <w:p>
            <w:pPr>
              <w:spacing w:after="0"/>
              <w:rPr>
                <w:sz w:val="14"/>
                <w:szCs w:val="14"/>
                <w:color w:val="auto"/>
              </w:rPr>
            </w:pP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2,215</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20"/>
                <w:szCs w:val="20"/>
                <w:color w:val="auto"/>
              </w:rPr>
            </w:pPr>
            <w:r>
              <w:rPr>
                <w:rFonts w:ascii="Courier New" w:cs="Courier New" w:eastAsia="Courier New" w:hAnsi="Courier New"/>
                <w:sz w:val="14"/>
                <w:szCs w:val="14"/>
                <w:color w:val="auto"/>
              </w:rPr>
              <w:t>All Other States (7 properties)</w:t>
            </w:r>
          </w:p>
        </w:tc>
        <w:tc>
          <w:tcPr>
            <w:tcW w:w="42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3,462</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194,026</w:t>
            </w:r>
          </w:p>
        </w:tc>
        <w:tc>
          <w:tcPr>
            <w:tcW w:w="260" w:type="dxa"/>
            <w:vAlign w:val="bottom"/>
          </w:tcPr>
          <w:p>
            <w:pPr>
              <w:spacing w:after="0"/>
              <w:rPr>
                <w:sz w:val="14"/>
                <w:szCs w:val="14"/>
                <w:color w:val="auto"/>
              </w:rPr>
            </w:pP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873</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20"/>
                <w:szCs w:val="20"/>
                <w:color w:val="auto"/>
              </w:rPr>
            </w:pPr>
            <w:r>
              <w:rPr>
                <w:rFonts w:ascii="Courier New" w:cs="Courier New" w:eastAsia="Courier New" w:hAnsi="Courier New"/>
                <w:sz w:val="14"/>
                <w:szCs w:val="14"/>
                <w:color w:val="auto"/>
              </w:rPr>
              <w:t>United Kingdom (1 property)</w:t>
            </w:r>
          </w:p>
        </w:tc>
        <w:tc>
          <w:tcPr>
            <w:tcW w:w="420" w:type="dxa"/>
            <w:vAlign w:val="bottom"/>
          </w:tcPr>
          <w:p>
            <w:pPr>
              <w:spacing w:after="0"/>
              <w:rPr>
                <w:sz w:val="14"/>
                <w:szCs w:val="14"/>
                <w:color w:val="auto"/>
              </w:rPr>
            </w:pPr>
          </w:p>
        </w:tc>
        <w:tc>
          <w:tcPr>
            <w:tcW w:w="8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88,151</w:t>
            </w:r>
          </w:p>
        </w:tc>
        <w:tc>
          <w:tcPr>
            <w:tcW w:w="260" w:type="dxa"/>
            <w:vAlign w:val="bottom"/>
          </w:tcPr>
          <w:p>
            <w:pPr>
              <w:spacing w:after="0"/>
              <w:rPr>
                <w:sz w:val="14"/>
                <w:szCs w:val="14"/>
                <w:color w:val="auto"/>
              </w:rPr>
            </w:pP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36,450</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$2,124,447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962</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96,422</w:t>
            </w: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2620" w:type="dxa"/>
            <w:vAlign w:val="bottom"/>
          </w:tcPr>
          <w:p>
            <w:pPr>
              <w:spacing w:after="0"/>
              <w:rPr>
                <w:sz w:val="14"/>
                <w:szCs w:val="14"/>
                <w:color w:val="auto"/>
              </w:rPr>
            </w:pPr>
          </w:p>
        </w:tc>
        <w:tc>
          <w:tcPr>
            <w:tcW w:w="454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TOTAL HISTORICAL COST AT DECEMBER 31, 1999</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4540" w:type="dxa"/>
            <w:vAlign w:val="bottom"/>
            <w:gridSpan w:val="4"/>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BUILDINGS,</w:t>
            </w: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IMPROVEMENTS,</w:t>
            </w: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4"/>
                <w:szCs w:val="14"/>
                <w:color w:val="auto"/>
              </w:rPr>
              <w:t>EQUIPMENT,</w:t>
            </w:r>
          </w:p>
        </w:tc>
        <w:tc>
          <w:tcPr>
            <w:tcW w:w="122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Courier New" w:cs="Courier New" w:eastAsia="Courier New" w:hAnsi="Courier New"/>
                <w:sz w:val="14"/>
                <w:szCs w:val="14"/>
                <w:color w:val="auto"/>
              </w:rPr>
              <w:t>ACCUMULATED</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LAND</w:t>
            </w:r>
          </w:p>
        </w:tc>
        <w:tc>
          <w:tcPr>
            <w:tcW w:w="1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CONSTRUCTION IN</w:t>
            </w:r>
          </w:p>
        </w:tc>
        <w:tc>
          <w:tcPr>
            <w:tcW w:w="12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TOTAL</w:t>
            </w: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4"/>
                <w:szCs w:val="14"/>
                <w:color w:val="auto"/>
              </w:rPr>
              <w:t>PROGRESS</w:t>
            </w:r>
          </w:p>
        </w:tc>
        <w:tc>
          <w:tcPr>
            <w:tcW w:w="1220" w:type="dxa"/>
            <w:vAlign w:val="bottom"/>
            <w:vMerge w:val="continue"/>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99"/>
              </w:rPr>
              <w:t>DEPRECIATION</w:t>
            </w: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17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Courier New" w:cs="Courier New" w:eastAsia="Courier New" w:hAnsi="Courier New"/>
                <w:sz w:val="14"/>
                <w:szCs w:val="14"/>
                <w:color w:val="auto"/>
              </w:rPr>
              <w:t>Texas (9 properties)</w:t>
            </w:r>
          </w:p>
        </w:tc>
        <w:tc>
          <w:tcPr>
            <w:tcW w:w="94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3,489</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280,018</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283,507</w:t>
            </w:r>
          </w:p>
        </w:tc>
        <w:tc>
          <w:tcPr>
            <w:tcW w:w="5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7,141</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Oklahoma (4 properties)</w:t>
            </w:r>
          </w:p>
        </w:tc>
        <w:tc>
          <w:tcPr>
            <w:tcW w:w="9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826</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233,570</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234,396</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5,599</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Kentucky (4 properties)</w:t>
            </w:r>
          </w:p>
        </w:tc>
        <w:tc>
          <w:tcPr>
            <w:tcW w:w="9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1,818</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58,517</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60,335</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1,293</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Tennessee (5 properties)</w:t>
            </w:r>
          </w:p>
        </w:tc>
        <w:tc>
          <w:tcPr>
            <w:tcW w:w="9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15,485</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117,000</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132,485</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7,197</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New Mexico (3 properties)</w:t>
            </w:r>
          </w:p>
        </w:tc>
        <w:tc>
          <w:tcPr>
            <w:tcW w:w="9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1,779</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112,431</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114,210</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3,166</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Arizona (3 properties)</w:t>
            </w:r>
          </w:p>
        </w:tc>
        <w:tc>
          <w:tcPr>
            <w:tcW w:w="9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2,688</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403,128</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405,816</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7,737</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Colorado (3 properties)</w:t>
            </w:r>
          </w:p>
        </w:tc>
        <w:tc>
          <w:tcPr>
            <w:tcW w:w="9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956</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97,643</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98,599</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4,497</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Georgia (5 properties)</w:t>
            </w:r>
          </w:p>
        </w:tc>
        <w:tc>
          <w:tcPr>
            <w:tcW w:w="9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1,297</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154,058</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155,355</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2,252</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California (4 properties)</w:t>
            </w:r>
          </w:p>
        </w:tc>
        <w:tc>
          <w:tcPr>
            <w:tcW w:w="9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3,699</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231,824</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235,523</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802</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North Carolina (2 properties)</w:t>
            </w:r>
          </w:p>
        </w:tc>
        <w:tc>
          <w:tcPr>
            <w:tcW w:w="9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406</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83,448</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83,854</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2,348</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Ohio (2 properties)</w:t>
            </w:r>
          </w:p>
        </w:tc>
        <w:tc>
          <w:tcPr>
            <w:tcW w:w="9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1,507</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166,182</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167,689</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4,104</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w w:val="99"/>
              </w:rPr>
              <w:t>All Other States (7 properties)</w:t>
            </w:r>
          </w:p>
        </w:tc>
        <w:tc>
          <w:tcPr>
            <w:tcW w:w="9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3,462</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194,899</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198,361</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3,649</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United Kingdom (1 property)</w:t>
            </w:r>
          </w:p>
        </w:tc>
        <w:tc>
          <w:tcPr>
            <w:tcW w:w="940" w:type="dxa"/>
            <w:vAlign w:val="bottom"/>
          </w:tcPr>
          <w:p>
            <w:pPr>
              <w:spacing w:after="0"/>
              <w:rPr>
                <w:sz w:val="14"/>
                <w:szCs w:val="14"/>
                <w:color w:val="auto"/>
              </w:rPr>
            </w:pPr>
          </w:p>
        </w:tc>
        <w:tc>
          <w:tcPr>
            <w:tcW w:w="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88,151</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88,151</w:t>
            </w:r>
          </w:p>
        </w:tc>
        <w:tc>
          <w:tcPr>
            <w:tcW w:w="520" w:type="dxa"/>
            <w:vAlign w:val="bottom"/>
          </w:tcPr>
          <w:p>
            <w:pPr>
              <w:spacing w:after="0"/>
              <w:rPr>
                <w:sz w:val="14"/>
                <w:szCs w:val="14"/>
                <w:color w:val="auto"/>
              </w:rPr>
            </w:pPr>
          </w:p>
        </w:tc>
        <w:tc>
          <w:tcPr>
            <w:tcW w:w="7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17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94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37,412</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$2,220,869</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$2,258,281</w:t>
            </w:r>
          </w:p>
        </w:tc>
        <w:tc>
          <w:tcPr>
            <w:tcW w:w="5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49,785</w:t>
            </w: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17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89"/>
        </w:trPr>
        <w:tc>
          <w:tcPr>
            <w:tcW w:w="26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F-27</w:t>
            </w: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899"/>
          </w:cols>
          <w:pgMar w:left="560" w:top="257"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4"/>
          <w:szCs w:val="14"/>
          <w:color w:val="auto"/>
        </w:rPr>
        <w:t>146</w:t>
      </w:r>
    </w:p>
    <w:p>
      <w:pPr>
        <w:spacing w:after="0" w:line="30" w:lineRule="exact"/>
        <w:rPr>
          <w:sz w:val="20"/>
          <w:szCs w:val="20"/>
          <w:color w:val="auto"/>
        </w:rPr>
      </w:pPr>
    </w:p>
    <w:p>
      <w:pPr>
        <w:jc w:val="both"/>
        <w:ind w:left="340" w:right="1100"/>
        <w:spacing w:after="0" w:line="286" w:lineRule="auto"/>
        <w:rPr>
          <w:sz w:val="20"/>
          <w:szCs w:val="20"/>
          <w:color w:val="auto"/>
        </w:rPr>
      </w:pPr>
      <w:r>
        <w:rPr>
          <w:rFonts w:ascii="Courier New" w:cs="Courier New" w:eastAsia="Courier New" w:hAnsi="Courier New"/>
          <w:sz w:val="14"/>
          <w:szCs w:val="14"/>
          <w:color w:val="auto"/>
        </w:rPr>
        <w:t>The following schedule is a reconciliation of the total changes in the historical cost of real estate properties and accumulated depreciation for the Company for the period December 31, 1998 to December 31, 1999:</w:t>
      </w:r>
    </w:p>
    <w:p>
      <w:pPr>
        <w:spacing w:after="0" w:line="200" w:lineRule="exact"/>
        <w:rPr>
          <w:sz w:val="20"/>
          <w:szCs w:val="20"/>
          <w:color w:val="auto"/>
        </w:rPr>
      </w:pPr>
    </w:p>
    <w:p>
      <w:pPr>
        <w:spacing w:after="0" w:line="349" w:lineRule="exact"/>
        <w:rPr>
          <w:sz w:val="20"/>
          <w:szCs w:val="20"/>
          <w:color w:val="auto"/>
        </w:rPr>
      </w:pPr>
    </w:p>
    <w:tbl>
      <w:tblPr>
        <w:tblLayout w:type="fixed"/>
        <w:tblInd w:w="840" w:type="dxa"/>
        <w:tblCellMar>
          <w:top w:w="0" w:type="dxa"/>
          <w:left w:w="0" w:type="dxa"/>
          <w:bottom w:w="0" w:type="dxa"/>
          <w:right w:w="0" w:type="dxa"/>
        </w:tblCellMar>
      </w:tblPr>
      <w:tr>
        <w:trPr>
          <w:trHeight w:val="163"/>
        </w:trPr>
        <w:tc>
          <w:tcPr>
            <w:tcW w:w="4080" w:type="dxa"/>
            <w:vAlign w:val="bottom"/>
          </w:tcPr>
          <w:p>
            <w:pPr>
              <w:spacing w:after="0"/>
              <w:rPr>
                <w:sz w:val="14"/>
                <w:szCs w:val="14"/>
                <w:color w:val="auto"/>
              </w:rPr>
            </w:pPr>
          </w:p>
        </w:tc>
        <w:tc>
          <w:tcPr>
            <w:tcW w:w="2460" w:type="dxa"/>
            <w:vAlign w:val="bottom"/>
            <w:gridSpan w:val="2"/>
          </w:tcPr>
          <w:p>
            <w:pPr>
              <w:ind w:left="1100"/>
              <w:spacing w:after="0"/>
              <w:rPr>
                <w:sz w:val="20"/>
                <w:szCs w:val="20"/>
                <w:color w:val="auto"/>
              </w:rPr>
            </w:pPr>
            <w:r>
              <w:rPr>
                <w:rFonts w:ascii="Courier New" w:cs="Courier New" w:eastAsia="Courier New" w:hAnsi="Courier New"/>
                <w:sz w:val="14"/>
                <w:szCs w:val="14"/>
                <w:color w:val="auto"/>
              </w:rPr>
              <w:t>HISTORICAL COST</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24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6"/>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400" w:type="dxa"/>
            <w:vAlign w:val="bottom"/>
          </w:tcPr>
          <w:p>
            <w:pPr>
              <w:ind w:left="11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637,640</w:t>
            </w:r>
          </w:p>
        </w:tc>
        <w:tc>
          <w:tcPr>
            <w:tcW w:w="0" w:type="dxa"/>
            <w:vAlign w:val="bottom"/>
          </w:tcPr>
          <w:p>
            <w:pPr>
              <w:spacing w:after="0"/>
              <w:rPr>
                <w:sz w:val="1"/>
                <w:szCs w:val="1"/>
                <w:color w:val="auto"/>
              </w:rPr>
            </w:pPr>
          </w:p>
        </w:tc>
      </w:tr>
      <w:tr>
        <w:trPr>
          <w:trHeight w:val="252"/>
        </w:trPr>
        <w:tc>
          <w:tcPr>
            <w:tcW w:w="4080" w:type="dxa"/>
            <w:vAlign w:val="bottom"/>
          </w:tcPr>
          <w:p>
            <w:pPr>
              <w:spacing w:after="0"/>
              <w:rPr>
                <w:sz w:val="20"/>
                <w:szCs w:val="20"/>
                <w:color w:val="auto"/>
              </w:rPr>
            </w:pPr>
            <w:r>
              <w:rPr>
                <w:rFonts w:ascii="Courier New" w:cs="Courier New" w:eastAsia="Courier New" w:hAnsi="Courier New"/>
                <w:sz w:val="14"/>
                <w:szCs w:val="14"/>
                <w:color w:val="auto"/>
              </w:rPr>
              <w:t>Old Prison Realty Merger</w:t>
            </w:r>
          </w:p>
        </w:tc>
        <w:tc>
          <w:tcPr>
            <w:tcW w:w="1400" w:type="dxa"/>
            <w:vAlign w:val="bottom"/>
          </w:tcPr>
          <w:p>
            <w:pPr>
              <w:spacing w:after="0"/>
              <w:rPr>
                <w:sz w:val="21"/>
                <w:szCs w:val="21"/>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1,223,371</w:t>
            </w:r>
          </w:p>
        </w:tc>
        <w:tc>
          <w:tcPr>
            <w:tcW w:w="0" w:type="dxa"/>
            <w:vAlign w:val="bottom"/>
          </w:tcPr>
          <w:p>
            <w:pPr>
              <w:spacing w:after="0"/>
              <w:rPr>
                <w:sz w:val="1"/>
                <w:szCs w:val="1"/>
                <w:color w:val="auto"/>
              </w:rPr>
            </w:pP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40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Disposals of assets</w:t>
            </w:r>
          </w:p>
        </w:tc>
        <w:tc>
          <w:tcPr>
            <w:tcW w:w="1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(53,586)</w:t>
            </w:r>
          </w:p>
        </w:tc>
        <w:tc>
          <w:tcPr>
            <w:tcW w:w="0" w:type="dxa"/>
            <w:vAlign w:val="bottom"/>
          </w:tcPr>
          <w:p>
            <w:pPr>
              <w:spacing w:after="0"/>
              <w:rPr>
                <w:sz w:val="1"/>
                <w:szCs w:val="1"/>
                <w:color w:val="auto"/>
              </w:rPr>
            </w:pP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Impairment loss</w:t>
            </w:r>
          </w:p>
        </w:tc>
        <w:tc>
          <w:tcPr>
            <w:tcW w:w="1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(78,079)</w:t>
            </w:r>
          </w:p>
        </w:tc>
        <w:tc>
          <w:tcPr>
            <w:tcW w:w="0" w:type="dxa"/>
            <w:vAlign w:val="bottom"/>
          </w:tcPr>
          <w:p>
            <w:pPr>
              <w:spacing w:after="0"/>
              <w:rPr>
                <w:sz w:val="1"/>
                <w:szCs w:val="1"/>
                <w:color w:val="auto"/>
              </w:rPr>
            </w:pP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Additions of property and equipment</w:t>
            </w:r>
          </w:p>
        </w:tc>
        <w:tc>
          <w:tcPr>
            <w:tcW w:w="140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528,935</w:t>
            </w:r>
          </w:p>
        </w:tc>
        <w:tc>
          <w:tcPr>
            <w:tcW w:w="0" w:type="dxa"/>
            <w:vAlign w:val="bottom"/>
          </w:tcPr>
          <w:p>
            <w:pPr>
              <w:spacing w:after="0"/>
              <w:rPr>
                <w:sz w:val="1"/>
                <w:szCs w:val="1"/>
                <w:color w:val="auto"/>
              </w:rPr>
            </w:pPr>
          </w:p>
        </w:tc>
      </w:tr>
      <w:tr>
        <w:trPr>
          <w:trHeight w:val="163"/>
        </w:trPr>
        <w:tc>
          <w:tcPr>
            <w:tcW w:w="4080" w:type="dxa"/>
            <w:vAlign w:val="bottom"/>
            <w:vMerge w:val="restart"/>
          </w:tcPr>
          <w:p>
            <w:pPr>
              <w:spacing w:after="0"/>
              <w:rPr>
                <w:sz w:val="20"/>
                <w:szCs w:val="20"/>
                <w:color w:val="auto"/>
              </w:rPr>
            </w:pPr>
            <w:r>
              <w:rPr>
                <w:rFonts w:ascii="Courier New" w:cs="Courier New" w:eastAsia="Courier New" w:hAnsi="Courier New"/>
                <w:sz w:val="14"/>
                <w:szCs w:val="14"/>
                <w:color w:val="auto"/>
              </w:rPr>
              <w:t>Balance, December 31, 1999</w:t>
            </w:r>
          </w:p>
        </w:tc>
        <w:tc>
          <w:tcPr>
            <w:tcW w:w="24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80" w:type="dxa"/>
            <w:vAlign w:val="bottom"/>
            <w:vMerge w:val="continue"/>
          </w:tcPr>
          <w:p>
            <w:pPr>
              <w:spacing w:after="0"/>
              <w:rPr>
                <w:sz w:val="14"/>
                <w:szCs w:val="14"/>
                <w:color w:val="auto"/>
              </w:rPr>
            </w:pPr>
          </w:p>
        </w:tc>
        <w:tc>
          <w:tcPr>
            <w:tcW w:w="1400" w:type="dxa"/>
            <w:vAlign w:val="bottom"/>
          </w:tcPr>
          <w:p>
            <w:pPr>
              <w:ind w:left="11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2,258,281</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24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right="940"/>
        <w:spacing w:after="0" w:line="263" w:lineRule="auto"/>
        <w:rPr>
          <w:sz w:val="20"/>
          <w:szCs w:val="20"/>
          <w:color w:val="auto"/>
        </w:rPr>
      </w:pPr>
      <w:r>
        <w:rPr>
          <w:rFonts w:ascii="Courier New" w:cs="Courier New" w:eastAsia="Courier New" w:hAnsi="Courier New"/>
          <w:sz w:val="14"/>
          <w:szCs w:val="14"/>
          <w:color w:val="auto"/>
        </w:rPr>
        <w:t>Pursuant to the 1999 Merger, the Company acquired all of the assets and liabilities of Old Prison Realty on January 1, 1999, including 23 leased facilities and one real estate property under construction. The real estate properties acquired by the Company in conjunction with the acquisition of Old Prison Realty have been recorded at estimated fair market value in accordance with the purchase method of accounting prescribed by APB 16 resulting in a $1.2 billion increase to real estate properties at January 1, 1999.</w:t>
      </w:r>
    </w:p>
    <w:p>
      <w:pPr>
        <w:spacing w:after="0" w:line="77" w:lineRule="exact"/>
        <w:rPr>
          <w:sz w:val="20"/>
          <w:szCs w:val="20"/>
          <w:color w:val="auto"/>
        </w:rPr>
      </w:pPr>
    </w:p>
    <w:p>
      <w:pPr>
        <w:ind w:left="340" w:right="840"/>
        <w:spacing w:after="0" w:line="254" w:lineRule="auto"/>
        <w:rPr>
          <w:sz w:val="20"/>
          <w:szCs w:val="20"/>
          <w:color w:val="auto"/>
        </w:rPr>
      </w:pPr>
      <w:r>
        <w:rPr>
          <w:rFonts w:ascii="Courier New" w:cs="Courier New" w:eastAsia="Courier New" w:hAnsi="Courier New"/>
          <w:sz w:val="14"/>
          <w:szCs w:val="14"/>
          <w:color w:val="auto"/>
        </w:rPr>
        <w:t>SFAS 121 requires impairment losses to be recognized for long-lived assets used in operations when indications of impairment are present and the estimate of undiscounted future cash flows is not sufficient to recover asset carrying amounts. In December 1999, the poor financial position, results of operations and cash flows of New CCA indicated to management that certain of its correctional and detention facilities might be impaired. In accordance with SFAS 121, the Company estimated the undiscounted net cash flows for each of its properties and compared the sum of those undiscounted net cash flows to the Company's investment in that property. Through its analysis, the Company determined that three of its correctional and detention facilities in the state of Kentucky had been impaired. For these three properties, the Company reduced the carrying values of the underlying assets to their estimated fair values, as determined based on anticipated future cash flows discounted at rates commensurate with the risks involved. The resulting impairment loss totaled $76.4 million.</w:t>
      </w:r>
    </w:p>
    <w:p>
      <w:pPr>
        <w:spacing w:after="0" w:line="87" w:lineRule="exact"/>
        <w:rPr>
          <w:sz w:val="20"/>
          <w:szCs w:val="20"/>
          <w:color w:val="auto"/>
        </w:rPr>
      </w:pPr>
    </w:p>
    <w:p>
      <w:pPr>
        <w:ind w:left="340" w:right="840"/>
        <w:spacing w:after="0" w:line="266" w:lineRule="auto"/>
        <w:rPr>
          <w:sz w:val="20"/>
          <w:szCs w:val="20"/>
          <w:color w:val="auto"/>
        </w:rPr>
      </w:pPr>
      <w:r>
        <w:rPr>
          <w:rFonts w:ascii="Courier New" w:cs="Courier New" w:eastAsia="Courier New" w:hAnsi="Courier New"/>
          <w:sz w:val="14"/>
          <w:szCs w:val="14"/>
          <w:color w:val="auto"/>
        </w:rPr>
        <w:t>Eight of the facilities owned by the Company are subject to options that allow various governmental agencies to purchase those facilities. In addition, two of the facilities are constructed on land that the Company leases from governmental agencies under ground leases. Under the terms of those ground leases, the facilities become the property of the governmental agencies upon expiration of the ground leases. The Company depreciates these two properties over the term of the ground lease.</w:t>
      </w:r>
    </w:p>
    <w:p>
      <w:pPr>
        <w:spacing w:after="0" w:line="7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ACCUMULATED</w:t>
      </w:r>
    </w:p>
    <w:p>
      <w:pPr>
        <w:spacing w:after="0" w:line="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DEPRECIATION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ind w:left="780" w:hanging="772"/>
        <w:spacing w:after="0"/>
        <w:tabs>
          <w:tab w:leader="none" w:pos="7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10,251</w:t>
      </w:r>
    </w:p>
    <w:p>
      <w:pPr>
        <w:spacing w:after="0" w:line="16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3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44,062</w:t>
      </w:r>
    </w:p>
    <w:p>
      <w:pPr>
        <w:spacing w:after="0" w:line="4" w:lineRule="exact"/>
        <w:rPr>
          <w:sz w:val="20"/>
          <w:szCs w:val="20"/>
          <w:color w:val="auto"/>
        </w:rPr>
      </w:pPr>
    </w:p>
    <w:p>
      <w:pPr>
        <w:jc w:val="right"/>
        <w:ind w:right="659"/>
        <w:spacing w:after="0"/>
        <w:rPr>
          <w:sz w:val="20"/>
          <w:szCs w:val="20"/>
          <w:color w:val="auto"/>
        </w:rPr>
      </w:pPr>
      <w:r>
        <w:rPr>
          <w:rFonts w:ascii="Courier New" w:cs="Courier New" w:eastAsia="Courier New" w:hAnsi="Courier New"/>
          <w:sz w:val="14"/>
          <w:szCs w:val="14"/>
          <w:color w:val="auto"/>
        </w:rPr>
        <w:t>(2,882)</w:t>
      </w:r>
    </w:p>
    <w:p>
      <w:pPr>
        <w:spacing w:after="0" w:line="4" w:lineRule="exact"/>
        <w:rPr>
          <w:sz w:val="20"/>
          <w:szCs w:val="20"/>
          <w:color w:val="auto"/>
        </w:rPr>
      </w:pPr>
    </w:p>
    <w:p>
      <w:pPr>
        <w:jc w:val="right"/>
        <w:ind w:right="659"/>
        <w:spacing w:after="0"/>
        <w:rPr>
          <w:sz w:val="20"/>
          <w:szCs w:val="20"/>
          <w:color w:val="auto"/>
        </w:rPr>
      </w:pPr>
      <w:r>
        <w:rPr>
          <w:rFonts w:ascii="Courier New" w:cs="Courier New" w:eastAsia="Courier New" w:hAnsi="Courier New"/>
          <w:sz w:val="14"/>
          <w:szCs w:val="14"/>
          <w:color w:val="auto"/>
        </w:rPr>
        <w:t>(1,646)</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780" w:hanging="772"/>
        <w:spacing w:after="0"/>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49,785</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7380" w:space="500"/>
            <w:col w:w="2019"/>
          </w:cols>
          <w:pgMar w:left="560" w:top="257" w:right="1440" w:bottom="1440" w:gutter="0" w:footer="0" w:header="0"/>
        </w:sectPr>
      </w:pPr>
    </w:p>
    <w:bookmarkStart w:id="148" w:name="page149"/>
    <w:bookmarkEnd w:id="148"/>
    <w:p>
      <w:pPr>
        <w:ind w:left="253"/>
        <w:spacing w:after="0"/>
        <w:rPr>
          <w:sz w:val="20"/>
          <w:szCs w:val="20"/>
          <w:color w:val="auto"/>
        </w:rPr>
      </w:pPr>
      <w:r>
        <w:rPr>
          <w:rFonts w:ascii="Courier New" w:cs="Courier New" w:eastAsia="Courier New" w:hAnsi="Courier New"/>
          <w:sz w:val="14"/>
          <w:szCs w:val="14"/>
          <w:color w:val="auto"/>
        </w:rPr>
        <w:t>147</w:t>
      </w:r>
    </w:p>
    <w:p>
      <w:pPr>
        <w:spacing w:after="0" w:line="30" w:lineRule="exact"/>
        <w:rPr>
          <w:sz w:val="20"/>
          <w:szCs w:val="20"/>
          <w:color w:val="auto"/>
        </w:rPr>
      </w:pPr>
    </w:p>
    <w:p>
      <w:pPr>
        <w:ind w:left="773" w:hanging="773"/>
        <w:spacing w:after="0"/>
        <w:tabs>
          <w:tab w:leader="none" w:pos="773"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AND DIVESTITURES</w:t>
      </w:r>
    </w:p>
    <w:p>
      <w:pPr>
        <w:spacing w:after="0" w:line="142" w:lineRule="exact"/>
        <w:rPr>
          <w:sz w:val="20"/>
          <w:szCs w:val="20"/>
          <w:color w:val="auto"/>
        </w:rPr>
      </w:pPr>
    </w:p>
    <w:p>
      <w:pPr>
        <w:ind w:left="593" w:right="3359"/>
        <w:spacing w:after="0" w:line="253" w:lineRule="auto"/>
        <w:rPr>
          <w:sz w:val="20"/>
          <w:szCs w:val="20"/>
          <w:color w:val="auto"/>
        </w:rPr>
      </w:pPr>
      <w:r>
        <w:rPr>
          <w:rFonts w:ascii="Courier New" w:cs="Courier New" w:eastAsia="Courier New" w:hAnsi="Courier New"/>
          <w:sz w:val="14"/>
          <w:szCs w:val="14"/>
          <w:color w:val="auto"/>
        </w:rPr>
        <w:t>In April 1998, Old CCA acquired all of the issued and outstanding capital stock of eight subsidiaries of U.S. Corrections Corporation ("USCC") (the "USCC Acquisition") for approximately $10.0 million, less cash acquired. The transaction was accounted for as a purchase transaction and the purchase price was allocated to the assets and liabilities acquired based on the fair value of the assets and liabilities acquired. By virtue of the USCC Acquisition, Old CCA acquired contracts to manage four currently operating facilities in Kentucky, each of which was owned by Old Prison Realty at December 31, 1998, one facility in Florida, which is owned by a governmental entity in Florida, as well as one facility in Texas, which is owned by a governmental entity in Texas. During 1998, subsequent to the USCC Acquisition, the contract to manage the Texas facility expired and was not renewed. Old CCA also obtained the right to enter into contracts to manage two North Carolina facilities previously owned by Old Prison Realty, both of which were under construction as of the date of the USCC Merger. During 1998, both North Carolina facilities became operational and Old CCA entered into contracts to manage those facilities upon completion of the construction.</w:t>
      </w:r>
    </w:p>
    <w:p>
      <w:pPr>
        <w:spacing w:after="0" w:line="89" w:lineRule="exact"/>
        <w:rPr>
          <w:sz w:val="20"/>
          <w:szCs w:val="20"/>
          <w:color w:val="auto"/>
        </w:rPr>
      </w:pPr>
    </w:p>
    <w:p>
      <w:pPr>
        <w:ind w:left="593" w:right="3359"/>
        <w:spacing w:after="0" w:line="286" w:lineRule="auto"/>
        <w:rPr>
          <w:sz w:val="20"/>
          <w:szCs w:val="20"/>
          <w:color w:val="auto"/>
        </w:rPr>
      </w:pPr>
      <w:r>
        <w:rPr>
          <w:rFonts w:ascii="Courier New" w:cs="Courier New" w:eastAsia="Courier New" w:hAnsi="Courier New"/>
          <w:sz w:val="14"/>
          <w:szCs w:val="14"/>
          <w:color w:val="auto"/>
        </w:rPr>
        <w:t>In April 1999, the Company purchased the Eden Detention Center in Eden, Texas for $28.1 million. The facility has a design capacity of 1,225 beds and is leased to New CCA under lease terms substantially similar to the CCA Leases.</w:t>
      </w:r>
    </w:p>
    <w:p>
      <w:pPr>
        <w:spacing w:after="0" w:line="59" w:lineRule="exact"/>
        <w:rPr>
          <w:sz w:val="20"/>
          <w:szCs w:val="20"/>
          <w:color w:val="auto"/>
        </w:rPr>
      </w:pPr>
    </w:p>
    <w:p>
      <w:pPr>
        <w:ind w:left="593" w:right="3359"/>
        <w:spacing w:after="0" w:line="261" w:lineRule="auto"/>
        <w:rPr>
          <w:sz w:val="20"/>
          <w:szCs w:val="20"/>
          <w:color w:val="auto"/>
        </w:rPr>
      </w:pPr>
      <w:r>
        <w:rPr>
          <w:rFonts w:ascii="Courier New" w:cs="Courier New" w:eastAsia="Courier New" w:hAnsi="Courier New"/>
          <w:sz w:val="14"/>
          <w:szCs w:val="14"/>
          <w:color w:val="auto"/>
        </w:rPr>
        <w:t>In June 1999, the Company incurred a loss of $1.6 million as a result of a settlement with the State of South Carolina for property previously owned by Old CCA. Under the settlement, the Company, as the successor to Old CCA, will receive $6.5 million in three installments by June 30, 2001 for the transferred assets. The net proceeds were approximately $1.6 million less than the surrendered assets' depreciated book value. The Company received $3.5 million of the proceeds during 1999. As of December 31, 1999, the Company has a receivable of $3.0 million related to this settlement.</w:t>
      </w:r>
    </w:p>
    <w:p>
      <w:pPr>
        <w:spacing w:after="0" w:line="78" w:lineRule="exact"/>
        <w:rPr>
          <w:sz w:val="20"/>
          <w:szCs w:val="20"/>
          <w:color w:val="auto"/>
        </w:rPr>
      </w:pPr>
    </w:p>
    <w:p>
      <w:pPr>
        <w:ind w:left="593" w:right="3359"/>
        <w:spacing w:after="0" w:line="270" w:lineRule="auto"/>
        <w:rPr>
          <w:sz w:val="20"/>
          <w:szCs w:val="20"/>
          <w:color w:val="auto"/>
        </w:rPr>
      </w:pPr>
      <w:r>
        <w:rPr>
          <w:rFonts w:ascii="Courier New" w:cs="Courier New" w:eastAsia="Courier New" w:hAnsi="Courier New"/>
          <w:sz w:val="14"/>
          <w:szCs w:val="14"/>
          <w:color w:val="auto"/>
        </w:rPr>
        <w:t>In December 1999, the Company incurred a loss of $0.4 million resulting from a sale of a new facility in Florida. Construction on the facility was completed by the Company in May 1999. In accordance with the terms of the management contract between Old CCA and Polk County, Florida, Polk County exercised an option to purchase the facility. Net proceeds of $40.5 million were received by the Company.</w:t>
      </w:r>
    </w:p>
    <w:p>
      <w:pPr>
        <w:spacing w:after="0" w:line="234" w:lineRule="exact"/>
        <w:rPr>
          <w:sz w:val="20"/>
          <w:szCs w:val="20"/>
          <w:color w:val="auto"/>
        </w:rPr>
      </w:pPr>
    </w:p>
    <w:p>
      <w:pPr>
        <w:ind w:left="593" w:hanging="593"/>
        <w:spacing w:after="0"/>
        <w:tabs>
          <w:tab w:leader="none" w:pos="593"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AFFILIATES</w:t>
      </w:r>
    </w:p>
    <w:p>
      <w:pPr>
        <w:spacing w:after="0" w:line="167" w:lineRule="exact"/>
        <w:rPr>
          <w:rFonts w:ascii="Courier New" w:cs="Courier New" w:eastAsia="Courier New" w:hAnsi="Courier New"/>
          <w:sz w:val="14"/>
          <w:szCs w:val="14"/>
          <w:color w:val="auto"/>
        </w:rPr>
      </w:pPr>
    </w:p>
    <w:p>
      <w:pPr>
        <w:ind w:left="593" w:right="33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discussed in Note 3, in connection with the 1999 Merger, Old CCA received 100% of the non-voting interest in PMSI and JJFMSI valued at the implied fair market values of $67.1 million and $55.9 million, respectively. The Company succeeded to these interests as a result of the 1999 Merger. The Company's ownership interests obligate PMSI and JJFMSI to make distributions to the Company equal to 95% of their net income as determined in accordance with generally accepted accounting principles ("GAAP") plus non-cash expenses, as defined. For the year ended December 31, 1999, the Company recognized equity in earnings of PMSI and JJFMSI of $4.7 million and $7.5 million, respectively, and received distributions from PMSI and JJFMSI of $11.0 million and $10.6 million, respectively.</w:t>
      </w:r>
    </w:p>
    <w:p>
      <w:pPr>
        <w:spacing w:after="0" w:line="82" w:lineRule="exact"/>
        <w:rPr>
          <w:sz w:val="20"/>
          <w:szCs w:val="20"/>
          <w:color w:val="auto"/>
        </w:rPr>
      </w:pPr>
    </w:p>
    <w:p>
      <w:pPr>
        <w:ind w:left="3213"/>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152"/>
          </w:cols>
          <w:pgMar w:left="307" w:top="257" w:right="1440" w:bottom="1440" w:gutter="0" w:footer="0" w:header="0"/>
        </w:sectPr>
      </w:pPr>
    </w:p>
    <w:bookmarkStart w:id="149" w:name="page150"/>
    <w:bookmarkEnd w:id="149"/>
    <w:p>
      <w:pPr>
        <w:ind w:left="253"/>
        <w:spacing w:after="0"/>
        <w:rPr>
          <w:sz w:val="20"/>
          <w:szCs w:val="20"/>
          <w:color w:val="auto"/>
        </w:rPr>
      </w:pPr>
      <w:r>
        <w:rPr>
          <w:rFonts w:ascii="Courier New" w:cs="Courier New" w:eastAsia="Courier New" w:hAnsi="Courier New"/>
          <w:sz w:val="14"/>
          <w:szCs w:val="14"/>
          <w:color w:val="auto"/>
        </w:rPr>
        <w:t>148</w:t>
      </w:r>
    </w:p>
    <w:p>
      <w:pPr>
        <w:spacing w:after="0" w:line="30" w:lineRule="exact"/>
        <w:rPr>
          <w:sz w:val="20"/>
          <w:szCs w:val="20"/>
          <w:color w:val="auto"/>
        </w:rPr>
      </w:pPr>
    </w:p>
    <w:p>
      <w:pPr>
        <w:ind w:left="593"/>
        <w:spacing w:after="0"/>
        <w:rPr>
          <w:sz w:val="20"/>
          <w:szCs w:val="20"/>
          <w:color w:val="auto"/>
        </w:rPr>
      </w:pPr>
      <w:r>
        <w:rPr>
          <w:rFonts w:ascii="Courier New" w:cs="Courier New" w:eastAsia="Courier New" w:hAnsi="Courier New"/>
          <w:sz w:val="14"/>
          <w:szCs w:val="14"/>
          <w:color w:val="auto"/>
        </w:rPr>
        <w:t>Investments in affiliates consist of the following:</w:t>
      </w:r>
    </w:p>
    <w:p>
      <w:pPr>
        <w:spacing w:after="0" w:line="200" w:lineRule="exact"/>
        <w:rPr>
          <w:sz w:val="20"/>
          <w:szCs w:val="20"/>
          <w:color w:val="auto"/>
        </w:rPr>
      </w:pPr>
    </w:p>
    <w:p>
      <w:pPr>
        <w:spacing w:after="0" w:line="268" w:lineRule="exact"/>
        <w:rPr>
          <w:sz w:val="20"/>
          <w:szCs w:val="20"/>
          <w:color w:val="auto"/>
        </w:rPr>
      </w:pPr>
    </w:p>
    <w:tbl>
      <w:tblPr>
        <w:tblLayout w:type="fixed"/>
        <w:tblInd w:w="1013" w:type="dxa"/>
        <w:tblCellMar>
          <w:top w:w="0" w:type="dxa"/>
          <w:left w:w="0" w:type="dxa"/>
          <w:bottom w:w="0" w:type="dxa"/>
          <w:right w:w="0" w:type="dxa"/>
        </w:tblCellMar>
      </w:tblPr>
      <w:tr>
        <w:trPr>
          <w:trHeight w:val="163"/>
        </w:trPr>
        <w:tc>
          <w:tcPr>
            <w:tcW w:w="2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3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jc w:val="right"/>
              <w:ind w:right="689"/>
              <w:spacing w:after="0"/>
              <w:rPr>
                <w:sz w:val="20"/>
                <w:szCs w:val="20"/>
                <w:color w:val="auto"/>
              </w:rPr>
            </w:pPr>
            <w:r>
              <w:rPr>
                <w:rFonts w:ascii="Courier New" w:cs="Courier New" w:eastAsia="Courier New" w:hAnsi="Courier New"/>
                <w:sz w:val="14"/>
                <w:szCs w:val="14"/>
                <w:color w:val="auto"/>
                <w:w w:val="95"/>
              </w:rPr>
              <w:t>1999</w:t>
            </w:r>
          </w:p>
        </w:tc>
        <w:tc>
          <w:tcPr>
            <w:tcW w:w="600" w:type="dxa"/>
            <w:vAlign w:val="bottom"/>
          </w:tcPr>
          <w:p>
            <w:pPr>
              <w:spacing w:after="0"/>
              <w:rPr>
                <w:sz w:val="14"/>
                <w:szCs w:val="14"/>
                <w:color w:val="auto"/>
              </w:rPr>
            </w:pPr>
          </w:p>
        </w:tc>
        <w:tc>
          <w:tcPr>
            <w:tcW w:w="84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5"/>
              </w:rPr>
              <w:t>1998</w:t>
            </w: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p>
        </w:tc>
        <w:tc>
          <w:tcPr>
            <w:tcW w:w="19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Investment in PMSI</w:t>
            </w:r>
          </w:p>
        </w:tc>
        <w:tc>
          <w:tcPr>
            <w:tcW w:w="84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60,756</w:t>
            </w:r>
          </w:p>
        </w:tc>
        <w:tc>
          <w:tcPr>
            <w:tcW w:w="6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67,059</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Investment in JJFMSI</w:t>
            </w:r>
          </w:p>
        </w:tc>
        <w:tc>
          <w:tcPr>
            <w:tcW w:w="8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52,726</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55,882</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Investment in New CCA</w:t>
            </w:r>
          </w:p>
        </w:tc>
        <w:tc>
          <w:tcPr>
            <w:tcW w:w="8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4,750</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4,750</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840" w:type="dxa"/>
            <w:vAlign w:val="bottom"/>
            <w:vMerge w:val="restart"/>
          </w:tcPr>
          <w:p>
            <w:pPr>
              <w:ind w:left="50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11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118,232</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6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127,691</w:t>
            </w: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p>
        </w:tc>
        <w:tc>
          <w:tcPr>
            <w:tcW w:w="19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13" w:right="3539"/>
        <w:spacing w:after="0" w:line="306" w:lineRule="auto"/>
        <w:rPr>
          <w:sz w:val="20"/>
          <w:szCs w:val="20"/>
          <w:color w:val="auto"/>
        </w:rPr>
      </w:pPr>
      <w:r>
        <w:rPr>
          <w:rFonts w:ascii="Courier New" w:cs="Courier New" w:eastAsia="Courier New" w:hAnsi="Courier New"/>
          <w:sz w:val="14"/>
          <w:szCs w:val="14"/>
          <w:color w:val="auto"/>
        </w:rPr>
        <w:t>The following operating information presents a combined summary of the results of operations of PMSI and JJFMSI for the year ended December 31, 1999:</w:t>
      </w:r>
    </w:p>
    <w:p>
      <w:pPr>
        <w:spacing w:after="0" w:line="372" w:lineRule="exact"/>
        <w:rPr>
          <w:sz w:val="20"/>
          <w:szCs w:val="20"/>
          <w:color w:val="auto"/>
        </w:rPr>
      </w:pPr>
    </w:p>
    <w:tbl>
      <w:tblPr>
        <w:tblLayout w:type="fixed"/>
        <w:tblInd w:w="1093" w:type="dxa"/>
        <w:tblCellMar>
          <w:top w:w="0" w:type="dxa"/>
          <w:left w:w="0" w:type="dxa"/>
          <w:bottom w:w="0" w:type="dxa"/>
          <w:right w:w="0" w:type="dxa"/>
        </w:tblCellMar>
      </w:tblP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288,289</w:t>
            </w:r>
          </w:p>
        </w:tc>
      </w:tr>
      <w:tr>
        <w:trPr>
          <w:trHeight w:val="238"/>
        </w:trPr>
        <w:tc>
          <w:tcPr>
            <w:tcW w:w="17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12,851</w:t>
            </w:r>
          </w:p>
        </w:tc>
      </w:tr>
    </w:tbl>
    <w:p>
      <w:pPr>
        <w:spacing w:after="0" w:line="252" w:lineRule="exact"/>
        <w:rPr>
          <w:sz w:val="20"/>
          <w:szCs w:val="20"/>
          <w:color w:val="auto"/>
        </w:rPr>
      </w:pPr>
    </w:p>
    <w:p>
      <w:pPr>
        <w:ind w:left="593" w:right="3619"/>
        <w:spacing w:after="0" w:line="366" w:lineRule="auto"/>
        <w:rPr>
          <w:sz w:val="20"/>
          <w:szCs w:val="20"/>
          <w:color w:val="auto"/>
        </w:rPr>
      </w:pPr>
      <w:r>
        <w:rPr>
          <w:rFonts w:ascii="Courier New" w:cs="Courier New" w:eastAsia="Courier New" w:hAnsi="Courier New"/>
          <w:sz w:val="14"/>
          <w:szCs w:val="14"/>
          <w:color w:val="auto"/>
        </w:rPr>
        <w:t>The following balance sheet information presents a combined summary of the financial position of PMSI and JJFMSI as of December 31, 1999:</w:t>
      </w:r>
    </w:p>
    <w:p>
      <w:pPr>
        <w:spacing w:after="0" w:line="332" w:lineRule="exact"/>
        <w:rPr>
          <w:sz w:val="20"/>
          <w:szCs w:val="20"/>
          <w:color w:val="auto"/>
        </w:rPr>
      </w:pPr>
    </w:p>
    <w:tbl>
      <w:tblPr>
        <w:tblLayout w:type="fixed"/>
        <w:tblInd w:w="1093" w:type="dxa"/>
        <w:tblCellMar>
          <w:top w:w="0" w:type="dxa"/>
          <w:left w:w="0" w:type="dxa"/>
          <w:bottom w:w="0" w:type="dxa"/>
          <w:right w:w="0" w:type="dxa"/>
        </w:tblCellMar>
      </w:tblPr>
      <w:tr>
        <w:trPr>
          <w:trHeight w:val="163"/>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Current assets</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60,741</w:t>
            </w:r>
          </w:p>
        </w:tc>
      </w:tr>
      <w:tr>
        <w:trPr>
          <w:trHeight w:val="163"/>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151,167</w:t>
            </w:r>
          </w:p>
        </w:tc>
      </w:tr>
      <w:tr>
        <w:trPr>
          <w:trHeight w:val="163"/>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Current liabilities</w:t>
            </w: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31,750</w:t>
            </w:r>
          </w:p>
        </w:tc>
      </w:tr>
      <w:tr>
        <w:trPr>
          <w:trHeight w:val="163"/>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32,622</w:t>
            </w:r>
          </w:p>
        </w:tc>
      </w:tr>
      <w:tr>
        <w:trPr>
          <w:trHeight w:val="238"/>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8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118,545</w:t>
            </w:r>
          </w:p>
        </w:tc>
      </w:tr>
    </w:tbl>
    <w:p>
      <w:pPr>
        <w:spacing w:after="0" w:line="200" w:lineRule="exact"/>
        <w:rPr>
          <w:sz w:val="20"/>
          <w:szCs w:val="20"/>
          <w:color w:val="auto"/>
        </w:rPr>
      </w:pPr>
    </w:p>
    <w:p>
      <w:pPr>
        <w:spacing w:after="0" w:line="215" w:lineRule="exact"/>
        <w:rPr>
          <w:sz w:val="20"/>
          <w:szCs w:val="20"/>
          <w:color w:val="auto"/>
        </w:rPr>
      </w:pPr>
    </w:p>
    <w:p>
      <w:pPr>
        <w:ind w:left="593" w:hanging="593"/>
        <w:spacing w:after="0"/>
        <w:tabs>
          <w:tab w:leader="none" w:pos="593"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DIRECT FINANCING LEASES</w:t>
      </w:r>
    </w:p>
    <w:p>
      <w:pPr>
        <w:spacing w:after="0" w:line="167" w:lineRule="exact"/>
        <w:rPr>
          <w:rFonts w:ascii="Courier New" w:cs="Courier New" w:eastAsia="Courier New" w:hAnsi="Courier New"/>
          <w:sz w:val="14"/>
          <w:szCs w:val="14"/>
          <w:color w:val="auto"/>
        </w:rPr>
      </w:pPr>
    </w:p>
    <w:p>
      <w:pPr>
        <w:ind w:left="593" w:right="33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1999, the Company's investments in direct financing leases represent net receivables under building and equipment leases between the Company and certain governmental agencies. Certain of the agreements contain provisions that allow the governmental agencies to purchase the buildings and equipment for predetermined prices at specific intervals during the term of the agreement.</w:t>
      </w:r>
    </w:p>
    <w:p>
      <w:pPr>
        <w:spacing w:after="0" w:line="71" w:lineRule="exact"/>
        <w:rPr>
          <w:rFonts w:ascii="Courier New" w:cs="Courier New" w:eastAsia="Courier New" w:hAnsi="Courier New"/>
          <w:sz w:val="14"/>
          <w:szCs w:val="14"/>
          <w:color w:val="auto"/>
        </w:rPr>
      </w:pPr>
    </w:p>
    <w:p>
      <w:pPr>
        <w:ind w:left="593" w:right="3359"/>
        <w:spacing w:after="0" w:line="36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schedule of future minimum rentals to be received under direct financing leases in years subsequent to December 31, 1999, is as follows:</w:t>
      </w:r>
    </w:p>
    <w:p>
      <w:pPr>
        <w:spacing w:after="0" w:line="332" w:lineRule="exact"/>
        <w:rPr>
          <w:sz w:val="20"/>
          <w:szCs w:val="20"/>
          <w:color w:val="auto"/>
        </w:rPr>
      </w:pPr>
    </w:p>
    <w:tbl>
      <w:tblPr>
        <w:tblLayout w:type="fixed"/>
        <w:tblInd w:w="1193" w:type="dxa"/>
        <w:tblCellMar>
          <w:top w:w="0" w:type="dxa"/>
          <w:left w:w="0" w:type="dxa"/>
          <w:bottom w:w="0" w:type="dxa"/>
          <w:right w:w="0" w:type="dxa"/>
        </w:tblCellMar>
      </w:tblPr>
      <w:tr>
        <w:trPr>
          <w:trHeight w:val="163"/>
        </w:trPr>
        <w:tc>
          <w:tcPr>
            <w:tcW w:w="3560" w:type="dxa"/>
            <w:vAlign w:val="bottom"/>
          </w:tcPr>
          <w:p>
            <w:pPr>
              <w:ind w:left="80"/>
              <w:spacing w:after="0"/>
              <w:rPr>
                <w:sz w:val="20"/>
                <w:szCs w:val="20"/>
                <w:color w:val="auto"/>
              </w:rPr>
            </w:pPr>
            <w:r>
              <w:rPr>
                <w:rFonts w:ascii="Courier New" w:cs="Courier New" w:eastAsia="Courier New" w:hAnsi="Courier New"/>
                <w:sz w:val="14"/>
                <w:szCs w:val="14"/>
                <w:color w:val="auto"/>
              </w:rPr>
              <w:t>YEAR</w:t>
            </w:r>
          </w:p>
        </w:tc>
        <w:tc>
          <w:tcPr>
            <w:tcW w:w="540" w:type="dxa"/>
            <w:vAlign w:val="bottom"/>
          </w:tcPr>
          <w:p>
            <w:pPr>
              <w:spacing w:after="0"/>
              <w:rPr>
                <w:sz w:val="14"/>
                <w:szCs w:val="14"/>
                <w:color w:val="auto"/>
              </w:rPr>
            </w:pPr>
          </w:p>
        </w:tc>
        <w:tc>
          <w:tcPr>
            <w:tcW w:w="10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AMOUNT</w:t>
            </w: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5,101</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54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5,101</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54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5,101</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54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5,101</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54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5,101</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54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60,293</w:t>
            </w:r>
          </w:p>
        </w:tc>
        <w:tc>
          <w:tcPr>
            <w:tcW w:w="0" w:type="dxa"/>
            <w:vAlign w:val="bottom"/>
          </w:tcPr>
          <w:p>
            <w:pPr>
              <w:spacing w:after="0"/>
              <w:rPr>
                <w:sz w:val="1"/>
                <w:szCs w:val="1"/>
                <w:color w:val="auto"/>
              </w:rPr>
            </w:pPr>
          </w:p>
        </w:tc>
      </w:tr>
      <w:tr>
        <w:trPr>
          <w:trHeight w:val="163"/>
        </w:trPr>
        <w:tc>
          <w:tcPr>
            <w:tcW w:w="3560" w:type="dxa"/>
            <w:vAlign w:val="bottom"/>
            <w:vMerge w:val="restart"/>
          </w:tcPr>
          <w:p>
            <w:pPr>
              <w:spacing w:after="0"/>
              <w:rPr>
                <w:sz w:val="20"/>
                <w:szCs w:val="20"/>
                <w:color w:val="auto"/>
              </w:rPr>
            </w:pPr>
            <w:r>
              <w:rPr>
                <w:rFonts w:ascii="Courier New" w:cs="Courier New" w:eastAsia="Courier New" w:hAnsi="Courier New"/>
                <w:sz w:val="14"/>
                <w:szCs w:val="14"/>
                <w:color w:val="auto"/>
              </w:rPr>
              <w:t>Total minimum obligation</w:t>
            </w:r>
          </w:p>
        </w:tc>
        <w:tc>
          <w:tcPr>
            <w:tcW w:w="16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85,798</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20"/>
                <w:szCs w:val="20"/>
                <w:color w:val="auto"/>
              </w:rPr>
            </w:pPr>
            <w:r>
              <w:rPr>
                <w:rFonts w:ascii="Courier New" w:cs="Courier New" w:eastAsia="Courier New" w:hAnsi="Courier New"/>
                <w:sz w:val="14"/>
                <w:szCs w:val="14"/>
                <w:color w:val="auto"/>
              </w:rPr>
              <w:t>Less unearned interest income</w:t>
            </w:r>
          </w:p>
        </w:tc>
        <w:tc>
          <w:tcPr>
            <w:tcW w:w="5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(11,739)</w:t>
            </w:r>
          </w:p>
        </w:tc>
        <w:tc>
          <w:tcPr>
            <w:tcW w:w="0" w:type="dxa"/>
            <w:vAlign w:val="bottom"/>
          </w:tcPr>
          <w:p>
            <w:pPr>
              <w:spacing w:after="0"/>
              <w:rPr>
                <w:sz w:val="1"/>
                <w:szCs w:val="1"/>
                <w:color w:val="auto"/>
              </w:rPr>
            </w:pPr>
          </w:p>
        </w:tc>
      </w:tr>
      <w:tr>
        <w:trPr>
          <w:trHeight w:val="163"/>
        </w:trPr>
        <w:tc>
          <w:tcPr>
            <w:tcW w:w="3560" w:type="dxa"/>
            <w:vAlign w:val="bottom"/>
            <w:vMerge w:val="restart"/>
          </w:tcPr>
          <w:p>
            <w:pPr>
              <w:spacing w:after="0"/>
              <w:rPr>
                <w:sz w:val="20"/>
                <w:szCs w:val="20"/>
                <w:color w:val="auto"/>
              </w:rPr>
            </w:pPr>
            <w:r>
              <w:rPr>
                <w:rFonts w:ascii="Courier New" w:cs="Courier New" w:eastAsia="Courier New" w:hAnsi="Courier New"/>
                <w:sz w:val="14"/>
                <w:szCs w:val="14"/>
                <w:color w:val="auto"/>
              </w:rPr>
              <w:t>Investments in direct financing leases</w:t>
            </w:r>
          </w:p>
        </w:tc>
        <w:tc>
          <w:tcPr>
            <w:tcW w:w="16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60" w:type="dxa"/>
            <w:vAlign w:val="bottom"/>
            <w:vMerge w:val="continue"/>
          </w:tcPr>
          <w:p>
            <w:pPr>
              <w:spacing w:after="0"/>
              <w:rPr>
                <w:sz w:val="14"/>
                <w:szCs w:val="14"/>
                <w:color w:val="auto"/>
              </w:rPr>
            </w:pPr>
          </w:p>
        </w:tc>
        <w:tc>
          <w:tcPr>
            <w:tcW w:w="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74,059</w:t>
            </w: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16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89"/>
        </w:trPr>
        <w:tc>
          <w:tcPr>
            <w:tcW w:w="3560" w:type="dxa"/>
            <w:vAlign w:val="bottom"/>
          </w:tcPr>
          <w:p>
            <w:pPr>
              <w:ind w:left="2020"/>
              <w:spacing w:after="0"/>
              <w:rPr>
                <w:sz w:val="20"/>
                <w:szCs w:val="20"/>
                <w:color w:val="auto"/>
              </w:rPr>
            </w:pPr>
            <w:r>
              <w:rPr>
                <w:rFonts w:ascii="Courier New" w:cs="Courier New" w:eastAsia="Courier New" w:hAnsi="Courier New"/>
                <w:sz w:val="14"/>
                <w:szCs w:val="14"/>
                <w:color w:val="auto"/>
              </w:rPr>
              <w:t>F-30</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2"/>
          </w:cols>
          <w:pgMar w:left="307" w:top="257" w:right="1440" w:bottom="1440" w:gutter="0" w:footer="0" w:header="0"/>
        </w:sectPr>
      </w:pPr>
    </w:p>
    <w:bookmarkStart w:id="150" w:name="page151"/>
    <w:bookmarkEnd w:id="150"/>
    <w:p>
      <w:pPr>
        <w:ind w:left="253"/>
        <w:spacing w:after="0"/>
        <w:rPr>
          <w:sz w:val="20"/>
          <w:szCs w:val="20"/>
          <w:color w:val="auto"/>
        </w:rPr>
      </w:pPr>
      <w:r>
        <w:rPr>
          <w:rFonts w:ascii="Courier New" w:cs="Courier New" w:eastAsia="Courier New" w:hAnsi="Courier New"/>
          <w:sz w:val="14"/>
          <w:szCs w:val="14"/>
          <w:color w:val="auto"/>
        </w:rPr>
        <w:t>149</w:t>
      </w:r>
    </w:p>
    <w:p>
      <w:pPr>
        <w:spacing w:after="0" w:line="30" w:lineRule="exact"/>
        <w:rPr>
          <w:sz w:val="20"/>
          <w:szCs w:val="20"/>
          <w:color w:val="auto"/>
        </w:rPr>
      </w:pPr>
    </w:p>
    <w:p>
      <w:pPr>
        <w:ind w:left="593" w:right="3459"/>
        <w:spacing w:after="0" w:line="286" w:lineRule="auto"/>
        <w:rPr>
          <w:sz w:val="20"/>
          <w:szCs w:val="20"/>
          <w:color w:val="auto"/>
        </w:rPr>
      </w:pPr>
      <w:r>
        <w:rPr>
          <w:rFonts w:ascii="Courier New" w:cs="Courier New" w:eastAsia="Courier New" w:hAnsi="Courier New"/>
          <w:sz w:val="14"/>
          <w:szCs w:val="14"/>
          <w:color w:val="auto"/>
        </w:rPr>
        <w:t>During the years ended December 31, 1999, 1998 and 1997, the Company recorded interest income of $3.4 million, $3.5 million and $3.3 million, respectively, under these leases.</w:t>
      </w:r>
    </w:p>
    <w:p>
      <w:pPr>
        <w:spacing w:after="0" w:line="59" w:lineRule="exact"/>
        <w:rPr>
          <w:sz w:val="20"/>
          <w:szCs w:val="20"/>
          <w:color w:val="auto"/>
        </w:rPr>
      </w:pPr>
    </w:p>
    <w:p>
      <w:pPr>
        <w:jc w:val="both"/>
        <w:ind w:left="593" w:right="3359"/>
        <w:spacing w:after="0" w:line="286" w:lineRule="auto"/>
        <w:rPr>
          <w:sz w:val="20"/>
          <w:szCs w:val="20"/>
          <w:color w:val="auto"/>
        </w:rPr>
      </w:pPr>
      <w:r>
        <w:rPr>
          <w:rFonts w:ascii="Courier New" w:cs="Courier New" w:eastAsia="Courier New" w:hAnsi="Courier New"/>
          <w:sz w:val="14"/>
          <w:szCs w:val="14"/>
          <w:color w:val="auto"/>
        </w:rPr>
        <w:t>In May 1998, the Company agreed to pay a governmental agency $3.5 million in consideration of the governmental agency's relinquishing its rights to purchase a facility. As a result, the Company converted the facility from a direct financing lease to property and equipment.</w:t>
      </w:r>
    </w:p>
    <w:p>
      <w:pPr>
        <w:spacing w:after="0" w:line="222" w:lineRule="exact"/>
        <w:rPr>
          <w:sz w:val="20"/>
          <w:szCs w:val="20"/>
          <w:color w:val="auto"/>
        </w:rPr>
      </w:pPr>
    </w:p>
    <w:p>
      <w:pPr>
        <w:ind w:left="593" w:hanging="593"/>
        <w:spacing w:after="0"/>
        <w:tabs>
          <w:tab w:leader="none" w:pos="593"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w:t>
      </w:r>
    </w:p>
    <w:p>
      <w:pPr>
        <w:spacing w:after="0" w:line="167" w:lineRule="exact"/>
        <w:rPr>
          <w:rFonts w:ascii="Courier New" w:cs="Courier New" w:eastAsia="Courier New" w:hAnsi="Courier New"/>
          <w:sz w:val="14"/>
          <w:szCs w:val="14"/>
          <w:color w:val="auto"/>
        </w:rPr>
      </w:pPr>
    </w:p>
    <w:p>
      <w:pPr>
        <w:ind w:left="59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 consist of the following:</w:t>
      </w:r>
    </w:p>
    <w:p>
      <w:pPr>
        <w:spacing w:after="0" w:line="200" w:lineRule="exact"/>
        <w:rPr>
          <w:sz w:val="20"/>
          <w:szCs w:val="20"/>
          <w:color w:val="auto"/>
        </w:rPr>
      </w:pPr>
    </w:p>
    <w:p>
      <w:pPr>
        <w:spacing w:after="0" w:line="294" w:lineRule="exact"/>
        <w:rPr>
          <w:sz w:val="20"/>
          <w:szCs w:val="20"/>
          <w:color w:val="auto"/>
        </w:rPr>
      </w:pPr>
    </w:p>
    <w:tbl>
      <w:tblPr>
        <w:tblLayout w:type="fixed"/>
        <w:tblInd w:w="1093" w:type="dxa"/>
        <w:tblCellMar>
          <w:top w:w="0" w:type="dxa"/>
          <w:left w:w="0" w:type="dxa"/>
          <w:bottom w:w="0" w:type="dxa"/>
          <w:right w:w="0" w:type="dxa"/>
        </w:tblCellMar>
      </w:tblPr>
      <w:tr>
        <w:trPr>
          <w:trHeight w:val="163"/>
        </w:trPr>
        <w:tc>
          <w:tcPr>
            <w:tcW w:w="4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ind w:right="689"/>
              <w:spacing w:after="0"/>
              <w:rPr>
                <w:sz w:val="20"/>
                <w:szCs w:val="20"/>
                <w:color w:val="auto"/>
              </w:rPr>
            </w:pPr>
            <w:r>
              <w:rPr>
                <w:rFonts w:ascii="Courier New" w:cs="Courier New" w:eastAsia="Courier New" w:hAnsi="Courier New"/>
                <w:sz w:val="14"/>
                <w:szCs w:val="14"/>
                <w:color w:val="auto"/>
                <w:w w:val="95"/>
              </w:rPr>
              <w:t>1999</w:t>
            </w:r>
          </w:p>
        </w:tc>
        <w:tc>
          <w:tcPr>
            <w:tcW w:w="600" w:type="dxa"/>
            <w:vAlign w:val="bottom"/>
          </w:tcPr>
          <w:p>
            <w:pPr>
              <w:spacing w:after="0"/>
              <w:rPr>
                <w:sz w:val="14"/>
                <w:szCs w:val="14"/>
                <w:color w:val="auto"/>
              </w:rPr>
            </w:pPr>
          </w:p>
        </w:tc>
        <w:tc>
          <w:tcPr>
            <w:tcW w:w="84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5"/>
              </w:rPr>
              <w:t>1998</w:t>
            </w:r>
          </w:p>
        </w:tc>
        <w:tc>
          <w:tcPr>
            <w:tcW w:w="0" w:type="dxa"/>
            <w:vAlign w:val="bottom"/>
          </w:tcPr>
          <w:p>
            <w:pPr>
              <w:spacing w:after="0"/>
              <w:rPr>
                <w:sz w:val="1"/>
                <w:szCs w:val="1"/>
                <w:color w:val="auto"/>
              </w:rPr>
            </w:pPr>
          </w:p>
        </w:tc>
      </w:tr>
      <w:tr>
        <w:trPr>
          <w:trHeight w:val="238"/>
        </w:trPr>
        <w:tc>
          <w:tcPr>
            <w:tcW w:w="4800" w:type="dxa"/>
            <w:vAlign w:val="bottom"/>
          </w:tcPr>
          <w:p>
            <w:pPr>
              <w:spacing w:after="0"/>
              <w:rPr>
                <w:sz w:val="20"/>
                <w:szCs w:val="20"/>
                <w:color w:val="auto"/>
              </w:rPr>
            </w:pPr>
          </w:p>
        </w:tc>
        <w:tc>
          <w:tcPr>
            <w:tcW w:w="17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4800" w:type="dxa"/>
            <w:vAlign w:val="bottom"/>
          </w:tcPr>
          <w:p>
            <w:pPr>
              <w:spacing w:after="0"/>
              <w:rPr>
                <w:sz w:val="20"/>
                <w:szCs w:val="20"/>
                <w:color w:val="auto"/>
              </w:rPr>
            </w:pPr>
            <w:r>
              <w:rPr>
                <w:rFonts w:ascii="Courier New" w:cs="Courier New" w:eastAsia="Courier New" w:hAnsi="Courier New"/>
                <w:sz w:val="14"/>
                <w:szCs w:val="14"/>
                <w:color w:val="auto"/>
              </w:rPr>
              <w:t>Debt issuance costs, less accumulated amortization of</w:t>
            </w:r>
          </w:p>
        </w:tc>
        <w:tc>
          <w:tcPr>
            <w:tcW w:w="64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41,462</w:t>
            </w:r>
          </w:p>
        </w:tc>
        <w:tc>
          <w:tcPr>
            <w:tcW w:w="6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7,028</w:t>
            </w:r>
          </w:p>
        </w:tc>
        <w:tc>
          <w:tcPr>
            <w:tcW w:w="0" w:type="dxa"/>
            <w:vAlign w:val="bottom"/>
          </w:tcPr>
          <w:p>
            <w:pPr>
              <w:spacing w:after="0"/>
              <w:rPr>
                <w:sz w:val="1"/>
                <w:szCs w:val="1"/>
                <w:color w:val="auto"/>
              </w:rPr>
            </w:pPr>
          </w:p>
        </w:tc>
      </w:tr>
      <w:tr>
        <w:trPr>
          <w:trHeight w:val="163"/>
        </w:trPr>
        <w:tc>
          <w:tcPr>
            <w:tcW w:w="4800" w:type="dxa"/>
            <w:vAlign w:val="bottom"/>
          </w:tcPr>
          <w:p>
            <w:pPr>
              <w:ind w:left="260"/>
              <w:spacing w:after="0"/>
              <w:rPr>
                <w:sz w:val="20"/>
                <w:szCs w:val="20"/>
                <w:color w:val="auto"/>
              </w:rPr>
            </w:pPr>
            <w:r>
              <w:rPr>
                <w:rFonts w:ascii="Courier New" w:cs="Courier New" w:eastAsia="Courier New" w:hAnsi="Courier New"/>
                <w:sz w:val="14"/>
                <w:szCs w:val="14"/>
                <w:color w:val="auto"/>
              </w:rPr>
              <w:t>$5,888 and $627, respectively</w:t>
            </w:r>
          </w:p>
        </w:tc>
        <w:tc>
          <w:tcPr>
            <w:tcW w:w="6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800" w:type="dxa"/>
            <w:vAlign w:val="bottom"/>
          </w:tcPr>
          <w:p>
            <w:pPr>
              <w:spacing w:after="0"/>
              <w:rPr>
                <w:sz w:val="20"/>
                <w:szCs w:val="20"/>
                <w:color w:val="auto"/>
              </w:rPr>
            </w:pPr>
            <w:r>
              <w:rPr>
                <w:rFonts w:ascii="Courier New" w:cs="Courier New" w:eastAsia="Courier New" w:hAnsi="Courier New"/>
                <w:sz w:val="14"/>
                <w:szCs w:val="14"/>
                <w:color w:val="auto"/>
              </w:rPr>
              <w:t>Receivable from Agecroft Prison Management, Inc.</w:t>
            </w:r>
          </w:p>
        </w:tc>
        <w:tc>
          <w:tcPr>
            <w:tcW w:w="640" w:type="dxa"/>
            <w:vAlign w:val="bottom"/>
          </w:tcPr>
          <w:p>
            <w:pPr>
              <w:spacing w:after="0"/>
              <w:rPr>
                <w:sz w:val="20"/>
                <w:szCs w:val="20"/>
                <w:color w:val="auto"/>
              </w:rPr>
            </w:pP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4,665</w:t>
            </w:r>
          </w:p>
        </w:tc>
        <w:tc>
          <w:tcPr>
            <w:tcW w:w="6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1,549</w:t>
            </w:r>
          </w:p>
        </w:tc>
        <w:tc>
          <w:tcPr>
            <w:tcW w:w="0" w:type="dxa"/>
            <w:vAlign w:val="bottom"/>
          </w:tcPr>
          <w:p>
            <w:pPr>
              <w:spacing w:after="0"/>
              <w:rPr>
                <w:sz w:val="1"/>
                <w:szCs w:val="1"/>
                <w:color w:val="auto"/>
              </w:rPr>
            </w:pPr>
          </w:p>
        </w:tc>
      </w:tr>
      <w:tr>
        <w:trPr>
          <w:trHeight w:val="88"/>
        </w:trPr>
        <w:tc>
          <w:tcPr>
            <w:tcW w:w="4800" w:type="dxa"/>
            <w:vAlign w:val="bottom"/>
            <w:vMerge w:val="restart"/>
          </w:tcPr>
          <w:p>
            <w:pPr>
              <w:spacing w:after="0"/>
              <w:rPr>
                <w:sz w:val="20"/>
                <w:szCs w:val="20"/>
                <w:color w:val="auto"/>
              </w:rPr>
            </w:pPr>
            <w:r>
              <w:rPr>
                <w:rFonts w:ascii="Courier New" w:cs="Courier New" w:eastAsia="Courier New" w:hAnsi="Courier New"/>
                <w:sz w:val="14"/>
                <w:szCs w:val="14"/>
                <w:color w:val="auto"/>
              </w:rPr>
              <w:t>Receivable for South Carolina settlement</w:t>
            </w:r>
          </w:p>
        </w:tc>
        <w:tc>
          <w:tcPr>
            <w:tcW w:w="6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8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3,000</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Deferred acquisition costs</w:t>
            </w:r>
          </w:p>
        </w:tc>
        <w:tc>
          <w:tcPr>
            <w:tcW w:w="64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2,514</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26,270</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Executive notes receivable</w:t>
            </w:r>
          </w:p>
        </w:tc>
        <w:tc>
          <w:tcPr>
            <w:tcW w:w="64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2,094</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Receivable from PMSI</w:t>
            </w:r>
          </w:p>
        </w:tc>
        <w:tc>
          <w:tcPr>
            <w:tcW w:w="64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1,283</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4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5,607</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3,360</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640" w:type="dxa"/>
            <w:vAlign w:val="bottom"/>
            <w:vMerge w:val="restart"/>
          </w:tcPr>
          <w:p>
            <w:pPr>
              <w:ind w:left="30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60,625</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6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38,207</w:t>
            </w:r>
          </w:p>
        </w:tc>
        <w:tc>
          <w:tcPr>
            <w:tcW w:w="0" w:type="dxa"/>
            <w:vAlign w:val="bottom"/>
          </w:tcPr>
          <w:p>
            <w:pPr>
              <w:spacing w:after="0"/>
              <w:rPr>
                <w:sz w:val="1"/>
                <w:szCs w:val="1"/>
                <w:color w:val="auto"/>
              </w:rPr>
            </w:pPr>
          </w:p>
        </w:tc>
      </w:tr>
      <w:tr>
        <w:trPr>
          <w:trHeight w:val="238"/>
        </w:trPr>
        <w:tc>
          <w:tcPr>
            <w:tcW w:w="4800" w:type="dxa"/>
            <w:vAlign w:val="bottom"/>
          </w:tcPr>
          <w:p>
            <w:pPr>
              <w:spacing w:after="0"/>
              <w:rPr>
                <w:sz w:val="20"/>
                <w:szCs w:val="20"/>
                <w:color w:val="auto"/>
              </w:rPr>
            </w:pPr>
          </w:p>
        </w:tc>
        <w:tc>
          <w:tcPr>
            <w:tcW w:w="17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93" w:right="3359"/>
        <w:spacing w:after="0" w:line="266" w:lineRule="auto"/>
        <w:rPr>
          <w:sz w:val="20"/>
          <w:szCs w:val="20"/>
          <w:color w:val="auto"/>
        </w:rPr>
      </w:pPr>
      <w:r>
        <w:rPr>
          <w:rFonts w:ascii="Courier New" w:cs="Courier New" w:eastAsia="Courier New" w:hAnsi="Courier New"/>
          <w:sz w:val="14"/>
          <w:szCs w:val="14"/>
          <w:color w:val="auto"/>
        </w:rPr>
        <w:t>In connection with procuring the Company's $1.0 billion Amended Credit Facility discussed in Note 12, the Company incurred $41.2 million of debt issuance costs, of which $5.1 million has been amortized as of December 31, 1999. In connection with procuring the Company's $100.0 million Senior Notes discussed in Note 12, the Company incurred $5.5 million of debt issuance costs, of which $0.4 million has been amortized as of December 31, 1999.</w:t>
      </w:r>
    </w:p>
    <w:p>
      <w:pPr>
        <w:spacing w:after="0" w:line="74" w:lineRule="exact"/>
        <w:rPr>
          <w:sz w:val="20"/>
          <w:szCs w:val="20"/>
          <w:color w:val="auto"/>
        </w:rPr>
      </w:pPr>
    </w:p>
    <w:p>
      <w:pPr>
        <w:ind w:left="593" w:right="3539"/>
        <w:spacing w:after="0" w:line="270" w:lineRule="auto"/>
        <w:rPr>
          <w:sz w:val="20"/>
          <w:szCs w:val="20"/>
          <w:color w:val="auto"/>
        </w:rPr>
      </w:pPr>
      <w:r>
        <w:rPr>
          <w:rFonts w:ascii="Courier New" w:cs="Courier New" w:eastAsia="Courier New" w:hAnsi="Courier New"/>
          <w:sz w:val="14"/>
          <w:szCs w:val="14"/>
          <w:color w:val="auto"/>
        </w:rPr>
        <w:t>In 1998, Old CCA entered into an agreement with Agecroft Prison Management, Inc. ("APM") to loan APM approximately $5.0 million. The Company succeeded to this interest as a result of the 1999 Merger. Interest at 13.367% is payable semi-annually. All principal is due January 2025. APM manages an 800 bed medium-security prison in Salford, England for an agency of the British government.</w:t>
      </w:r>
    </w:p>
    <w:p>
      <w:pPr>
        <w:spacing w:after="0" w:line="71" w:lineRule="exact"/>
        <w:rPr>
          <w:sz w:val="20"/>
          <w:szCs w:val="20"/>
          <w:color w:val="auto"/>
        </w:rPr>
      </w:pPr>
    </w:p>
    <w:p>
      <w:pPr>
        <w:ind w:left="593" w:right="3459"/>
        <w:spacing w:after="0" w:line="261" w:lineRule="auto"/>
        <w:rPr>
          <w:sz w:val="20"/>
          <w:szCs w:val="20"/>
          <w:color w:val="auto"/>
        </w:rPr>
      </w:pPr>
      <w:r>
        <w:rPr>
          <w:rFonts w:ascii="Courier New" w:cs="Courier New" w:eastAsia="Courier New" w:hAnsi="Courier New"/>
          <w:sz w:val="14"/>
          <w:szCs w:val="14"/>
          <w:color w:val="auto"/>
        </w:rPr>
        <w:t>In connection with the prospective equity investment and related restructuring discussed in Note 23, the Company has incurred a total of $6.4 million of costs, of which $2.5 million have been deferred as other assets. The Company anticipates it will begin amortization of these deferred costs following the consummation of the prospective equity investment and related restructuring. In the event the proposed transactions are not completed, the Company will expense these costs in the period during which their continuing value is determined to be impaired.</w:t>
      </w:r>
    </w:p>
    <w:p>
      <w:pPr>
        <w:spacing w:after="0" w:line="78" w:lineRule="exact"/>
        <w:rPr>
          <w:sz w:val="20"/>
          <w:szCs w:val="20"/>
          <w:color w:val="auto"/>
        </w:rPr>
      </w:pPr>
    </w:p>
    <w:p>
      <w:pPr>
        <w:ind w:left="593" w:right="3359"/>
        <w:spacing w:after="0" w:line="266" w:lineRule="auto"/>
        <w:rPr>
          <w:sz w:val="20"/>
          <w:szCs w:val="20"/>
          <w:color w:val="auto"/>
        </w:rPr>
      </w:pPr>
      <w:r>
        <w:rPr>
          <w:rFonts w:ascii="Courier New" w:cs="Courier New" w:eastAsia="Courier New" w:hAnsi="Courier New"/>
          <w:sz w:val="14"/>
          <w:szCs w:val="14"/>
          <w:color w:val="auto"/>
        </w:rPr>
        <w:t>The executive notes receivable were issued to three key executives. Interest at the thirty day London Interbank Offered Rate ("LIBOR") rates plus 2.5% is payable annually. The original principal amount of the executive notes was $3.0 million. The reduction in principal resulted from payments made during 1999 in relation to severance agreements with two of the executives. The remaining principal payments begin in 2003 and conclude in 2005.</w:t>
      </w:r>
    </w:p>
    <w:p>
      <w:pPr>
        <w:spacing w:after="0" w:line="74" w:lineRule="exact"/>
        <w:rPr>
          <w:sz w:val="20"/>
          <w:szCs w:val="20"/>
          <w:color w:val="auto"/>
        </w:rPr>
      </w:pPr>
    </w:p>
    <w:p>
      <w:pPr>
        <w:ind w:left="3213"/>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152"/>
          </w:cols>
          <w:pgMar w:left="307" w:top="256" w:right="1440" w:bottom="1440" w:gutter="0" w:footer="0" w:header="0"/>
        </w:sectPr>
      </w:pPr>
    </w:p>
    <w:bookmarkStart w:id="151" w:name="page152"/>
    <w:bookmarkEnd w:id="151"/>
    <w:p>
      <w:pPr>
        <w:ind w:left="168"/>
        <w:spacing w:after="0"/>
        <w:rPr>
          <w:sz w:val="20"/>
          <w:szCs w:val="20"/>
          <w:color w:val="auto"/>
        </w:rPr>
      </w:pPr>
      <w:r>
        <w:rPr>
          <w:rFonts w:ascii="Courier New" w:cs="Courier New" w:eastAsia="Courier New" w:hAnsi="Courier New"/>
          <w:sz w:val="14"/>
          <w:szCs w:val="14"/>
          <w:color w:val="auto"/>
        </w:rPr>
        <w:t>150</w:t>
      </w:r>
    </w:p>
    <w:p>
      <w:pPr>
        <w:spacing w:after="0" w:line="30" w:lineRule="exact"/>
        <w:rPr>
          <w:sz w:val="20"/>
          <w:szCs w:val="20"/>
          <w:color w:val="auto"/>
        </w:rPr>
      </w:pPr>
    </w:p>
    <w:p>
      <w:pPr>
        <w:ind w:left="508" w:right="4139"/>
        <w:spacing w:after="0" w:line="286" w:lineRule="auto"/>
        <w:rPr>
          <w:sz w:val="20"/>
          <w:szCs w:val="20"/>
          <w:color w:val="auto"/>
        </w:rPr>
      </w:pPr>
      <w:r>
        <w:rPr>
          <w:rFonts w:ascii="Courier New" w:cs="Courier New" w:eastAsia="Courier New" w:hAnsi="Courier New"/>
          <w:sz w:val="14"/>
          <w:szCs w:val="14"/>
          <w:color w:val="auto"/>
        </w:rPr>
        <w:t>The receivable from PMSI represents amounts loaned to PMSI on a short-term basis to fund construction costs of PMSI. The loan is non-interest bearing. Principal is due on demand.</w:t>
      </w:r>
    </w:p>
    <w:p>
      <w:pPr>
        <w:spacing w:after="0" w:line="222" w:lineRule="exact"/>
        <w:rPr>
          <w:sz w:val="20"/>
          <w:szCs w:val="20"/>
          <w:color w:val="auto"/>
        </w:rPr>
      </w:pPr>
    </w:p>
    <w:p>
      <w:pPr>
        <w:ind w:left="508" w:hanging="508"/>
        <w:spacing w:after="0"/>
        <w:tabs>
          <w:tab w:leader="none" w:pos="508"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TO SHAREHOLDERS</w:t>
      </w:r>
    </w:p>
    <w:p>
      <w:pPr>
        <w:spacing w:after="0" w:line="167" w:lineRule="exact"/>
        <w:rPr>
          <w:rFonts w:ascii="Courier New" w:cs="Courier New" w:eastAsia="Courier New" w:hAnsi="Courier New"/>
          <w:sz w:val="14"/>
          <w:szCs w:val="14"/>
          <w:color w:val="auto"/>
        </w:rPr>
      </w:pPr>
    </w:p>
    <w:p>
      <w:pPr>
        <w:ind w:left="508" w:right="335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as a REIT, cannot complete any taxable year with accumulated earnings and profits from a taxable corporation. Accordingly, the Company was required to distribute Old CCA's earnings and profits to which it succeeded in the 1999 Merger (the "Accumulated Earnings and Profits"). During the year ended December 31, 1999, the Company made $217.7 million of distributions related to its common stock and 8.0% Series A Cumulative Preferred Stock. For purposes of meeting the distribution requirements discussed above, $152.5 million of the total distributions in 1999 have been designated as distributions of the Accumulated Earnings and Profits. In addition to distributing the Accumulated Earnings and Profits, the Company, as a REIT, is also required to distribute 95% of its taxable income for 1999. Although dividends sufficient to distribute 95% of the Company's taxable income for 1999 have not been declared as of December 31, 1999, the Company currently intends to pay sufficient dividends either in cash or in securities to satisfy all distribution requirements for qualification as a REIT for 1999 and currently estimates that $143.7 million will be distributed in 2000 to meet this requirement. The Company is currently considering the exact timing and method of the payment of these required distributions. The Company may partially satisfy these requirements through the payment of a one-time special dividend (the "Special Dividend"). Certain provisions of the Amended Credit Facility restrict the Company's ability to pay these required distributions in cash. As of December 31, 1999, $2.2 million of distributions relating to the 8.0% Series A Cumulative Preferred Shares have been declared and accrued in the accompanying consolidated balance sheets. The remaining $141.5 million of distributions that must be paid to shareholders in 2000 in order for the Company to maintain its status as a REIT have not been declared by the Board of Directors and, accordingly, have not been accrued in the accompanying consolidated balance sheets. If the Company completes the Fortress/Blackstone Restructuring, as defined in Note 23, under its existing terms following required shareholder approval in 2000, the Company will be required to be taxed as a C corporation commencing with the taxable year ended December 31, 1999, and no further dividends would be paid on the Company's common stock.</w:t>
      </w:r>
    </w:p>
    <w:p>
      <w:pPr>
        <w:spacing w:after="0" w:line="96" w:lineRule="exact"/>
        <w:rPr>
          <w:rFonts w:ascii="Courier New" w:cs="Courier New" w:eastAsia="Courier New" w:hAnsi="Courier New"/>
          <w:sz w:val="14"/>
          <w:szCs w:val="14"/>
          <w:color w:val="auto"/>
        </w:rPr>
      </w:pPr>
    </w:p>
    <w:p>
      <w:pPr>
        <w:ind w:left="508" w:right="34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Company's failure to declare, prior to December 31, 1999, and failure to distribute, prior to January 31, 2000, dividends sufficient to distribute 95% of its taxable income for 1999, the Company is subject to excise taxes, which are currently estimated to be $7.1 million and which have been accrued as of December 31, 1999 in accounts payable and accrued expenses in the consolidated balance sheets.</w:t>
      </w:r>
    </w:p>
    <w:p>
      <w:pPr>
        <w:spacing w:after="0" w:line="71" w:lineRule="exact"/>
        <w:rPr>
          <w:sz w:val="20"/>
          <w:szCs w:val="20"/>
          <w:color w:val="auto"/>
        </w:rPr>
      </w:pPr>
    </w:p>
    <w:p>
      <w:pPr>
        <w:ind w:left="3128"/>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067"/>
          </w:cols>
          <w:pgMar w:left="392" w:top="257"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151</w:t>
      </w:r>
    </w:p>
    <w:p>
      <w:pPr>
        <w:spacing w:after="0" w:line="30" w:lineRule="exact"/>
        <w:rPr>
          <w:sz w:val="20"/>
          <w:szCs w:val="20"/>
          <w:color w:val="auto"/>
        </w:rPr>
      </w:pPr>
    </w:p>
    <w:p>
      <w:pPr>
        <w:ind w:right="3560" w:firstLine="594"/>
        <w:spacing w:after="0" w:line="327" w:lineRule="auto"/>
        <w:rPr>
          <w:sz w:val="20"/>
          <w:szCs w:val="20"/>
          <w:color w:val="auto"/>
        </w:rPr>
      </w:pPr>
      <w:r>
        <w:rPr>
          <w:rFonts w:ascii="Courier New" w:cs="Courier New" w:eastAsia="Courier New" w:hAnsi="Courier New"/>
          <w:sz w:val="14"/>
          <w:szCs w:val="14"/>
          <w:color w:val="auto"/>
        </w:rPr>
        <w:t>Quarterly distributions and the resulting tax classification for common stock distributions are as follows:</w:t>
      </w:r>
    </w:p>
    <w:p>
      <w:pPr>
        <w:spacing w:after="0" w:line="357" w:lineRule="exact"/>
        <w:rPr>
          <w:sz w:val="20"/>
          <w:szCs w:val="20"/>
          <w:color w:val="auto"/>
        </w:rPr>
      </w:pPr>
    </w:p>
    <w:p>
      <w:pPr>
        <w:ind w:left="860"/>
        <w:spacing w:after="0"/>
        <w:tabs>
          <w:tab w:leader="none" w:pos="2880" w:val="left"/>
          <w:tab w:leader="none" w:pos="4320" w:val="left"/>
          <w:tab w:leader="none" w:pos="5660" w:val="left"/>
          <w:tab w:leader="none" w:pos="7280" w:val="left"/>
          <w:tab w:leader="none" w:pos="8900" w:val="left"/>
        </w:tabs>
        <w:rPr>
          <w:sz w:val="20"/>
          <w:szCs w:val="20"/>
          <w:color w:val="auto"/>
        </w:rPr>
      </w:pPr>
      <w:r>
        <w:rPr>
          <w:rFonts w:ascii="Courier New" w:cs="Courier New" w:eastAsia="Courier New" w:hAnsi="Courier New"/>
          <w:sz w:val="14"/>
          <w:szCs w:val="14"/>
          <w:color w:val="auto"/>
        </w:rPr>
        <w:t>Declaration</w:t>
      </w:r>
      <w:r>
        <w:rPr>
          <w:sz w:val="20"/>
          <w:szCs w:val="20"/>
          <w:color w:val="auto"/>
        </w:rPr>
        <w:tab/>
      </w:r>
      <w:r>
        <w:rPr>
          <w:rFonts w:ascii="Courier New" w:cs="Courier New" w:eastAsia="Courier New" w:hAnsi="Courier New"/>
          <w:sz w:val="14"/>
          <w:szCs w:val="14"/>
          <w:color w:val="auto"/>
        </w:rPr>
        <w:t>Record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Distribution</w:t>
      </w:r>
      <w:r>
        <w:rPr>
          <w:sz w:val="20"/>
          <w:szCs w:val="20"/>
          <w:color w:val="auto"/>
        </w:rPr>
        <w:tab/>
      </w:r>
      <w:r>
        <w:rPr>
          <w:rFonts w:ascii="Courier New" w:cs="Courier New" w:eastAsia="Courier New" w:hAnsi="Courier New"/>
          <w:sz w:val="14"/>
          <w:szCs w:val="14"/>
          <w:color w:val="auto"/>
        </w:rPr>
        <w:t>Ordinary</w:t>
      </w:r>
      <w:r>
        <w:rPr>
          <w:sz w:val="20"/>
          <w:szCs w:val="20"/>
          <w:color w:val="auto"/>
        </w:rPr>
        <w:tab/>
      </w:r>
      <w:r>
        <w:rPr>
          <w:rFonts w:ascii="Courier New" w:cs="Courier New" w:eastAsia="Courier New" w:hAnsi="Courier New"/>
          <w:sz w:val="14"/>
          <w:szCs w:val="14"/>
          <w:color w:val="auto"/>
        </w:rPr>
        <w:t>Return of</w:t>
      </w:r>
    </w:p>
    <w:p>
      <w:pPr>
        <w:spacing w:after="0" w:line="30" w:lineRule="exact"/>
        <w:rPr>
          <w:sz w:val="20"/>
          <w:szCs w:val="20"/>
          <w:color w:val="auto"/>
        </w:rPr>
      </w:pPr>
    </w:p>
    <w:p>
      <w:pPr>
        <w:ind w:left="1100"/>
        <w:spacing w:after="0"/>
        <w:tabs>
          <w:tab w:leader="none" w:pos="2960" w:val="left"/>
          <w:tab w:leader="none" w:pos="4480" w:val="left"/>
          <w:tab w:leader="none" w:pos="5760" w:val="left"/>
          <w:tab w:leader="none" w:pos="7360" w:val="left"/>
          <w:tab w:leader="none" w:pos="898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3"/>
          <w:szCs w:val="13"/>
          <w:color w:val="auto"/>
        </w:rPr>
        <w:t>Capital</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 ----------------- ----------------- ----------------- -------------------</w:t>
      </w:r>
    </w:p>
    <w:p>
      <w:pPr>
        <w:spacing w:after="0" w:line="142" w:lineRule="exact"/>
        <w:rPr>
          <w:sz w:val="20"/>
          <w:szCs w:val="20"/>
          <w:color w:val="auto"/>
        </w:rPr>
      </w:pPr>
    </w:p>
    <w:tbl>
      <w:tblPr>
        <w:tblLayout w:type="fixed"/>
        <w:tblInd w:w="600" w:type="dxa"/>
        <w:tblCellMar>
          <w:top w:w="0" w:type="dxa"/>
          <w:left w:w="0" w:type="dxa"/>
          <w:bottom w:w="0" w:type="dxa"/>
          <w:right w:w="0" w:type="dxa"/>
        </w:tblCellMar>
      </w:tblPr>
      <w:tr>
        <w:trPr>
          <w:trHeight w:val="163"/>
        </w:trPr>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03/04/99</w:t>
            </w:r>
          </w:p>
        </w:tc>
        <w:tc>
          <w:tcPr>
            <w:tcW w:w="1600" w:type="dxa"/>
            <w:vAlign w:val="bottom"/>
          </w:tcPr>
          <w:p>
            <w:pPr>
              <w:jc w:val="center"/>
              <w:ind w:left="9"/>
              <w:spacing w:after="0"/>
              <w:rPr>
                <w:sz w:val="20"/>
                <w:szCs w:val="20"/>
                <w:color w:val="auto"/>
              </w:rPr>
            </w:pPr>
            <w:r>
              <w:rPr>
                <w:rFonts w:ascii="Courier New" w:cs="Courier New" w:eastAsia="Courier New" w:hAnsi="Courier New"/>
                <w:sz w:val="14"/>
                <w:szCs w:val="14"/>
                <w:color w:val="auto"/>
              </w:rPr>
              <w:t>03/19/99</w:t>
            </w:r>
          </w:p>
        </w:tc>
        <w:tc>
          <w:tcPr>
            <w:tcW w:w="144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03/31/99</w:t>
            </w:r>
          </w:p>
        </w:tc>
        <w:tc>
          <w:tcPr>
            <w:tcW w:w="170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$0.60</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100.0%</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0.0%</w:t>
            </w:r>
          </w:p>
        </w:tc>
      </w:tr>
      <w:tr>
        <w:trPr>
          <w:trHeight w:val="163"/>
        </w:trPr>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05/11/99</w:t>
            </w:r>
          </w:p>
        </w:tc>
        <w:tc>
          <w:tcPr>
            <w:tcW w:w="1600" w:type="dxa"/>
            <w:vAlign w:val="bottom"/>
          </w:tcPr>
          <w:p>
            <w:pPr>
              <w:jc w:val="center"/>
              <w:ind w:left="9"/>
              <w:spacing w:after="0"/>
              <w:rPr>
                <w:sz w:val="20"/>
                <w:szCs w:val="20"/>
                <w:color w:val="auto"/>
              </w:rPr>
            </w:pPr>
            <w:r>
              <w:rPr>
                <w:rFonts w:ascii="Courier New" w:cs="Courier New" w:eastAsia="Courier New" w:hAnsi="Courier New"/>
                <w:sz w:val="14"/>
                <w:szCs w:val="14"/>
                <w:color w:val="auto"/>
              </w:rPr>
              <w:t>06/18/99</w:t>
            </w:r>
          </w:p>
        </w:tc>
        <w:tc>
          <w:tcPr>
            <w:tcW w:w="144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06/30/99</w:t>
            </w:r>
          </w:p>
        </w:tc>
        <w:tc>
          <w:tcPr>
            <w:tcW w:w="170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0.60</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100.0%</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0.0%</w:t>
            </w:r>
          </w:p>
        </w:tc>
      </w:tr>
      <w:tr>
        <w:trPr>
          <w:trHeight w:val="238"/>
        </w:trPr>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08/27/99</w:t>
            </w:r>
          </w:p>
        </w:tc>
        <w:tc>
          <w:tcPr>
            <w:tcW w:w="1600" w:type="dxa"/>
            <w:vAlign w:val="bottom"/>
          </w:tcPr>
          <w:p>
            <w:pPr>
              <w:jc w:val="center"/>
              <w:ind w:left="9"/>
              <w:spacing w:after="0"/>
              <w:rPr>
                <w:sz w:val="20"/>
                <w:szCs w:val="20"/>
                <w:color w:val="auto"/>
              </w:rPr>
            </w:pPr>
            <w:r>
              <w:rPr>
                <w:rFonts w:ascii="Courier New" w:cs="Courier New" w:eastAsia="Courier New" w:hAnsi="Courier New"/>
                <w:sz w:val="14"/>
                <w:szCs w:val="14"/>
                <w:color w:val="auto"/>
              </w:rPr>
              <w:t>09/17/99</w:t>
            </w:r>
          </w:p>
        </w:tc>
        <w:tc>
          <w:tcPr>
            <w:tcW w:w="144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09/30/99</w:t>
            </w:r>
          </w:p>
        </w:tc>
        <w:tc>
          <w:tcPr>
            <w:tcW w:w="170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0.60</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100.0%</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0.0%</w:t>
            </w:r>
          </w:p>
        </w:tc>
      </w:tr>
      <w:tr>
        <w:trPr>
          <w:trHeight w:val="415"/>
        </w:trPr>
        <w:tc>
          <w:tcPr>
            <w:tcW w:w="6440" w:type="dxa"/>
            <w:vAlign w:val="bottom"/>
            <w:gridSpan w:val="4"/>
          </w:tcPr>
          <w:p>
            <w:pPr>
              <w:jc w:val="right"/>
              <w:ind w:right="169"/>
              <w:spacing w:after="0"/>
              <w:rPr>
                <w:sz w:val="20"/>
                <w:szCs w:val="20"/>
                <w:color w:val="auto"/>
              </w:rPr>
            </w:pPr>
            <w:r>
              <w:rPr>
                <w:rFonts w:ascii="Courier New" w:cs="Courier New" w:eastAsia="Courier New" w:hAnsi="Courier New"/>
                <w:sz w:val="14"/>
                <w:szCs w:val="14"/>
                <w:color w:val="auto"/>
              </w:rPr>
              <w:t>Quarterly distributions and the resulting tax classification for the 8.0%</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4740" w:type="dxa"/>
            <w:vAlign w:val="bottom"/>
            <w:gridSpan w:val="3"/>
          </w:tcPr>
          <w:p>
            <w:pPr>
              <w:jc w:val="right"/>
              <w:ind w:right="249"/>
              <w:spacing w:after="0"/>
              <w:rPr>
                <w:sz w:val="20"/>
                <w:szCs w:val="20"/>
                <w:color w:val="auto"/>
              </w:rPr>
            </w:pPr>
            <w:r>
              <w:rPr>
                <w:rFonts w:ascii="Courier New" w:cs="Courier New" w:eastAsia="Courier New" w:hAnsi="Courier New"/>
                <w:sz w:val="14"/>
                <w:szCs w:val="14"/>
                <w:color w:val="auto"/>
              </w:rPr>
              <w:t>Series A Cumulative Preferred Shares are as follows:</w:t>
            </w:r>
          </w:p>
        </w:tc>
        <w:tc>
          <w:tcPr>
            <w:tcW w:w="1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578"/>
        </w:trPr>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Declaration</w:t>
            </w:r>
          </w:p>
        </w:tc>
        <w:tc>
          <w:tcPr>
            <w:tcW w:w="1600" w:type="dxa"/>
            <w:vAlign w:val="bottom"/>
          </w:tcPr>
          <w:p>
            <w:pPr>
              <w:jc w:val="center"/>
              <w:ind w:left="29"/>
              <w:spacing w:after="0"/>
              <w:rPr>
                <w:sz w:val="20"/>
                <w:szCs w:val="20"/>
                <w:color w:val="auto"/>
              </w:rPr>
            </w:pPr>
            <w:r>
              <w:rPr>
                <w:rFonts w:ascii="Courier New" w:cs="Courier New" w:eastAsia="Courier New" w:hAnsi="Courier New"/>
                <w:sz w:val="14"/>
                <w:szCs w:val="14"/>
                <w:color w:val="auto"/>
                <w:w w:val="99"/>
              </w:rPr>
              <w:t>Record</w:t>
            </w:r>
          </w:p>
        </w:tc>
        <w:tc>
          <w:tcPr>
            <w:tcW w:w="14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Payment</w:t>
            </w:r>
          </w:p>
        </w:tc>
        <w:tc>
          <w:tcPr>
            <w:tcW w:w="17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Distribution</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Ordinary</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Return of</w:t>
            </w:r>
          </w:p>
        </w:tc>
      </w:tr>
      <w:tr>
        <w:trPr>
          <w:trHeight w:val="189"/>
        </w:trPr>
        <w:tc>
          <w:tcPr>
            <w:tcW w:w="170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Date</w:t>
            </w:r>
          </w:p>
        </w:tc>
        <w:tc>
          <w:tcPr>
            <w:tcW w:w="1600" w:type="dxa"/>
            <w:vAlign w:val="bottom"/>
          </w:tcPr>
          <w:p>
            <w:pPr>
              <w:jc w:val="center"/>
              <w:ind w:left="29"/>
              <w:spacing w:after="0"/>
              <w:rPr>
                <w:sz w:val="20"/>
                <w:szCs w:val="20"/>
                <w:color w:val="auto"/>
              </w:rPr>
            </w:pPr>
            <w:r>
              <w:rPr>
                <w:rFonts w:ascii="Courier New" w:cs="Courier New" w:eastAsia="Courier New" w:hAnsi="Courier New"/>
                <w:sz w:val="14"/>
                <w:szCs w:val="14"/>
                <w:color w:val="auto"/>
              </w:rPr>
              <w:t>Date</w:t>
            </w:r>
          </w:p>
        </w:tc>
        <w:tc>
          <w:tcPr>
            <w:tcW w:w="14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Date</w:t>
            </w:r>
          </w:p>
        </w:tc>
        <w:tc>
          <w:tcPr>
            <w:tcW w:w="17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Per Share</w:t>
            </w:r>
          </w:p>
        </w:tc>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Income</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Capital</w:t>
            </w:r>
          </w:p>
        </w:tc>
      </w:tr>
    </w:tbl>
    <w:p>
      <w:pPr>
        <w:ind w:left="600"/>
        <w:spacing w:after="0"/>
        <w:rPr>
          <w:sz w:val="20"/>
          <w:szCs w:val="20"/>
          <w:color w:val="auto"/>
        </w:rPr>
      </w:pPr>
      <w:r>
        <w:rPr>
          <w:rFonts w:ascii="Courier New" w:cs="Courier New" w:eastAsia="Courier New" w:hAnsi="Courier New"/>
          <w:sz w:val="14"/>
          <w:szCs w:val="14"/>
          <w:color w:val="auto"/>
        </w:rPr>
        <w:t>---------------------- ---------------- ----------------- ----------------- ----------------- -------------------</w:t>
      </w:r>
    </w:p>
    <w:p>
      <w:pPr>
        <w:spacing w:after="0" w:line="142" w:lineRule="exact"/>
        <w:rPr>
          <w:sz w:val="20"/>
          <w:szCs w:val="20"/>
          <w:color w:val="auto"/>
        </w:rPr>
      </w:pPr>
    </w:p>
    <w:tbl>
      <w:tblPr>
        <w:tblLayout w:type="fixed"/>
        <w:tblInd w:w="1100" w:type="dxa"/>
        <w:tblCellMar>
          <w:top w:w="0" w:type="dxa"/>
          <w:left w:w="0" w:type="dxa"/>
          <w:bottom w:w="0" w:type="dxa"/>
          <w:right w:w="0" w:type="dxa"/>
        </w:tblCellMar>
      </w:tblPr>
      <w:tr>
        <w:trPr>
          <w:trHeight w:val="163"/>
        </w:trPr>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8"/>
              </w:rPr>
              <w:t>03/04/99</w:t>
            </w:r>
          </w:p>
        </w:tc>
        <w:tc>
          <w:tcPr>
            <w:tcW w:w="16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03/31/99</w:t>
            </w:r>
          </w:p>
        </w:tc>
        <w:tc>
          <w:tcPr>
            <w:tcW w:w="14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04/15/99</w:t>
            </w:r>
          </w:p>
        </w:tc>
        <w:tc>
          <w:tcPr>
            <w:tcW w:w="14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$0.50</w:t>
            </w:r>
          </w:p>
        </w:tc>
        <w:tc>
          <w:tcPr>
            <w:tcW w:w="168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3"/>
        </w:trPr>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8"/>
              </w:rPr>
              <w:t>05/11/99</w:t>
            </w:r>
          </w:p>
        </w:tc>
        <w:tc>
          <w:tcPr>
            <w:tcW w:w="16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06/30/99</w:t>
            </w:r>
          </w:p>
        </w:tc>
        <w:tc>
          <w:tcPr>
            <w:tcW w:w="14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07/15/99</w:t>
            </w:r>
          </w:p>
        </w:tc>
        <w:tc>
          <w:tcPr>
            <w:tcW w:w="14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0.50</w:t>
            </w:r>
          </w:p>
        </w:tc>
        <w:tc>
          <w:tcPr>
            <w:tcW w:w="168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3"/>
        </w:trPr>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8"/>
              </w:rPr>
              <w:t>08/27/99</w:t>
            </w:r>
          </w:p>
        </w:tc>
        <w:tc>
          <w:tcPr>
            <w:tcW w:w="16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09/30/99</w:t>
            </w:r>
          </w:p>
        </w:tc>
        <w:tc>
          <w:tcPr>
            <w:tcW w:w="14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10/15/99</w:t>
            </w:r>
          </w:p>
        </w:tc>
        <w:tc>
          <w:tcPr>
            <w:tcW w:w="14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0.50</w:t>
            </w:r>
          </w:p>
        </w:tc>
        <w:tc>
          <w:tcPr>
            <w:tcW w:w="168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238"/>
        </w:trPr>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8"/>
              </w:rPr>
              <w:t>12/22/99</w:t>
            </w:r>
          </w:p>
        </w:tc>
        <w:tc>
          <w:tcPr>
            <w:tcW w:w="16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12/31/99</w:t>
            </w:r>
          </w:p>
        </w:tc>
        <w:tc>
          <w:tcPr>
            <w:tcW w:w="14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01/15/00</w:t>
            </w:r>
          </w:p>
        </w:tc>
        <w:tc>
          <w:tcPr>
            <w:tcW w:w="14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0.50</w:t>
            </w:r>
          </w:p>
        </w:tc>
        <w:tc>
          <w:tcPr>
            <w:tcW w:w="168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815"/>
        </w:trPr>
        <w:tc>
          <w:tcPr>
            <w:tcW w:w="1200" w:type="dxa"/>
            <w:vAlign w:val="bottom"/>
          </w:tcPr>
          <w:p>
            <w:pPr>
              <w:spacing w:after="0"/>
              <w:rPr>
                <w:sz w:val="24"/>
                <w:szCs w:val="24"/>
                <w:color w:val="auto"/>
              </w:rPr>
            </w:pPr>
          </w:p>
        </w:tc>
        <w:tc>
          <w:tcPr>
            <w:tcW w:w="16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F-33</w:t>
            </w: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180"/>
          </w:cols>
          <w:pgMar w:left="300" w:top="257" w:right="1419" w:bottom="1440" w:gutter="0" w:footer="0" w:header="0"/>
        </w:sectPr>
      </w:pPr>
    </w:p>
    <w:bookmarkStart w:id="153" w:name="page154"/>
    <w:bookmarkEnd w:id="153"/>
    <w:p>
      <w:pPr>
        <w:ind w:left="160"/>
        <w:spacing w:after="0"/>
        <w:rPr>
          <w:sz w:val="20"/>
          <w:szCs w:val="20"/>
          <w:color w:val="auto"/>
        </w:rPr>
      </w:pPr>
      <w:r>
        <w:rPr>
          <w:rFonts w:ascii="Courier New" w:cs="Courier New" w:eastAsia="Courier New" w:hAnsi="Courier New"/>
          <w:sz w:val="14"/>
          <w:szCs w:val="14"/>
          <w:color w:val="auto"/>
        </w:rPr>
        <w:t>152</w:t>
      </w:r>
    </w:p>
    <w:p>
      <w:pPr>
        <w:spacing w:after="0" w:line="3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DEBT</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r>
              <w:rPr>
                <w:rFonts w:ascii="Courier New" w:cs="Courier New" w:eastAsia="Courier New" w:hAnsi="Courier New"/>
                <w:sz w:val="14"/>
                <w:szCs w:val="14"/>
                <w:color w:val="auto"/>
              </w:rPr>
              <w:t>Long-term debt consists of the following:</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8"/>
        </w:trPr>
        <w:tc>
          <w:tcPr>
            <w:tcW w:w="6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4"/>
                <w:szCs w:val="14"/>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spacing w:after="0"/>
              <w:rPr>
                <w:sz w:val="14"/>
                <w:szCs w:val="14"/>
                <w:color w:val="auto"/>
              </w:rPr>
            </w:pP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15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8"/>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6200" w:type="dxa"/>
            <w:vAlign w:val="bottom"/>
          </w:tcPr>
          <w:p>
            <w:pPr>
              <w:ind w:left="500"/>
              <w:spacing w:after="0"/>
              <w:rPr>
                <w:sz w:val="20"/>
                <w:szCs w:val="20"/>
                <w:color w:val="auto"/>
              </w:rPr>
            </w:pPr>
            <w:r>
              <w:rPr>
                <w:rFonts w:ascii="Courier New" w:cs="Courier New" w:eastAsia="Courier New" w:hAnsi="Courier New"/>
                <w:sz w:val="14"/>
                <w:szCs w:val="14"/>
                <w:color w:val="auto"/>
              </w:rPr>
              <w:t>Amended Credit Facility, principal payable quarterly with remaining</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6200" w:type="dxa"/>
            <w:vAlign w:val="bottom"/>
          </w:tcPr>
          <w:p>
            <w:pPr>
              <w:ind w:left="760"/>
              <w:spacing w:after="0"/>
              <w:rPr>
                <w:sz w:val="20"/>
                <w:szCs w:val="20"/>
                <w:color w:val="auto"/>
              </w:rPr>
            </w:pPr>
            <w:r>
              <w:rPr>
                <w:rFonts w:ascii="Courier New" w:cs="Courier New" w:eastAsia="Courier New" w:hAnsi="Courier New"/>
                <w:sz w:val="14"/>
                <w:szCs w:val="14"/>
                <w:color w:val="auto"/>
              </w:rPr>
              <w:t>unpaid balances due at maturity in 2002, interest payable</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00" w:type="dxa"/>
            <w:vAlign w:val="bottom"/>
          </w:tcPr>
          <w:p>
            <w:pPr>
              <w:ind w:left="760"/>
              <w:spacing w:after="0"/>
              <w:rPr>
                <w:sz w:val="20"/>
                <w:szCs w:val="20"/>
                <w:color w:val="auto"/>
              </w:rPr>
            </w:pPr>
            <w:r>
              <w:rPr>
                <w:rFonts w:ascii="Courier New" w:cs="Courier New" w:eastAsia="Courier New" w:hAnsi="Courier New"/>
                <w:sz w:val="14"/>
                <w:szCs w:val="14"/>
                <w:color w:val="auto"/>
              </w:rPr>
              <w:t>periodically at a variable rate (10.0% at December</w:t>
            </w:r>
          </w:p>
        </w:tc>
        <w:tc>
          <w:tcPr>
            <w:tcW w:w="2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928,234</w:t>
            </w:r>
          </w:p>
        </w:tc>
        <w:tc>
          <w:tcPr>
            <w:tcW w:w="6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00" w:type="dxa"/>
            <w:vAlign w:val="bottom"/>
          </w:tcPr>
          <w:p>
            <w:pPr>
              <w:ind w:left="760"/>
              <w:spacing w:after="0"/>
              <w:rPr>
                <w:sz w:val="20"/>
                <w:szCs w:val="20"/>
                <w:color w:val="auto"/>
              </w:rPr>
            </w:pPr>
            <w:r>
              <w:rPr>
                <w:rFonts w:ascii="Courier New" w:cs="Courier New" w:eastAsia="Courier New" w:hAnsi="Courier New"/>
                <w:sz w:val="14"/>
                <w:szCs w:val="14"/>
                <w:color w:val="auto"/>
              </w:rPr>
              <w:t>31, 1999)</w:t>
            </w:r>
          </w:p>
        </w:tc>
        <w:tc>
          <w:tcPr>
            <w:tcW w:w="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00" w:type="dxa"/>
            <w:vAlign w:val="bottom"/>
          </w:tcPr>
          <w:p>
            <w:pPr>
              <w:ind w:left="500"/>
              <w:spacing w:after="0"/>
              <w:rPr>
                <w:sz w:val="20"/>
                <w:szCs w:val="20"/>
                <w:color w:val="auto"/>
              </w:rPr>
            </w:pPr>
            <w:r>
              <w:rPr>
                <w:rFonts w:ascii="Courier New" w:cs="Courier New" w:eastAsia="Courier New" w:hAnsi="Courier New"/>
                <w:sz w:val="14"/>
                <w:szCs w:val="14"/>
                <w:color w:val="auto"/>
              </w:rPr>
              <w:t>Senior Notes, principal due at maturity in June 2006, interest</w:t>
            </w:r>
          </w:p>
        </w:tc>
        <w:tc>
          <w:tcPr>
            <w:tcW w:w="240" w:type="dxa"/>
            <w:vAlign w:val="bottom"/>
          </w:tcPr>
          <w:p>
            <w:pPr>
              <w:spacing w:after="0"/>
              <w:rPr>
                <w:sz w:val="14"/>
                <w:szCs w:val="14"/>
                <w:color w:val="auto"/>
              </w:rPr>
            </w:pPr>
          </w:p>
        </w:tc>
        <w:tc>
          <w:tcPr>
            <w:tcW w:w="12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100,000</w:t>
            </w:r>
          </w:p>
        </w:tc>
        <w:tc>
          <w:tcPr>
            <w:tcW w:w="6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00" w:type="dxa"/>
            <w:vAlign w:val="bottom"/>
          </w:tcPr>
          <w:p>
            <w:pPr>
              <w:ind w:left="760"/>
              <w:spacing w:after="0"/>
              <w:rPr>
                <w:sz w:val="20"/>
                <w:szCs w:val="20"/>
                <w:color w:val="auto"/>
              </w:rPr>
            </w:pPr>
            <w:r>
              <w:rPr>
                <w:rFonts w:ascii="Courier New" w:cs="Courier New" w:eastAsia="Courier New" w:hAnsi="Courier New"/>
                <w:sz w:val="14"/>
                <w:szCs w:val="14"/>
                <w:color w:val="auto"/>
              </w:rPr>
              <w:t>payable semi-annually at 12%</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00" w:type="dxa"/>
            <w:vAlign w:val="bottom"/>
          </w:tcPr>
          <w:p>
            <w:pPr>
              <w:ind w:left="500"/>
              <w:spacing w:after="0"/>
              <w:rPr>
                <w:sz w:val="20"/>
                <w:szCs w:val="20"/>
                <w:color w:val="auto"/>
              </w:rPr>
            </w:pPr>
            <w:r>
              <w:rPr>
                <w:rFonts w:ascii="Courier New" w:cs="Courier New" w:eastAsia="Courier New" w:hAnsi="Courier New"/>
                <w:sz w:val="14"/>
                <w:szCs w:val="14"/>
                <w:color w:val="auto"/>
              </w:rPr>
              <w:t>9.5% Convertible Subordinated Notes, principal due at maturity</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200" w:type="dxa"/>
            <w:vAlign w:val="bottom"/>
          </w:tcPr>
          <w:p>
            <w:pPr>
              <w:ind w:left="760"/>
              <w:spacing w:after="0"/>
              <w:rPr>
                <w:sz w:val="20"/>
                <w:szCs w:val="20"/>
                <w:color w:val="auto"/>
              </w:rPr>
            </w:pPr>
            <w:r>
              <w:rPr>
                <w:rFonts w:ascii="Courier New" w:cs="Courier New" w:eastAsia="Courier New" w:hAnsi="Courier New"/>
                <w:sz w:val="14"/>
                <w:szCs w:val="14"/>
                <w:color w:val="auto"/>
              </w:rPr>
              <w:t>in December 2008, interest payable semi-annually at 9.5%</w:t>
            </w:r>
          </w:p>
        </w:tc>
        <w:tc>
          <w:tcPr>
            <w:tcW w:w="240" w:type="dxa"/>
            <w:vAlign w:val="bottom"/>
          </w:tcPr>
          <w:p>
            <w:pPr>
              <w:spacing w:after="0"/>
              <w:rPr>
                <w:sz w:val="20"/>
                <w:szCs w:val="20"/>
                <w:color w:val="auto"/>
              </w:rPr>
            </w:pPr>
          </w:p>
        </w:tc>
        <w:tc>
          <w:tcPr>
            <w:tcW w:w="12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40,000</w:t>
            </w:r>
          </w:p>
        </w:tc>
        <w:tc>
          <w:tcPr>
            <w:tcW w:w="60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20,000</w:t>
            </w:r>
          </w:p>
        </w:tc>
        <w:tc>
          <w:tcPr>
            <w:tcW w:w="0" w:type="dxa"/>
            <w:vAlign w:val="bottom"/>
          </w:tcPr>
          <w:p>
            <w:pPr>
              <w:spacing w:after="0"/>
              <w:rPr>
                <w:sz w:val="1"/>
                <w:szCs w:val="1"/>
                <w:color w:val="auto"/>
              </w:rPr>
            </w:pPr>
          </w:p>
        </w:tc>
      </w:tr>
      <w:tr>
        <w:trPr>
          <w:trHeight w:val="163"/>
        </w:trPr>
        <w:tc>
          <w:tcPr>
            <w:tcW w:w="6200" w:type="dxa"/>
            <w:vAlign w:val="bottom"/>
            <w:vMerge w:val="restart"/>
          </w:tcPr>
          <w:p>
            <w:pPr>
              <w:ind w:left="500"/>
              <w:spacing w:after="0"/>
              <w:rPr>
                <w:sz w:val="20"/>
                <w:szCs w:val="20"/>
                <w:color w:val="auto"/>
              </w:rPr>
            </w:pPr>
            <w:r>
              <w:rPr>
                <w:rFonts w:ascii="Courier New" w:cs="Courier New" w:eastAsia="Courier New" w:hAnsi="Courier New"/>
                <w:sz w:val="14"/>
                <w:szCs w:val="14"/>
                <w:color w:val="auto"/>
              </w:rPr>
              <w:t>7.5% Convertible Subordinated Notes, principal due at maturity in</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2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200" w:type="dxa"/>
            <w:vAlign w:val="bottom"/>
          </w:tcPr>
          <w:p>
            <w:pPr>
              <w:ind w:left="760"/>
              <w:spacing w:after="0"/>
              <w:rPr>
                <w:sz w:val="20"/>
                <w:szCs w:val="20"/>
                <w:color w:val="auto"/>
              </w:rPr>
            </w:pPr>
            <w:r>
              <w:rPr>
                <w:rFonts w:ascii="Courier New" w:cs="Courier New" w:eastAsia="Courier New" w:hAnsi="Courier New"/>
                <w:sz w:val="14"/>
                <w:szCs w:val="14"/>
                <w:color w:val="auto"/>
              </w:rPr>
              <w:t>February 2005 with call provisions beginning in February 2003,</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200" w:type="dxa"/>
            <w:vAlign w:val="bottom"/>
          </w:tcPr>
          <w:p>
            <w:pPr>
              <w:ind w:left="760"/>
              <w:spacing w:after="0"/>
              <w:rPr>
                <w:sz w:val="20"/>
                <w:szCs w:val="20"/>
                <w:color w:val="auto"/>
              </w:rPr>
            </w:pPr>
            <w:r>
              <w:rPr>
                <w:rFonts w:ascii="Courier New" w:cs="Courier New" w:eastAsia="Courier New" w:hAnsi="Courier New"/>
                <w:sz w:val="14"/>
                <w:szCs w:val="14"/>
                <w:color w:val="auto"/>
              </w:rPr>
              <w:t>interest payable quarterly at 7.5%</w:t>
            </w:r>
          </w:p>
        </w:tc>
        <w:tc>
          <w:tcPr>
            <w:tcW w:w="240" w:type="dxa"/>
            <w:vAlign w:val="bottom"/>
          </w:tcPr>
          <w:p>
            <w:pPr>
              <w:spacing w:after="0"/>
              <w:rPr>
                <w:sz w:val="20"/>
                <w:szCs w:val="20"/>
                <w:color w:val="auto"/>
              </w:rPr>
            </w:pPr>
          </w:p>
        </w:tc>
        <w:tc>
          <w:tcPr>
            <w:tcW w:w="12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30,000</w:t>
            </w:r>
          </w:p>
        </w:tc>
        <w:tc>
          <w:tcPr>
            <w:tcW w:w="60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30,000</w:t>
            </w:r>
          </w:p>
        </w:tc>
        <w:tc>
          <w:tcPr>
            <w:tcW w:w="0" w:type="dxa"/>
            <w:vAlign w:val="bottom"/>
          </w:tcPr>
          <w:p>
            <w:pPr>
              <w:spacing w:after="0"/>
              <w:rPr>
                <w:sz w:val="1"/>
                <w:szCs w:val="1"/>
                <w:color w:val="auto"/>
              </w:rPr>
            </w:pPr>
          </w:p>
        </w:tc>
      </w:tr>
      <w:tr>
        <w:trPr>
          <w:trHeight w:val="163"/>
        </w:trPr>
        <w:tc>
          <w:tcPr>
            <w:tcW w:w="6200" w:type="dxa"/>
            <w:vAlign w:val="bottom"/>
            <w:vMerge w:val="restart"/>
          </w:tcPr>
          <w:p>
            <w:pPr>
              <w:ind w:left="500"/>
              <w:spacing w:after="0"/>
              <w:rPr>
                <w:sz w:val="20"/>
                <w:szCs w:val="20"/>
                <w:color w:val="auto"/>
              </w:rPr>
            </w:pPr>
            <w:r>
              <w:rPr>
                <w:rFonts w:ascii="Courier New" w:cs="Courier New" w:eastAsia="Courier New" w:hAnsi="Courier New"/>
                <w:sz w:val="14"/>
                <w:szCs w:val="14"/>
                <w:color w:val="auto"/>
              </w:rPr>
              <w:t>Old CCA Revolving Credit Facility payable to a group of banks,</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2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222,000</w:t>
            </w:r>
          </w:p>
        </w:tc>
        <w:tc>
          <w:tcPr>
            <w:tcW w:w="0" w:type="dxa"/>
            <w:vAlign w:val="bottom"/>
          </w:tcPr>
          <w:p>
            <w:pPr>
              <w:spacing w:after="0"/>
              <w:rPr>
                <w:sz w:val="1"/>
                <w:szCs w:val="1"/>
                <w:color w:val="auto"/>
              </w:rPr>
            </w:pPr>
          </w:p>
        </w:tc>
      </w:tr>
      <w:tr>
        <w:trPr>
          <w:trHeight w:val="163"/>
        </w:trPr>
        <w:tc>
          <w:tcPr>
            <w:tcW w:w="6200" w:type="dxa"/>
            <w:vAlign w:val="bottom"/>
          </w:tcPr>
          <w:p>
            <w:pPr>
              <w:ind w:left="760"/>
              <w:spacing w:after="0"/>
              <w:rPr>
                <w:sz w:val="20"/>
                <w:szCs w:val="20"/>
                <w:color w:val="auto"/>
              </w:rPr>
            </w:pPr>
            <w:r>
              <w:rPr>
                <w:rFonts w:ascii="Courier New" w:cs="Courier New" w:eastAsia="Courier New" w:hAnsi="Courier New"/>
                <w:sz w:val="14"/>
                <w:szCs w:val="14"/>
                <w:color w:val="auto"/>
              </w:rPr>
              <w:t>interest at a variable rate, repaid in 1999</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00" w:type="dxa"/>
            <w:vAlign w:val="bottom"/>
          </w:tcPr>
          <w:p>
            <w:pPr>
              <w:ind w:left="500"/>
              <w:spacing w:after="0"/>
              <w:rPr>
                <w:sz w:val="20"/>
                <w:szCs w:val="20"/>
                <w:color w:val="auto"/>
              </w:rPr>
            </w:pPr>
            <w:r>
              <w:rPr>
                <w:rFonts w:ascii="Courier New" w:cs="Courier New" w:eastAsia="Courier New" w:hAnsi="Courier New"/>
                <w:sz w:val="14"/>
                <w:szCs w:val="14"/>
                <w:color w:val="auto"/>
              </w:rPr>
              <w:t>Convertible Subordinated Notes, interest at 7.5%, converted in</w:t>
            </w:r>
          </w:p>
        </w:tc>
        <w:tc>
          <w:tcPr>
            <w:tcW w:w="240" w:type="dxa"/>
            <w:vAlign w:val="bottom"/>
          </w:tcPr>
          <w:p>
            <w:pPr>
              <w:spacing w:after="0"/>
              <w:rPr>
                <w:sz w:val="14"/>
                <w:szCs w:val="14"/>
                <w:color w:val="auto"/>
              </w:rPr>
            </w:pPr>
          </w:p>
        </w:tc>
        <w:tc>
          <w:tcPr>
            <w:tcW w:w="12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20,000</w:t>
            </w:r>
          </w:p>
        </w:tc>
        <w:tc>
          <w:tcPr>
            <w:tcW w:w="0" w:type="dxa"/>
            <w:vAlign w:val="bottom"/>
          </w:tcPr>
          <w:p>
            <w:pPr>
              <w:spacing w:after="0"/>
              <w:rPr>
                <w:sz w:val="1"/>
                <w:szCs w:val="1"/>
                <w:color w:val="auto"/>
              </w:rPr>
            </w:pPr>
          </w:p>
        </w:tc>
      </w:tr>
      <w:tr>
        <w:trPr>
          <w:trHeight w:val="163"/>
        </w:trPr>
        <w:tc>
          <w:tcPr>
            <w:tcW w:w="6200" w:type="dxa"/>
            <w:vAlign w:val="bottom"/>
          </w:tcPr>
          <w:p>
            <w:pPr>
              <w:ind w:left="760"/>
              <w:spacing w:after="0"/>
              <w:rPr>
                <w:sz w:val="20"/>
                <w:szCs w:val="20"/>
                <w:color w:val="auto"/>
              </w:rPr>
            </w:pPr>
            <w:r>
              <w:rPr>
                <w:rFonts w:ascii="Courier New" w:cs="Courier New" w:eastAsia="Courier New" w:hAnsi="Courier New"/>
                <w:sz w:val="14"/>
                <w:szCs w:val="14"/>
                <w:color w:val="auto"/>
              </w:rPr>
              <w:t>1999</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00" w:type="dxa"/>
            <w:vAlign w:val="bottom"/>
          </w:tcPr>
          <w:p>
            <w:pPr>
              <w:ind w:left="500"/>
              <w:spacing w:after="0"/>
              <w:rPr>
                <w:sz w:val="20"/>
                <w:szCs w:val="20"/>
                <w:color w:val="auto"/>
              </w:rPr>
            </w:pPr>
            <w:r>
              <w:rPr>
                <w:rFonts w:ascii="Courier New" w:cs="Courier New" w:eastAsia="Courier New" w:hAnsi="Courier New"/>
                <w:sz w:val="14"/>
                <w:szCs w:val="14"/>
                <w:color w:val="auto"/>
              </w:rPr>
              <w:t>Convertible Subordinated Notes, interest at 8.5%, converted in</w:t>
            </w:r>
          </w:p>
        </w:tc>
        <w:tc>
          <w:tcPr>
            <w:tcW w:w="240" w:type="dxa"/>
            <w:vAlign w:val="bottom"/>
          </w:tcPr>
          <w:p>
            <w:pPr>
              <w:spacing w:after="0"/>
              <w:rPr>
                <w:sz w:val="14"/>
                <w:szCs w:val="14"/>
                <w:color w:val="auto"/>
              </w:rPr>
            </w:pPr>
          </w:p>
        </w:tc>
        <w:tc>
          <w:tcPr>
            <w:tcW w:w="12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7,000</w:t>
            </w:r>
          </w:p>
        </w:tc>
        <w:tc>
          <w:tcPr>
            <w:tcW w:w="0" w:type="dxa"/>
            <w:vAlign w:val="bottom"/>
          </w:tcPr>
          <w:p>
            <w:pPr>
              <w:spacing w:after="0"/>
              <w:rPr>
                <w:sz w:val="1"/>
                <w:szCs w:val="1"/>
                <w:color w:val="auto"/>
              </w:rPr>
            </w:pPr>
          </w:p>
        </w:tc>
      </w:tr>
      <w:tr>
        <w:trPr>
          <w:trHeight w:val="163"/>
        </w:trPr>
        <w:tc>
          <w:tcPr>
            <w:tcW w:w="6200" w:type="dxa"/>
            <w:vAlign w:val="bottom"/>
          </w:tcPr>
          <w:p>
            <w:pPr>
              <w:ind w:left="760"/>
              <w:spacing w:after="0"/>
              <w:rPr>
                <w:sz w:val="20"/>
                <w:szCs w:val="20"/>
                <w:color w:val="auto"/>
              </w:rPr>
            </w:pPr>
            <w:r>
              <w:rPr>
                <w:rFonts w:ascii="Courier New" w:cs="Courier New" w:eastAsia="Courier New" w:hAnsi="Courier New"/>
                <w:sz w:val="14"/>
                <w:szCs w:val="14"/>
                <w:color w:val="auto"/>
              </w:rPr>
              <w:t>1999</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00" w:type="dxa"/>
            <w:vAlign w:val="bottom"/>
          </w:tcPr>
          <w:p>
            <w:pPr>
              <w:ind w:left="500"/>
              <w:spacing w:after="0"/>
              <w:rPr>
                <w:sz w:val="20"/>
                <w:szCs w:val="20"/>
                <w:color w:val="auto"/>
              </w:rPr>
            </w:pPr>
            <w:r>
              <w:rPr>
                <w:rFonts w:ascii="Courier New" w:cs="Courier New" w:eastAsia="Courier New" w:hAnsi="Courier New"/>
                <w:sz w:val="14"/>
                <w:szCs w:val="14"/>
                <w:color w:val="auto"/>
              </w:rPr>
              <w:t>Other</w:t>
            </w:r>
          </w:p>
        </w:tc>
        <w:tc>
          <w:tcPr>
            <w:tcW w:w="240" w:type="dxa"/>
            <w:vAlign w:val="bottom"/>
          </w:tcPr>
          <w:p>
            <w:pPr>
              <w:spacing w:after="0"/>
              <w:rPr>
                <w:sz w:val="14"/>
                <w:szCs w:val="14"/>
                <w:color w:val="auto"/>
              </w:rPr>
            </w:pP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757</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833</w:t>
            </w: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4"/>
                <w:szCs w:val="14"/>
                <w:color w:val="auto"/>
              </w:rPr>
            </w:pPr>
          </w:p>
        </w:tc>
        <w:tc>
          <w:tcPr>
            <w:tcW w:w="15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8"/>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1,098,991</w:t>
            </w:r>
          </w:p>
        </w:tc>
        <w:tc>
          <w:tcPr>
            <w:tcW w:w="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299,833</w:t>
            </w: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15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8"/>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THE CREDIT FACILITY AND AMENDED CREDIT FACILITY</w:t>
      </w:r>
    </w:p>
    <w:p>
      <w:pPr>
        <w:spacing w:after="0" w:line="168" w:lineRule="exact"/>
        <w:rPr>
          <w:sz w:val="20"/>
          <w:szCs w:val="20"/>
          <w:color w:val="auto"/>
        </w:rPr>
      </w:pPr>
    </w:p>
    <w:p>
      <w:pPr>
        <w:ind w:left="500" w:right="3359"/>
        <w:spacing w:after="0" w:line="260" w:lineRule="auto"/>
        <w:rPr>
          <w:sz w:val="20"/>
          <w:szCs w:val="20"/>
          <w:color w:val="auto"/>
        </w:rPr>
      </w:pPr>
      <w:r>
        <w:rPr>
          <w:rFonts w:ascii="Courier New" w:cs="Courier New" w:eastAsia="Courier New" w:hAnsi="Courier New"/>
          <w:sz w:val="14"/>
          <w:szCs w:val="14"/>
          <w:color w:val="auto"/>
        </w:rPr>
        <w:t>At December 31, 1998, the Company was successor to Old CCA's outstanding revolving credit borrowings of $222.0 million under a revolving credit facility providing for borrowings up to $350.0 million. The facility bore interest at the bank's prime rate or LIBOR plus 1.25%. In connection with the merger transactions and divestitures discussed in Note 3, PMSI and JJFMSI each assumed $5.0 million of debt related to the Company's revolving credit facility. In January 1999, PMSI and JJFMSI repaid their portions of the outstanding debt balance. Old CCA's revolving credit facility was replaced on January 1, 1999 with a new credit facility discussed below.</w:t>
      </w:r>
    </w:p>
    <w:p>
      <w:pPr>
        <w:spacing w:after="0" w:line="76" w:lineRule="exact"/>
        <w:rPr>
          <w:sz w:val="20"/>
          <w:szCs w:val="20"/>
          <w:color w:val="auto"/>
        </w:rPr>
      </w:pPr>
    </w:p>
    <w:p>
      <w:pPr>
        <w:ind w:left="500" w:right="3359"/>
        <w:spacing w:after="0" w:line="256" w:lineRule="auto"/>
        <w:rPr>
          <w:sz w:val="20"/>
          <w:szCs w:val="20"/>
          <w:color w:val="auto"/>
        </w:rPr>
      </w:pPr>
      <w:r>
        <w:rPr>
          <w:rFonts w:ascii="Courier New" w:cs="Courier New" w:eastAsia="Courier New" w:hAnsi="Courier New"/>
          <w:sz w:val="14"/>
          <w:szCs w:val="14"/>
          <w:color w:val="auto"/>
        </w:rPr>
        <w:t>On January 1, 1999, in connection with the completion of the 1999 Merger, the Company obtained a $650.0 million secured credit facility (the "Credit Facility") from NationsBank, N.A., as Administrative Agent, and several U.S. and non-U.S. banks. The Credit Facility included up to a maximum of $250.0 million in tranche B term loans and $400.0 million in revolving loans, including a $150.0 million subfacility for letters of credit. The term loan requires quarterly principal payments of $625 throughout the term of the loan with the remaining balance maturing on December 31, 2002. The revolving loans mature on January 1, 2002. Interest rates, unused commitment fees and letter of credit fees on the Credit Facility were subject to change based on the Company's senior debt rating. The Credit Facility was secured by mortgages on the Company's real property.</w:t>
      </w:r>
    </w:p>
    <w:p>
      <w:pPr>
        <w:spacing w:after="0" w:line="247"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F-34</w:t>
      </w:r>
    </w:p>
    <w:p>
      <w:pPr>
        <w:sectPr>
          <w:pgSz w:w="11900" w:h="16838" w:orient="portrait"/>
          <w:cols w:equalWidth="0" w:num="1">
            <w:col w:w="10059"/>
          </w:cols>
          <w:pgMar w:left="400" w:top="256"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4"/>
          <w:szCs w:val="14"/>
          <w:color w:val="auto"/>
        </w:rPr>
        <w:t>153</w:t>
      </w:r>
    </w:p>
    <w:p>
      <w:pPr>
        <w:spacing w:after="0" w:line="30" w:lineRule="exact"/>
        <w:rPr>
          <w:sz w:val="20"/>
          <w:szCs w:val="20"/>
          <w:color w:val="auto"/>
        </w:rPr>
      </w:pPr>
    </w:p>
    <w:p>
      <w:pPr>
        <w:ind w:left="340" w:right="3359"/>
        <w:spacing w:after="0" w:line="256" w:lineRule="auto"/>
        <w:rPr>
          <w:sz w:val="20"/>
          <w:szCs w:val="20"/>
          <w:color w:val="auto"/>
        </w:rPr>
      </w:pPr>
      <w:r>
        <w:rPr>
          <w:rFonts w:ascii="Courier New" w:cs="Courier New" w:eastAsia="Courier New" w:hAnsi="Courier New"/>
          <w:sz w:val="14"/>
          <w:szCs w:val="14"/>
          <w:color w:val="auto"/>
        </w:rPr>
        <w:t>On August 4, 1999, the Company completed an amendment and restatement of the Credit Facility (the "Amended Credit Facility") increasing amounts available to the Company under the original Credit Facility to $1.0 billion through the addition of a $350.0 million tranche C term loan. The tranche C term loan is payable in equal quarterly installments in the amount of $875 through the calendar quarter ending September 30, 2002, with the balance to be paid in full on December 31, 2002. Under the Amended Credit Facility, Lehman Commercial Paper Inc. replaced NationsBank, N.A. as Administrative Agent.</w:t>
      </w:r>
    </w:p>
    <w:p>
      <w:pPr>
        <w:spacing w:after="0" w:line="82" w:lineRule="exact"/>
        <w:rPr>
          <w:sz w:val="20"/>
          <w:szCs w:val="20"/>
          <w:color w:val="auto"/>
        </w:rPr>
      </w:pPr>
    </w:p>
    <w:p>
      <w:pPr>
        <w:ind w:left="340" w:right="3359"/>
        <w:spacing w:after="0" w:line="255" w:lineRule="auto"/>
        <w:rPr>
          <w:sz w:val="20"/>
          <w:szCs w:val="20"/>
          <w:color w:val="auto"/>
        </w:rPr>
      </w:pPr>
      <w:r>
        <w:rPr>
          <w:rFonts w:ascii="Courier New" w:cs="Courier New" w:eastAsia="Courier New" w:hAnsi="Courier New"/>
          <w:sz w:val="14"/>
          <w:szCs w:val="14"/>
          <w:color w:val="auto"/>
        </w:rPr>
        <w:t>The Amended Credit Facility, similar to the Credit Facility, provides for interest rates, unused commitment fees and letter of credit fees to change based on the Company's senior debt rating. Similar to the Credit Facility, the Amended Credit Facility bears interest at variable rates of interest based on a spread over the base rate or LIBOR (as elected by the Company), which spread is determined by reference to the Company's credit rating. The spread ranges from 0.50% to 2.25% for base rate loans and from 2.00% to 3.75% for LIBOR rate loans. These ranges replaced the original spread ranges of 0.25% to 1.25% for base rate loans and 1.375% to 2.75% for LIBOR rate loans. The term loan portions of the Amended Credit Facility bear interest at a variable rate equal to 3.75% to 4.00% in excess of LIBOR or 2.25% to 2.50% in excess of a base rate. This rate replaced the variable rate equal to 3.25% in excess of LIBOR or 1.75% in excess of a base rate in the Credit Facility.</w:t>
      </w:r>
    </w:p>
    <w:p>
      <w:pPr>
        <w:spacing w:after="0" w:line="87" w:lineRule="exact"/>
        <w:rPr>
          <w:sz w:val="20"/>
          <w:szCs w:val="20"/>
          <w:color w:val="auto"/>
        </w:rPr>
      </w:pPr>
    </w:p>
    <w:p>
      <w:pPr>
        <w:ind w:left="340" w:right="3459"/>
        <w:spacing w:after="0" w:line="266" w:lineRule="auto"/>
        <w:rPr>
          <w:sz w:val="20"/>
          <w:szCs w:val="20"/>
          <w:color w:val="auto"/>
        </w:rPr>
      </w:pPr>
      <w:r>
        <w:rPr>
          <w:rFonts w:ascii="Courier New" w:cs="Courier New" w:eastAsia="Courier New" w:hAnsi="Courier New"/>
          <w:sz w:val="14"/>
          <w:szCs w:val="14"/>
          <w:color w:val="auto"/>
        </w:rPr>
        <w:t>Upon the lenders' determination that the Company is in default under the terms of the Amended Credit Facility, the Company is required to pay a default rate of interest equal to the rate of interest as determined based on the terms described above, plus 2.00%. As discussed below, the Company is currently in default under the Amended Credit Facility and, consequently, has become subject to the default rate of interest effective on January 25, 2000.</w:t>
      </w:r>
    </w:p>
    <w:p>
      <w:pPr>
        <w:spacing w:after="0" w:line="74" w:lineRule="exact"/>
        <w:rPr>
          <w:sz w:val="20"/>
          <w:szCs w:val="20"/>
          <w:color w:val="auto"/>
        </w:rPr>
      </w:pPr>
    </w:p>
    <w:p>
      <w:pPr>
        <w:ind w:left="340" w:right="3539"/>
        <w:spacing w:after="0" w:line="276" w:lineRule="auto"/>
        <w:rPr>
          <w:sz w:val="20"/>
          <w:szCs w:val="20"/>
          <w:color w:val="auto"/>
        </w:rPr>
      </w:pPr>
      <w:r>
        <w:rPr>
          <w:rFonts w:ascii="Courier New" w:cs="Courier New" w:eastAsia="Courier New" w:hAnsi="Courier New"/>
          <w:sz w:val="14"/>
          <w:szCs w:val="14"/>
          <w:color w:val="auto"/>
        </w:rPr>
        <w:t>The Company incurred costs of $59.2 million in consummating the Credit Facility and the Amended Credit Facility transactions, including $41.2 million related to the amendment and restatement. The Company wrote off $9.0 million of expenses related to the Credit Facility upon completion of the amendment and restatement.</w:t>
      </w:r>
    </w:p>
    <w:p>
      <w:pPr>
        <w:spacing w:after="0" w:line="67" w:lineRule="exact"/>
        <w:rPr>
          <w:sz w:val="20"/>
          <w:szCs w:val="20"/>
          <w:color w:val="auto"/>
        </w:rPr>
      </w:pPr>
    </w:p>
    <w:p>
      <w:pPr>
        <w:ind w:left="340" w:right="3459"/>
        <w:spacing w:after="0" w:line="270" w:lineRule="auto"/>
        <w:rPr>
          <w:sz w:val="20"/>
          <w:szCs w:val="20"/>
          <w:color w:val="auto"/>
        </w:rPr>
      </w:pPr>
      <w:r>
        <w:rPr>
          <w:rFonts w:ascii="Courier New" w:cs="Courier New" w:eastAsia="Courier New" w:hAnsi="Courier New"/>
          <w:sz w:val="14"/>
          <w:szCs w:val="14"/>
          <w:color w:val="auto"/>
        </w:rPr>
        <w:t>In accordance with the terms of the Amended Credit Facility, the Company entered into certain swap arrangements guaranteeing that it will not pay an index rate greater than 6.51% on outstanding balances of at least (a) $325.0 million through December 31, 2001 and (b) $200.0 million through December 31, 2002. The effect of these arrangements is recognized in interest expense.</w:t>
      </w:r>
    </w:p>
    <w:p>
      <w:pPr>
        <w:spacing w:after="0" w:line="71" w:lineRule="exact"/>
        <w:rPr>
          <w:sz w:val="20"/>
          <w:szCs w:val="20"/>
          <w:color w:val="auto"/>
        </w:rPr>
      </w:pPr>
    </w:p>
    <w:p>
      <w:pPr>
        <w:ind w:left="340" w:right="3359"/>
        <w:spacing w:after="0" w:line="266" w:lineRule="auto"/>
        <w:rPr>
          <w:sz w:val="20"/>
          <w:szCs w:val="20"/>
          <w:color w:val="auto"/>
        </w:rPr>
      </w:pPr>
      <w:r>
        <w:rPr>
          <w:rFonts w:ascii="Courier New" w:cs="Courier New" w:eastAsia="Courier New" w:hAnsi="Courier New"/>
          <w:sz w:val="14"/>
          <w:szCs w:val="14"/>
          <w:color w:val="auto"/>
        </w:rPr>
        <w:t>The Amended Credit Facility, similar to the Credit Facility, is secured by mortgages on the Company's real property. Borrowings are limited based on a borrowing base formula that considers, among other things, eligible real estate. The Amended Credit Facility contains certain financial covenants, primarily: (a) maintenance of leverage, interest coverage, debt service coverage and total indebtedness ratios and (b) restrictions on the incurrence of additional indebtedness.</w:t>
      </w:r>
    </w:p>
    <w:p>
      <w:pPr>
        <w:spacing w:after="0" w:line="74" w:lineRule="exact"/>
        <w:rPr>
          <w:sz w:val="20"/>
          <w:szCs w:val="20"/>
          <w:color w:val="auto"/>
        </w:rPr>
      </w:pPr>
    </w:p>
    <w:p>
      <w:pPr>
        <w:ind w:left="340" w:right="3359"/>
        <w:spacing w:after="0" w:line="258" w:lineRule="auto"/>
        <w:rPr>
          <w:sz w:val="20"/>
          <w:szCs w:val="20"/>
          <w:color w:val="auto"/>
        </w:rPr>
      </w:pPr>
      <w:r>
        <w:rPr>
          <w:rFonts w:ascii="Courier New" w:cs="Courier New" w:eastAsia="Courier New" w:hAnsi="Courier New"/>
          <w:sz w:val="14"/>
          <w:szCs w:val="14"/>
          <w:color w:val="auto"/>
        </w:rPr>
        <w:t>The Amended Credit Facility also restricted the Company's ability to make the 1999 cash payment of the Special Dividend unless (a) the Company had liquidity of at least $75.0 million at the dividend declaration date after giving effect to the payment of the Special Dividend, (b) the Company received at least $100.0 million in cash proceeds for the issuance of equity or similar securities from a new investor receiving representation on the Company's Board of Directors and (c) New CCA received at least $25.0 million in cash proceeds from the issuance of any combination of equity securities and subordinated debt. The Amended Credit Facility also restricts the cash payment of the Special Dividend in 2000.</w:t>
      </w:r>
    </w:p>
    <w:p>
      <w:pPr>
        <w:spacing w:after="0" w:line="24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F-35</w:t>
      </w:r>
    </w:p>
    <w:p>
      <w:pPr>
        <w:sectPr>
          <w:pgSz w:w="11900" w:h="16838" w:orient="portrait"/>
          <w:cols w:equalWidth="0" w:num="1">
            <w:col w:w="9899"/>
          </w:cols>
          <w:pgMar w:left="560" w:top="257"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4"/>
          <w:szCs w:val="14"/>
          <w:color w:val="auto"/>
        </w:rPr>
        <w:t>154</w:t>
      </w:r>
    </w:p>
    <w:p>
      <w:pPr>
        <w:spacing w:after="0" w:line="30" w:lineRule="exact"/>
        <w:rPr>
          <w:sz w:val="20"/>
          <w:szCs w:val="20"/>
          <w:color w:val="auto"/>
        </w:rPr>
      </w:pPr>
    </w:p>
    <w:p>
      <w:pPr>
        <w:ind w:left="340" w:right="3359"/>
        <w:spacing w:after="0" w:line="258" w:lineRule="auto"/>
        <w:rPr>
          <w:sz w:val="20"/>
          <w:szCs w:val="20"/>
          <w:color w:val="auto"/>
        </w:rPr>
      </w:pPr>
      <w:r>
        <w:rPr>
          <w:rFonts w:ascii="Courier New" w:cs="Courier New" w:eastAsia="Courier New" w:hAnsi="Courier New"/>
          <w:sz w:val="14"/>
          <w:szCs w:val="14"/>
          <w:color w:val="auto"/>
        </w:rPr>
        <w:t>The current financial condition of the Company, the inability of New CCA to make certain of its payment obligations to the Company, the ongoing process surrounding the prospective equity investment and related restructuring, and the actions taken by the Company and New CCA in attempts to resolve current liquidity issues of the Company and New CCA have rendered a series of default or potential default issues under the Amended Credit Facility. These defaults and potential defaults consist of the following:</w:t>
      </w:r>
    </w:p>
    <w:p>
      <w:pPr>
        <w:spacing w:after="0" w:line="78" w:lineRule="exact"/>
        <w:rPr>
          <w:sz w:val="20"/>
          <w:szCs w:val="20"/>
          <w:color w:val="auto"/>
        </w:rPr>
      </w:pPr>
    </w:p>
    <w:p>
      <w:pPr>
        <w:ind w:left="840" w:right="3459" w:hanging="415"/>
        <w:spacing w:after="0" w:line="270" w:lineRule="auto"/>
        <w:tabs>
          <w:tab w:leader="none" w:pos="8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upon the ability of the Company to amend the terms of its agreements with New CCA without the consent of its senior lenders create a potential default due to the Company's anticipation of required amendments to alter the timing and amount of payments under the terms of the CCA Leases, as well as interest payments on the CCA Note, as discussed in Note 23.</w:t>
      </w:r>
    </w:p>
    <w:p>
      <w:pPr>
        <w:spacing w:after="0" w:line="71" w:lineRule="exact"/>
        <w:rPr>
          <w:rFonts w:ascii="Courier New" w:cs="Courier New" w:eastAsia="Courier New" w:hAnsi="Courier New"/>
          <w:sz w:val="14"/>
          <w:szCs w:val="14"/>
          <w:color w:val="auto"/>
        </w:rPr>
      </w:pPr>
    </w:p>
    <w:p>
      <w:pPr>
        <w:ind w:left="840" w:right="3359" w:hanging="415"/>
        <w:spacing w:after="0" w:line="266" w:lineRule="auto"/>
        <w:tabs>
          <w:tab w:leader="none" w:pos="8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upon the ability of the Company to enter into any agreement constituting a "change of control" provision, as defined in the Amended Credit Facility, create the need for a consent based upon the execution of a securities purchase agreement with a prospective equity investor (as discussed in Note 23) and the appointment of a new Chairman of the Board of Directors of the Company and a new President of the Company.</w:t>
      </w:r>
    </w:p>
    <w:p>
      <w:pPr>
        <w:spacing w:after="0" w:line="74" w:lineRule="exact"/>
        <w:rPr>
          <w:rFonts w:ascii="Courier New" w:cs="Courier New" w:eastAsia="Courier New" w:hAnsi="Courier New"/>
          <w:sz w:val="14"/>
          <w:szCs w:val="14"/>
          <w:color w:val="auto"/>
        </w:rPr>
      </w:pPr>
    </w:p>
    <w:p>
      <w:pPr>
        <w:ind w:left="840" w:right="3459" w:hanging="415"/>
        <w:spacing w:after="0" w:line="286" w:lineRule="auto"/>
        <w:tabs>
          <w:tab w:leader="none" w:pos="8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quarter ending December 31, 1999, the Company was not in compliance with the following financial covenants, as defined in the Amended Credit Facility: (i) the Company's interest coverage ratio and (ii) the Company's leverage ratio.</w:t>
      </w:r>
    </w:p>
    <w:p>
      <w:pPr>
        <w:spacing w:after="0" w:line="59" w:lineRule="exact"/>
        <w:rPr>
          <w:rFonts w:ascii="Courier New" w:cs="Courier New" w:eastAsia="Courier New" w:hAnsi="Courier New"/>
          <w:sz w:val="14"/>
          <w:szCs w:val="14"/>
          <w:color w:val="auto"/>
        </w:rPr>
      </w:pPr>
    </w:p>
    <w:p>
      <w:pPr>
        <w:ind w:left="840" w:right="3459" w:hanging="415"/>
        <w:spacing w:after="0" w:line="266" w:lineRule="auto"/>
        <w:tabs>
          <w:tab w:leader="none" w:pos="8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explanatory paragraphs in the reports of each of the Company's and New CCA's reports of independent public accountants relating to the Company's and New CCA's financial statements as to the ability of each of the Company and New CCA to continue as a going concern render the Company in violation of the provisions of the Amended Credit Facility requiring unqualified opinions for the Company and New CCA.</w:t>
      </w:r>
    </w:p>
    <w:p>
      <w:pPr>
        <w:spacing w:after="0" w:line="74" w:lineRule="exact"/>
        <w:rPr>
          <w:rFonts w:ascii="Courier New" w:cs="Courier New" w:eastAsia="Courier New" w:hAnsi="Courier New"/>
          <w:sz w:val="14"/>
          <w:szCs w:val="14"/>
          <w:color w:val="auto"/>
        </w:rPr>
      </w:pPr>
    </w:p>
    <w:p>
      <w:pPr>
        <w:ind w:left="840" w:right="3539" w:hanging="415"/>
        <w:spacing w:after="0" w:line="276" w:lineRule="auto"/>
        <w:tabs>
          <w:tab w:leader="none" w:pos="8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March 21, 2000 declaration of the quarterly dividend on the 8.0% Series A Cumulative Preferred Stock for the quarter ended March 31, 2000, payable April 17, 2000, constituted an event of default, based on the Company's unwaived defaults at the time the dividend was declared.</w:t>
      </w:r>
    </w:p>
    <w:p>
      <w:pPr>
        <w:spacing w:after="0" w:line="66" w:lineRule="exact"/>
        <w:rPr>
          <w:rFonts w:ascii="Courier New" w:cs="Courier New" w:eastAsia="Courier New" w:hAnsi="Courier New"/>
          <w:sz w:val="14"/>
          <w:szCs w:val="14"/>
          <w:color w:val="auto"/>
        </w:rPr>
      </w:pPr>
    </w:p>
    <w:p>
      <w:pPr>
        <w:ind w:left="840" w:right="3459" w:hanging="415"/>
        <w:spacing w:after="0" w:line="276" w:lineRule="auto"/>
        <w:tabs>
          <w:tab w:leader="none" w:pos="8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CCA's revolving credit facility requires that New CCA have a net worth in excess of certain specified amounts. On December 31, 1999, New CCA was not, and it currently is not, in compliance with this financial covenant, which is an event of default under the Company's Amended Credit Facility.</w:t>
      </w:r>
    </w:p>
    <w:p>
      <w:pPr>
        <w:spacing w:after="0" w:line="66" w:lineRule="exact"/>
        <w:rPr>
          <w:rFonts w:ascii="Courier New" w:cs="Courier New" w:eastAsia="Courier New" w:hAnsi="Courier New"/>
          <w:sz w:val="14"/>
          <w:szCs w:val="14"/>
          <w:color w:val="auto"/>
        </w:rPr>
      </w:pPr>
    </w:p>
    <w:p>
      <w:pPr>
        <w:ind w:left="840" w:right="3359" w:hanging="415"/>
        <w:spacing w:after="0" w:line="270" w:lineRule="auto"/>
        <w:tabs>
          <w:tab w:leader="none" w:pos="8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March 31, 2000, the Company projects that it will not be in compliance with the following financial covenants, as defined in the Amended Credit Facility: (i) the Company's debt service coverage ratio; (ii) the Company's interest coverage ratio; (iii) the Company's leverage ratio; and (iv) the Company's ratio of total indebtedness to total capitalization.</w:t>
      </w:r>
    </w:p>
    <w:p>
      <w:pPr>
        <w:spacing w:after="0" w:line="71" w:lineRule="exact"/>
        <w:rPr>
          <w:rFonts w:ascii="Courier New" w:cs="Courier New" w:eastAsia="Courier New" w:hAnsi="Courier New"/>
          <w:sz w:val="14"/>
          <w:szCs w:val="14"/>
          <w:color w:val="auto"/>
        </w:rPr>
      </w:pPr>
    </w:p>
    <w:p>
      <w:pPr>
        <w:ind w:left="840" w:right="3459" w:hanging="415"/>
        <w:spacing w:after="0" w:line="259" w:lineRule="auto"/>
        <w:tabs>
          <w:tab w:leader="none" w:pos="8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as described below, the Company is in default under the provisions of the 9.5% Convertible Notes. Due to cross-default provisions existing between the Amended Credit Facility and the</w:t>
      </w:r>
    </w:p>
    <w:p>
      <w:pPr>
        <w:spacing w:after="0" w:line="1" w:lineRule="exact"/>
        <w:rPr>
          <w:rFonts w:ascii="Courier New" w:cs="Courier New" w:eastAsia="Courier New" w:hAnsi="Courier New"/>
          <w:sz w:val="14"/>
          <w:szCs w:val="14"/>
          <w:color w:val="auto"/>
        </w:rPr>
      </w:pPr>
    </w:p>
    <w:p>
      <w:pPr>
        <w:jc w:val="both"/>
        <w:ind w:left="840" w:right="3459"/>
        <w:spacing w:after="0" w:line="28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9.5% Convertible Notes, the Company has been considered in default of this provision of the Amended Credit Facility since January 25, 2000.</w:t>
      </w:r>
    </w:p>
    <w:p>
      <w:pPr>
        <w:spacing w:after="0" w:line="22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F-36</w:t>
      </w:r>
    </w:p>
    <w:p>
      <w:pPr>
        <w:sectPr>
          <w:pgSz w:w="11900" w:h="16838" w:orient="portrait"/>
          <w:cols w:equalWidth="0" w:num="1">
            <w:col w:w="9899"/>
          </w:cols>
          <w:pgMar w:left="560" w:top="257"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4"/>
          <w:szCs w:val="14"/>
          <w:color w:val="auto"/>
        </w:rPr>
        <w:t>155</w:t>
      </w:r>
    </w:p>
    <w:p>
      <w:pPr>
        <w:spacing w:after="0" w:line="30" w:lineRule="exact"/>
        <w:rPr>
          <w:sz w:val="20"/>
          <w:szCs w:val="20"/>
          <w:color w:val="auto"/>
        </w:rPr>
      </w:pPr>
    </w:p>
    <w:p>
      <w:pPr>
        <w:ind w:left="340" w:right="3359"/>
        <w:spacing w:after="0" w:line="246" w:lineRule="auto"/>
        <w:rPr>
          <w:sz w:val="20"/>
          <w:szCs w:val="20"/>
          <w:color w:val="auto"/>
        </w:rPr>
      </w:pPr>
      <w:r>
        <w:rPr>
          <w:rFonts w:ascii="Courier New" w:cs="Courier New" w:eastAsia="Courier New" w:hAnsi="Courier New"/>
          <w:sz w:val="14"/>
          <w:szCs w:val="14"/>
          <w:color w:val="auto"/>
        </w:rPr>
        <w:t>The Company plans to request the consent of the requisite percentage of its senior lenders under the Amended Credit Facility for a waiver of the Amended Credit Facility's restrictions relating to certain amendments of the Company's agreements with New CCA. The Company also plans to request the consent of such lenders with respect to an additional waiver of the Amended Credit Facility's financial covenants described above, as well as a temporary amendment to the Amended Credit Facility changing the definition of the Company's borrowing base to alleviate the adverse effect of the deferred rental payments on the Company's borrowing base. In connection with the waiver of the financial covenants, the Company will request that the calculation of the Company's interest coverage ratio and the Company's leverage ratio as of December 31, 1999 be amended. In addition, the Company anticipates the request of the waiver, subject to certain conditions, of events of default under the provisions of the Amended Credit Facility relating to certain defaults under the</w:t>
      </w:r>
    </w:p>
    <w:p>
      <w:pPr>
        <w:spacing w:after="0" w:line="8" w:lineRule="exact"/>
        <w:rPr>
          <w:sz w:val="20"/>
          <w:szCs w:val="20"/>
          <w:color w:val="auto"/>
        </w:rPr>
      </w:pPr>
    </w:p>
    <w:p>
      <w:pPr>
        <w:ind w:left="340" w:right="3459"/>
        <w:spacing w:after="0" w:line="266" w:lineRule="auto"/>
        <w:rPr>
          <w:sz w:val="20"/>
          <w:szCs w:val="20"/>
          <w:color w:val="auto"/>
        </w:rPr>
      </w:pPr>
      <w:r>
        <w:rPr>
          <w:rFonts w:ascii="Courier New" w:cs="Courier New" w:eastAsia="Courier New" w:hAnsi="Courier New"/>
          <w:sz w:val="14"/>
          <w:szCs w:val="14"/>
          <w:color w:val="auto"/>
        </w:rPr>
        <w:t>9.5% Convertible Notes. These proposed waivers of, and amendment to, the terms of the Amended Credit Facility would remain in effect only until the earlier to occur of: (i) the completion of a prospective equity investment and related restructuring, (ii) termination of the agreements with the Fortress/Blackstone Investors or (iii) a yet undetermined date.</w:t>
      </w:r>
    </w:p>
    <w:p>
      <w:pPr>
        <w:spacing w:after="0" w:line="74" w:lineRule="exact"/>
        <w:rPr>
          <w:sz w:val="20"/>
          <w:szCs w:val="20"/>
          <w:color w:val="auto"/>
        </w:rPr>
      </w:pPr>
    </w:p>
    <w:p>
      <w:pPr>
        <w:ind w:left="340" w:right="3359"/>
        <w:spacing w:after="0" w:line="258" w:lineRule="auto"/>
        <w:rPr>
          <w:sz w:val="20"/>
          <w:szCs w:val="20"/>
          <w:color w:val="auto"/>
        </w:rPr>
      </w:pPr>
      <w:r>
        <w:rPr>
          <w:rFonts w:ascii="Courier New" w:cs="Courier New" w:eastAsia="Courier New" w:hAnsi="Courier New"/>
          <w:sz w:val="14"/>
          <w:szCs w:val="14"/>
          <w:color w:val="auto"/>
        </w:rPr>
        <w:t>Management expects the conditions to the effectiveness of all of the proposed waivers of, and amendment to, the provisions of the Amended Credit Facility will include, among other conditions (i) New CCA having obtained a waiver of, and an amendment to, certain provisions of its revolving credit facility and (ii) the Company having delivered to the trustee of the Company's $100.0 million Senior Notes an opinion as to the fairness, from a financial point of view, to the Company of the amendments to the terms of the CCA Leases and the amendments to the Business Development Agreement, the CCA Services Agreement and the Amended and Restated Tenant Incentive Agreement issued by an accounting, appraisal or investment banking firm of national standing.</w:t>
      </w:r>
    </w:p>
    <w:p>
      <w:pPr>
        <w:spacing w:after="0" w:line="82" w:lineRule="exact"/>
        <w:rPr>
          <w:sz w:val="20"/>
          <w:szCs w:val="20"/>
          <w:color w:val="auto"/>
        </w:rPr>
      </w:pPr>
    </w:p>
    <w:p>
      <w:pPr>
        <w:ind w:left="340" w:right="3359"/>
        <w:spacing w:after="0" w:line="250" w:lineRule="auto"/>
        <w:rPr>
          <w:sz w:val="20"/>
          <w:szCs w:val="20"/>
          <w:color w:val="auto"/>
        </w:rPr>
      </w:pPr>
      <w:r>
        <w:rPr>
          <w:rFonts w:ascii="Courier New" w:cs="Courier New" w:eastAsia="Courier New" w:hAnsi="Courier New"/>
          <w:sz w:val="14"/>
          <w:szCs w:val="14"/>
          <w:color w:val="auto"/>
        </w:rPr>
        <w:t>There can be no assurance that the lenders under the Amended Credit Facility will consent to any proposed waiver of, and amendments to, the note agreement, or will not seek to declare an event of default prior to the execution of any proposed waiver and amendments. Moreover, the effectiveness of the proposed waivers of, and amendments to, the Company's bank credit facility is subject to the satisfaction of the conditions described above and the attainment of the waivers of, and amendments to, the applicable provisions of New CCA's bank credit facility. In the event the Company is unable to obtain the necessary waivers or amendments to the bank credit facility, or to comply with and maintain the proposed waivers and amendments, or if the Company defaults under the terms of any of its other indebtedness, and such indebtedness is accelerated, the senior lenders under the Company's bank credit facilities are entitled, at their discretion, to exercise certain remedies, including acceleration of the outstanding borrowings under the bank credit facility. In addition, the Company's Senior Notes (as defined herein), the $40.0 million 9.5% convertible, subordinated MDP Notes and the $30.0 million 7.5% convertible, subordinated notes payable to PMI contain provisions which allow those creditors to accelerate their debt and seek remedies if the Company has a payment default under its bank credit facility or if the obligations under the Company's bank credit facility have been accelerated. If the senior lenders under the Company's bank credit facility elect to exercise their rights to accelerate the Company's obligations under the bank credit facility, and/or if the senior lenders do not consent to the proposed waivers and amendments (or acceptable alternative waivers and amendments), such events could result in the acceleration of all or a portion of the outstanding principal amount of the Company's Senior Notes (as defined herein) or its convertible, subordinated notes, which would have a material adverse effect on the Company's liquidity and financial position. The Company does not have sufficient working capital to satisfy its debt obligations in the event of an acceleration of all of the Company's outstanding indebtedness.</w:t>
      </w:r>
    </w:p>
    <w:p>
      <w:pPr>
        <w:spacing w:after="0" w:line="25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F-37</w:t>
      </w:r>
    </w:p>
    <w:p>
      <w:pPr>
        <w:sectPr>
          <w:pgSz w:w="11900" w:h="16838" w:orient="portrait"/>
          <w:cols w:equalWidth="0" w:num="1">
            <w:col w:w="9899"/>
          </w:cols>
          <w:pgMar w:left="560" w:top="257"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4"/>
          <w:szCs w:val="14"/>
          <w:color w:val="auto"/>
        </w:rPr>
        <w:t>156</w:t>
      </w:r>
    </w:p>
    <w:p>
      <w:pPr>
        <w:spacing w:after="0" w:line="30" w:lineRule="exact"/>
        <w:rPr>
          <w:sz w:val="20"/>
          <w:szCs w:val="20"/>
          <w:color w:val="auto"/>
        </w:rPr>
      </w:pPr>
    </w:p>
    <w:p>
      <w:pPr>
        <w:ind w:left="340" w:right="3359"/>
        <w:spacing w:after="0" w:line="255" w:lineRule="auto"/>
        <w:rPr>
          <w:sz w:val="20"/>
          <w:szCs w:val="20"/>
          <w:color w:val="auto"/>
        </w:rPr>
      </w:pPr>
      <w:r>
        <w:rPr>
          <w:rFonts w:ascii="Courier New" w:cs="Courier New" w:eastAsia="Courier New" w:hAnsi="Courier New"/>
          <w:sz w:val="14"/>
          <w:szCs w:val="14"/>
          <w:color w:val="auto"/>
        </w:rPr>
        <w:t>The Company has limited resources currently available to it to meet its operating, capital expenditure and debt service requirements. As a result, the Company currently is, and will continue to be, dependant on its ability to borrow funds under the terms of its bank credit facility to meet these requirements. Due to the Company's financial condition and non-compliance with certain covenants under the terms of its bank credit facility, the availability of borrowing under its bank credit facility is uncertain. Accordingly, there can be no assurance that the Company will be able to meet its operating, capital expenditure and debt service requirement in the future.</w:t>
      </w:r>
    </w:p>
    <w:p>
      <w:pPr>
        <w:spacing w:after="0" w:line="8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SENIOR NOTES</w:t>
      </w:r>
    </w:p>
    <w:p>
      <w:pPr>
        <w:spacing w:after="0" w:line="168" w:lineRule="exact"/>
        <w:rPr>
          <w:sz w:val="20"/>
          <w:szCs w:val="20"/>
          <w:color w:val="auto"/>
        </w:rPr>
      </w:pPr>
    </w:p>
    <w:p>
      <w:pPr>
        <w:ind w:left="340" w:right="3539"/>
        <w:spacing w:after="0" w:line="261" w:lineRule="auto"/>
        <w:rPr>
          <w:sz w:val="20"/>
          <w:szCs w:val="20"/>
          <w:color w:val="auto"/>
        </w:rPr>
      </w:pPr>
      <w:r>
        <w:rPr>
          <w:rFonts w:ascii="Courier New" w:cs="Courier New" w:eastAsia="Courier New" w:hAnsi="Courier New"/>
          <w:sz w:val="14"/>
          <w:szCs w:val="14"/>
          <w:color w:val="auto"/>
        </w:rPr>
        <w:t>On June 11, 1999, the Company completed its offering of $100.0 million aggregate principal amount of 12% Senior Notes due 2006 (the "Senior Notes"). Interest on the Senior Notes is paid semi-annually in arrears, and the Senior Notes have a seven year non-callable term due June 1, 2006. Net proceeds from the offering were approximately $95.0 million after deducting expenses payable by the Company in connection with the offering. The Company used the net proceeds from the sale of the Senior Notes for general corporate purposes and to repay revolving bank borrowings under its Credit Facility.</w:t>
      </w:r>
    </w:p>
    <w:p>
      <w:pPr>
        <w:spacing w:after="0" w:line="78" w:lineRule="exact"/>
        <w:rPr>
          <w:sz w:val="20"/>
          <w:szCs w:val="20"/>
          <w:color w:val="auto"/>
        </w:rPr>
      </w:pPr>
    </w:p>
    <w:p>
      <w:pPr>
        <w:ind w:left="340" w:right="3359"/>
        <w:spacing w:after="0" w:line="286" w:lineRule="auto"/>
        <w:rPr>
          <w:sz w:val="20"/>
          <w:szCs w:val="20"/>
          <w:color w:val="auto"/>
        </w:rPr>
      </w:pPr>
      <w:r>
        <w:rPr>
          <w:rFonts w:ascii="Courier New" w:cs="Courier New" w:eastAsia="Courier New" w:hAnsi="Courier New"/>
          <w:sz w:val="14"/>
          <w:szCs w:val="14"/>
          <w:color w:val="auto"/>
        </w:rPr>
        <w:t>As of December 31, 1999, the Company is not in default under the terms of the Senior Notes. However, amendment of the Company's agreements with New CCA without prior delivery of fairness opinions, as described above, to the trustee of the Senior Notes would constitute an event of default.</w:t>
      </w:r>
    </w:p>
    <w:p>
      <w:pPr>
        <w:spacing w:after="0" w:line="59" w:lineRule="exact"/>
        <w:rPr>
          <w:sz w:val="20"/>
          <w:szCs w:val="20"/>
          <w:color w:val="auto"/>
        </w:rPr>
      </w:pPr>
    </w:p>
    <w:p>
      <w:pPr>
        <w:ind w:left="340" w:right="3359"/>
        <w:spacing w:after="0" w:line="276" w:lineRule="auto"/>
        <w:rPr>
          <w:sz w:val="20"/>
          <w:szCs w:val="20"/>
          <w:color w:val="auto"/>
        </w:rPr>
      </w:pPr>
      <w:r>
        <w:rPr>
          <w:rFonts w:ascii="Courier New" w:cs="Courier New" w:eastAsia="Courier New" w:hAnsi="Courier New"/>
          <w:sz w:val="14"/>
          <w:szCs w:val="14"/>
          <w:color w:val="auto"/>
        </w:rPr>
        <w:t>In addition, the indenture governing the Senior Notes contains a provision which allows the holders thereof to accelerate the Senior Notes and seek remedies if the Company has a payment default under its bank credit facility or if the obligations under the Company's bank credit facility have been accelerated.</w:t>
      </w:r>
    </w:p>
    <w:p>
      <w:pPr>
        <w:spacing w:after="0" w:line="6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9.5% CONVERTIBLE SUBORDINATED NOTES</w:t>
      </w:r>
    </w:p>
    <w:p>
      <w:pPr>
        <w:spacing w:after="0" w:line="168" w:lineRule="exact"/>
        <w:rPr>
          <w:sz w:val="20"/>
          <w:szCs w:val="20"/>
          <w:color w:val="auto"/>
        </w:rPr>
      </w:pPr>
    </w:p>
    <w:p>
      <w:pPr>
        <w:ind w:left="340" w:right="3359"/>
        <w:spacing w:after="0" w:line="253" w:lineRule="auto"/>
        <w:rPr>
          <w:sz w:val="20"/>
          <w:szCs w:val="20"/>
          <w:color w:val="auto"/>
        </w:rPr>
      </w:pPr>
      <w:r>
        <w:rPr>
          <w:rFonts w:ascii="Courier New" w:cs="Courier New" w:eastAsia="Courier New" w:hAnsi="Courier New"/>
          <w:sz w:val="14"/>
          <w:szCs w:val="14"/>
          <w:color w:val="auto"/>
        </w:rPr>
        <w:t>On January 29, 1999, the Company issued $20.0 million of convertible subordinated notes due in December 2008, with interest payable semi-annually at 9.5%. This issuance constituted the second tranche of a commitment by the Company to issue an aggregate of $40.0 million of convertible subordinated notes, with the first $20.0 million tranche issued in December 1998 under substantially similar terms. The 9.5% Convertible Notes require that the Company revise the conversion price as a result of the payment of a dividend or the issuance of stock or convertible securities below market price. As of December 31, 1999, the conversion price for the 9.5% Convertible Notes was $23.63 per share as compared to $28.00 per share at issuance. This change in conversion price resulted from dividends paid by the Company in 1999 and from the March 8, 1999 conversion of a $7.0 million convertible subordinated note issued to Sodexho into 1.7 million shares of common stock at a conversion price of $4.09 per share and the conversion of a $20.0 million convertible subordinated note issued to Sodexho into 2.6 million shares of common stock at a conversion price of $7.80 per share, as provided in the original terms of the 9.5% Convertible Notes.</w:t>
      </w:r>
    </w:p>
    <w:p>
      <w:pPr>
        <w:spacing w:after="0" w:line="89" w:lineRule="exact"/>
        <w:rPr>
          <w:sz w:val="20"/>
          <w:szCs w:val="20"/>
          <w:color w:val="auto"/>
        </w:rPr>
      </w:pPr>
    </w:p>
    <w:p>
      <w:pPr>
        <w:ind w:left="340" w:right="3359"/>
        <w:spacing w:after="0" w:line="260" w:lineRule="auto"/>
        <w:rPr>
          <w:sz w:val="20"/>
          <w:szCs w:val="20"/>
          <w:color w:val="auto"/>
        </w:rPr>
      </w:pPr>
      <w:r>
        <w:rPr>
          <w:rFonts w:ascii="Courier New" w:cs="Courier New" w:eastAsia="Courier New" w:hAnsi="Courier New"/>
          <w:sz w:val="14"/>
          <w:szCs w:val="14"/>
          <w:color w:val="auto"/>
        </w:rPr>
        <w:t>The provisions of the 9.5% Convertible Notes provide that the execution of the securities purchase agreement with the prospective equity investor as discussed in Note 23 by the Company constitutes a "change of control" of the Company. This "change of control" gave rise to a right of the holders of such notes to require the Company to repurchase the notes at a price of 105% of the aggregate principal amount of such notes within 45 days after the provision of written notice by such holder to the Company. In addition, as of February 5, 2000, the Company was no longer in compliance with a financial covenant contained in the note agreement relating to the ratio of the Company's total</w:t>
      </w:r>
    </w:p>
    <w:p>
      <w:pPr>
        <w:spacing w:after="0" w:line="23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F-38</w:t>
      </w:r>
    </w:p>
    <w:p>
      <w:pPr>
        <w:sectPr>
          <w:pgSz w:w="11900" w:h="16838" w:orient="portrait"/>
          <w:cols w:equalWidth="0" w:num="1">
            <w:col w:w="9899"/>
          </w:cols>
          <w:pgMar w:left="560" w:top="257"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4"/>
          <w:szCs w:val="14"/>
          <w:color w:val="auto"/>
        </w:rPr>
        <w:t>157</w:t>
      </w:r>
    </w:p>
    <w:p>
      <w:pPr>
        <w:spacing w:after="0" w:line="30" w:lineRule="exact"/>
        <w:rPr>
          <w:sz w:val="20"/>
          <w:szCs w:val="20"/>
          <w:color w:val="auto"/>
        </w:rPr>
      </w:pPr>
    </w:p>
    <w:p>
      <w:pPr>
        <w:ind w:left="340" w:right="3359"/>
        <w:spacing w:after="0" w:line="251" w:lineRule="auto"/>
        <w:rPr>
          <w:sz w:val="20"/>
          <w:szCs w:val="20"/>
          <w:color w:val="auto"/>
        </w:rPr>
      </w:pPr>
      <w:r>
        <w:rPr>
          <w:rFonts w:ascii="Courier New" w:cs="Courier New" w:eastAsia="Courier New" w:hAnsi="Courier New"/>
          <w:sz w:val="14"/>
          <w:szCs w:val="14"/>
          <w:color w:val="auto"/>
        </w:rPr>
        <w:t>indebtedness to total capitalization. As a result of the violation of these covenants, the Company is in default under the provisions of the note agreement, and the holders of such notes may, at their option, accelerate all or a portion of the outstanding principal amount of this indebtedness. Moreover, during any period in which the Company is in default under the provisions of the note agreement, the holders of the notes may require the Company to pay an applicable default rate of interest of 20%. In addition to the default rate of interest, as a result of the default, the Company is obligated, under the terms of the 9.5% Convertible Notes, to pay the holders of the notes contingent interest sufficient to permit those note holders to receive a 15% rate of return on the $40.0 million principal amount, unless the holders of the notes elect to convert the notes into the Company's common stock under the terms of the note agreement. Such contingent interest is retroactive to the date of issuance of the 9.5% Convertible Notes. Because the conversion into common stock is at the election of the note holders, the Company has accrued the contingent interest from the date of issuance through December 31, 1999 of approximately $2.1 million.</w:t>
      </w:r>
    </w:p>
    <w:p>
      <w:pPr>
        <w:spacing w:after="0" w:line="87" w:lineRule="exact"/>
        <w:rPr>
          <w:sz w:val="20"/>
          <w:szCs w:val="20"/>
          <w:color w:val="auto"/>
        </w:rPr>
      </w:pPr>
    </w:p>
    <w:p>
      <w:pPr>
        <w:ind w:left="340" w:right="3359"/>
        <w:spacing w:after="0" w:line="251" w:lineRule="auto"/>
        <w:rPr>
          <w:sz w:val="20"/>
          <w:szCs w:val="20"/>
          <w:color w:val="auto"/>
        </w:rPr>
      </w:pPr>
      <w:r>
        <w:rPr>
          <w:rFonts w:ascii="Courier New" w:cs="Courier New" w:eastAsia="Courier New" w:hAnsi="Courier New"/>
          <w:sz w:val="14"/>
          <w:szCs w:val="14"/>
          <w:color w:val="auto"/>
        </w:rPr>
        <w:t>The Company has initiated discussions with the holders of these notes to waive the occurrence of a "change of control" arising from the Company's execution of the securities purchase agreement with the prospective equity investor, thereby extinguishing the Company's obligation to repurchase the notes at a premium. In addition, the Company has requested that the provisions of the note agreement be amended to: (i) remove the financial covenant relating to the Company's total indebtedness to total capitalization; (ii) remove a covenant requiring the Company to use its best efforts to qualify as a REIT for federal income tax purposes; and</w:t>
      </w:r>
    </w:p>
    <w:p>
      <w:pPr>
        <w:spacing w:after="0" w:line="1" w:lineRule="exact"/>
        <w:rPr>
          <w:sz w:val="20"/>
          <w:szCs w:val="20"/>
          <w:color w:val="auto"/>
        </w:rPr>
      </w:pPr>
    </w:p>
    <w:p>
      <w:pPr>
        <w:ind w:left="340" w:right="3539" w:firstLine="1"/>
        <w:spacing w:after="0" w:line="286" w:lineRule="auto"/>
        <w:tabs>
          <w:tab w:leader="none" w:pos="84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remove a covenant restricting the Company's ability to conduct business other than the financing, ownership and development of prisons and other correctional facilities.</w:t>
      </w:r>
    </w:p>
    <w:p>
      <w:pPr>
        <w:spacing w:after="0" w:line="59" w:lineRule="exact"/>
        <w:rPr>
          <w:sz w:val="20"/>
          <w:szCs w:val="20"/>
          <w:color w:val="auto"/>
        </w:rPr>
      </w:pPr>
    </w:p>
    <w:p>
      <w:pPr>
        <w:ind w:left="340" w:right="3359"/>
        <w:spacing w:after="0" w:line="286" w:lineRule="auto"/>
        <w:rPr>
          <w:sz w:val="20"/>
          <w:szCs w:val="20"/>
          <w:color w:val="auto"/>
        </w:rPr>
      </w:pPr>
      <w:r>
        <w:rPr>
          <w:rFonts w:ascii="Courier New" w:cs="Courier New" w:eastAsia="Courier New" w:hAnsi="Courier New"/>
          <w:sz w:val="14"/>
          <w:szCs w:val="14"/>
          <w:color w:val="auto"/>
        </w:rPr>
        <w:t>There can be no assurance that the holders of these notes will consent to any proposed waiver of, and amendments to, the note agreement, or will not seek to declare an event of default prior to the execution of any proposed waiver and amendments.</w:t>
      </w:r>
    </w:p>
    <w:p>
      <w:pPr>
        <w:spacing w:after="0" w:line="59"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7.5% CONVERTIBLE SUBORDINATED NOTES</w:t>
      </w:r>
    </w:p>
    <w:p>
      <w:pPr>
        <w:spacing w:after="0" w:line="168" w:lineRule="exact"/>
        <w:rPr>
          <w:sz w:val="20"/>
          <w:szCs w:val="20"/>
          <w:color w:val="auto"/>
        </w:rPr>
      </w:pPr>
    </w:p>
    <w:p>
      <w:pPr>
        <w:ind w:left="340" w:right="3359"/>
        <w:spacing w:after="0" w:line="257" w:lineRule="auto"/>
        <w:rPr>
          <w:sz w:val="20"/>
          <w:szCs w:val="20"/>
          <w:color w:val="auto"/>
        </w:rPr>
      </w:pPr>
      <w:r>
        <w:rPr>
          <w:rFonts w:ascii="Courier New" w:cs="Courier New" w:eastAsia="Courier New" w:hAnsi="Courier New"/>
          <w:sz w:val="14"/>
          <w:szCs w:val="14"/>
          <w:color w:val="auto"/>
        </w:rPr>
        <w:t>The $30.0 million 7.5% Convertible Notes require that the Company revise the conversion price as a result of the payment of a dividend or the issuance of stock or convertible securities below market price. As of December 31, 1999, the conversion price for the note was $23.63 per share as compared to $27.42 per share at issuance. This change in conversion price resulted from dividends paid by the Company in 1999 and from the March 8, 1999 conversion of a $7.0 million convertible subordinated note issued to Sodexho into 1.7 million shares of common stock at a conversion price of $4.09 per share and the conversion of a $20.0 million convertible subordinated note issued to Sodexho into 2.6 million shares of common stock at a conversion price of $7.80 per share, as provided in the original terms of the 7.5% Convertible Notes.</w:t>
      </w:r>
    </w:p>
    <w:p>
      <w:pPr>
        <w:spacing w:after="0" w:line="82" w:lineRule="exact"/>
        <w:rPr>
          <w:sz w:val="20"/>
          <w:szCs w:val="20"/>
          <w:color w:val="auto"/>
        </w:rPr>
      </w:pPr>
    </w:p>
    <w:p>
      <w:pPr>
        <w:ind w:left="340" w:right="3359"/>
        <w:spacing w:after="0" w:line="260" w:lineRule="auto"/>
        <w:rPr>
          <w:sz w:val="20"/>
          <w:szCs w:val="20"/>
          <w:color w:val="auto"/>
        </w:rPr>
      </w:pPr>
      <w:r>
        <w:rPr>
          <w:rFonts w:ascii="Courier New" w:cs="Courier New" w:eastAsia="Courier New" w:hAnsi="Courier New"/>
          <w:sz w:val="14"/>
          <w:szCs w:val="14"/>
          <w:color w:val="auto"/>
        </w:rPr>
        <w:t>The provisions of the note agreement contain financial covenants relating to: (i) the Company's debt service coverage ratio; (ii) the Company's interest coverage ratio; and (iii) the Company's ratio of total indebtedness to total capitalization. It is likely that as of March 31, 2000, the Company will not be in compliance with one or more of these financial covenants. If one or more of these covenants are violated, such a violation would result in an event of default under the provisions of the note agreement, and the holder of such notes may, at its option, accelerate all or a portion of the outstanding principal amount of this indebtedness.</w:t>
      </w:r>
    </w:p>
    <w:p>
      <w:pPr>
        <w:spacing w:after="0" w:line="76" w:lineRule="exact"/>
        <w:rPr>
          <w:sz w:val="20"/>
          <w:szCs w:val="20"/>
          <w:color w:val="auto"/>
        </w:rPr>
      </w:pPr>
    </w:p>
    <w:p>
      <w:pPr>
        <w:ind w:left="340" w:right="3359"/>
        <w:spacing w:after="0" w:line="270" w:lineRule="auto"/>
        <w:rPr>
          <w:sz w:val="20"/>
          <w:szCs w:val="20"/>
          <w:color w:val="auto"/>
        </w:rPr>
      </w:pPr>
      <w:r>
        <w:rPr>
          <w:rFonts w:ascii="Courier New" w:cs="Courier New" w:eastAsia="Courier New" w:hAnsi="Courier New"/>
          <w:sz w:val="14"/>
          <w:szCs w:val="14"/>
          <w:color w:val="auto"/>
        </w:rPr>
        <w:t>If an event of default occurs under the provisions of the note agreement, the Company will initiate discussions with the holder of such notes and attempt to obtain a waiver of, or amendment to, the financial covenants contained in the note agreement violated by the Company. In addition, in order to prevent an event of default under the note agreement, prior to completion of a prospective equity</w:t>
      </w:r>
    </w:p>
    <w:p>
      <w:pPr>
        <w:spacing w:after="0" w:line="23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F-39</w:t>
      </w:r>
    </w:p>
    <w:p>
      <w:pPr>
        <w:sectPr>
          <w:pgSz w:w="11900" w:h="16838" w:orient="portrait"/>
          <w:cols w:equalWidth="0" w:num="1">
            <w:col w:w="9899"/>
          </w:cols>
          <w:pgMar w:left="560" w:top="257"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4"/>
          <w:szCs w:val="14"/>
          <w:color w:val="auto"/>
        </w:rPr>
        <w:t>158</w:t>
      </w:r>
    </w:p>
    <w:p>
      <w:pPr>
        <w:spacing w:after="0" w:line="30" w:lineRule="exact"/>
        <w:rPr>
          <w:sz w:val="20"/>
          <w:szCs w:val="20"/>
          <w:color w:val="auto"/>
        </w:rPr>
      </w:pPr>
    </w:p>
    <w:p>
      <w:pPr>
        <w:ind w:left="340" w:right="3359"/>
        <w:spacing w:after="0" w:line="273" w:lineRule="auto"/>
        <w:rPr>
          <w:sz w:val="20"/>
          <w:szCs w:val="20"/>
          <w:color w:val="auto"/>
        </w:rPr>
      </w:pPr>
      <w:r>
        <w:rPr>
          <w:rFonts w:ascii="Courier New" w:cs="Courier New" w:eastAsia="Courier New" w:hAnsi="Courier New"/>
          <w:sz w:val="14"/>
          <w:szCs w:val="14"/>
          <w:color w:val="auto"/>
        </w:rPr>
        <w:t>investment and related restructuring, the Company will be required to amend the provisions of the note agreement to remove a covenant requiring the Company to elect to be taxed as a REIT for federal income tax purposes, if necessary.</w:t>
      </w:r>
    </w:p>
    <w:p>
      <w:pPr>
        <w:spacing w:after="0" w:line="68" w:lineRule="exact"/>
        <w:rPr>
          <w:sz w:val="20"/>
          <w:szCs w:val="20"/>
          <w:color w:val="auto"/>
        </w:rPr>
      </w:pPr>
    </w:p>
    <w:p>
      <w:pPr>
        <w:ind w:left="340" w:right="3459"/>
        <w:spacing w:after="0" w:line="286" w:lineRule="auto"/>
        <w:rPr>
          <w:sz w:val="20"/>
          <w:szCs w:val="20"/>
          <w:color w:val="auto"/>
        </w:rPr>
      </w:pPr>
      <w:r>
        <w:rPr>
          <w:rFonts w:ascii="Courier New" w:cs="Courier New" w:eastAsia="Courier New" w:hAnsi="Courier New"/>
          <w:sz w:val="14"/>
          <w:szCs w:val="14"/>
          <w:color w:val="auto"/>
        </w:rPr>
        <w:t>There can be no assurance that the holder of these notes will consent to any proposed waiver of, and amendments to, the note agreement, or will not seek to declare an event of default prior to the execution of any proposed waiver and amendments.</w:t>
      </w:r>
    </w:p>
    <w:p>
      <w:pPr>
        <w:spacing w:after="0" w:line="59"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OTHER DEBT TRANSACTIONS</w:t>
      </w:r>
    </w:p>
    <w:p>
      <w:pPr>
        <w:spacing w:after="0" w:line="168" w:lineRule="exact"/>
        <w:rPr>
          <w:sz w:val="20"/>
          <w:szCs w:val="20"/>
          <w:color w:val="auto"/>
        </w:rPr>
      </w:pPr>
    </w:p>
    <w:p>
      <w:pPr>
        <w:ind w:left="340" w:right="3359"/>
        <w:spacing w:after="0" w:line="250" w:lineRule="auto"/>
        <w:rPr>
          <w:sz w:val="20"/>
          <w:szCs w:val="20"/>
          <w:color w:val="auto"/>
        </w:rPr>
      </w:pPr>
      <w:r>
        <w:rPr>
          <w:rFonts w:ascii="Courier New" w:cs="Courier New" w:eastAsia="Courier New" w:hAnsi="Courier New"/>
          <w:sz w:val="14"/>
          <w:szCs w:val="14"/>
          <w:color w:val="auto"/>
        </w:rPr>
        <w:t>On March 8, 1999, the Company issued a $20.0 million convertible subordinated note to Sodexho pursuant to a forward contract assumed by the Company from Old CCA in the 1999 Merger. The note bore interest at LIBOR plus 1.35% and was convertible into shares of the Company's common stock at a conversion price of $7.80 per share. On March 8, 1999, Sodexho converted (i) a $7.0 million convertible subordinated note bearing interest at 8.5% into 1.7 million shares of the Company's common stock at a conversion price of $4.09 per share, (ii) a $20.0 million convertible subordinated note bearing interest at 7.5% into 700,000 shares of the Company's common stock at a conversion price of $28.53 per share and</w:t>
      </w:r>
    </w:p>
    <w:p>
      <w:pPr>
        <w:spacing w:after="0" w:line="5" w:lineRule="exact"/>
        <w:rPr>
          <w:sz w:val="20"/>
          <w:szCs w:val="20"/>
          <w:color w:val="auto"/>
        </w:rPr>
      </w:pPr>
    </w:p>
    <w:p>
      <w:pPr>
        <w:ind w:left="340" w:right="3359" w:firstLine="1"/>
        <w:spacing w:after="0" w:line="286" w:lineRule="auto"/>
        <w:tabs>
          <w:tab w:leader="none" w:pos="84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$20.0 million convertible subordinated note bearing interest at LIBOR plus 1.35% into 2.6 million shares of the Company's common stock at a conversion price of $7.80 per share.</w:t>
      </w:r>
    </w:p>
    <w:p>
      <w:pPr>
        <w:spacing w:after="0" w:line="59" w:lineRule="exact"/>
        <w:rPr>
          <w:sz w:val="20"/>
          <w:szCs w:val="20"/>
          <w:color w:val="auto"/>
        </w:rPr>
      </w:pPr>
    </w:p>
    <w:p>
      <w:pPr>
        <w:ind w:left="340" w:right="3359"/>
        <w:spacing w:after="0" w:line="366" w:lineRule="auto"/>
        <w:rPr>
          <w:sz w:val="20"/>
          <w:szCs w:val="20"/>
          <w:color w:val="auto"/>
        </w:rPr>
      </w:pPr>
      <w:r>
        <w:rPr>
          <w:rFonts w:ascii="Courier New" w:cs="Courier New" w:eastAsia="Courier New" w:hAnsi="Courier New"/>
          <w:sz w:val="14"/>
          <w:szCs w:val="14"/>
          <w:color w:val="auto"/>
        </w:rPr>
        <w:t>In 1998, convertible subordinated notes with a face value of $5.8 million were converted into 2.9 million shares of common stock.</w:t>
      </w:r>
    </w:p>
    <w:p>
      <w:pPr>
        <w:spacing w:after="0" w:line="6" w:lineRule="exact"/>
        <w:rPr>
          <w:sz w:val="20"/>
          <w:szCs w:val="20"/>
          <w:color w:val="auto"/>
        </w:rPr>
      </w:pPr>
    </w:p>
    <w:p>
      <w:pPr>
        <w:ind w:left="340" w:right="3359"/>
        <w:spacing w:after="0" w:line="270" w:lineRule="auto"/>
        <w:rPr>
          <w:sz w:val="20"/>
          <w:szCs w:val="20"/>
          <w:color w:val="auto"/>
        </w:rPr>
      </w:pPr>
      <w:r>
        <w:rPr>
          <w:rFonts w:ascii="Courier New" w:cs="Courier New" w:eastAsia="Courier New" w:hAnsi="Courier New"/>
          <w:sz w:val="14"/>
          <w:szCs w:val="14"/>
          <w:color w:val="auto"/>
        </w:rPr>
        <w:t>At December 31, 1999 and 1998, the Company had $16.3 million and $1.6 million in letters of credit, respectively. The letters of credit were issued to secure the Company's construction of one facility and Old CCA's worker's compensation insurance policy, performance bonds and utility deposits. The Company is required to maintain cash collateral for the letters of credit.</w:t>
      </w:r>
    </w:p>
    <w:p>
      <w:pPr>
        <w:spacing w:after="0" w:line="71" w:lineRule="exact"/>
        <w:rPr>
          <w:sz w:val="20"/>
          <w:szCs w:val="20"/>
          <w:color w:val="auto"/>
        </w:rPr>
      </w:pPr>
    </w:p>
    <w:p>
      <w:pPr>
        <w:ind w:left="340" w:right="3359"/>
        <w:spacing w:after="0" w:line="366" w:lineRule="auto"/>
        <w:rPr>
          <w:sz w:val="20"/>
          <w:szCs w:val="20"/>
          <w:color w:val="auto"/>
        </w:rPr>
      </w:pPr>
      <w:r>
        <w:rPr>
          <w:rFonts w:ascii="Courier New" w:cs="Courier New" w:eastAsia="Courier New" w:hAnsi="Courier New"/>
          <w:sz w:val="14"/>
          <w:szCs w:val="14"/>
          <w:color w:val="auto"/>
        </w:rPr>
        <w:t>The Company capitalized interest of $37.7 million, $11.8 million and $6.3 million in 1999, 1998 and 1997, respectively.</w:t>
      </w:r>
    </w:p>
    <w:p>
      <w:pPr>
        <w:spacing w:after="0" w:line="6" w:lineRule="exact"/>
        <w:rPr>
          <w:sz w:val="20"/>
          <w:szCs w:val="20"/>
          <w:color w:val="auto"/>
        </w:rPr>
      </w:pPr>
    </w:p>
    <w:p>
      <w:pPr>
        <w:ind w:left="340" w:right="4299"/>
        <w:spacing w:after="0" w:line="366" w:lineRule="auto"/>
        <w:rPr>
          <w:sz w:val="20"/>
          <w:szCs w:val="20"/>
          <w:color w:val="auto"/>
        </w:rPr>
      </w:pPr>
      <w:r>
        <w:rPr>
          <w:rFonts w:ascii="Courier New" w:cs="Courier New" w:eastAsia="Courier New" w:hAnsi="Courier New"/>
          <w:sz w:val="14"/>
          <w:szCs w:val="14"/>
          <w:color w:val="auto"/>
        </w:rPr>
        <w:t>Maturities of long-term debt (excluding acceleration or demand provisions) for the next five years and thereafter are:</w:t>
      </w:r>
    </w:p>
    <w:p>
      <w:pPr>
        <w:spacing w:after="0" w:line="332" w:lineRule="exact"/>
        <w:rPr>
          <w:sz w:val="20"/>
          <w:szCs w:val="20"/>
          <w:color w:val="auto"/>
        </w:rPr>
      </w:pPr>
    </w:p>
    <w:tbl>
      <w:tblPr>
        <w:tblLayout w:type="fixed"/>
        <w:tblInd w:w="840" w:type="dxa"/>
        <w:tblCellMar>
          <w:top w:w="0" w:type="dxa"/>
          <w:left w:w="0" w:type="dxa"/>
          <w:bottom w:w="0" w:type="dxa"/>
          <w:right w:w="0" w:type="dxa"/>
        </w:tblCellMar>
      </w:tblP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6,084</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6,093</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916,337</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170,237</w:t>
            </w:r>
          </w:p>
        </w:tc>
      </w:tr>
      <w:tr>
        <w:trPr>
          <w:trHeight w:val="163"/>
        </w:trPr>
        <w:tc>
          <w:tcPr>
            <w:tcW w:w="150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500" w:type="dxa"/>
            <w:vAlign w:val="bottom"/>
          </w:tcPr>
          <w:p>
            <w:pPr>
              <w:spacing w:after="0"/>
              <w:rPr>
                <w:sz w:val="14"/>
                <w:szCs w:val="14"/>
                <w:color w:val="auto"/>
              </w:rPr>
            </w:pPr>
          </w:p>
        </w:tc>
        <w:tc>
          <w:tcPr>
            <w:tcW w:w="1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1,098,991</w:t>
            </w:r>
          </w:p>
        </w:tc>
      </w:tr>
      <w:tr>
        <w:trPr>
          <w:trHeight w:val="238"/>
        </w:trPr>
        <w:tc>
          <w:tcPr>
            <w:tcW w:w="1500" w:type="dxa"/>
            <w:vAlign w:val="bottom"/>
          </w:tcPr>
          <w:p>
            <w:pPr>
              <w:spacing w:after="0"/>
              <w:rPr>
                <w:sz w:val="20"/>
                <w:szCs w:val="20"/>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52"/>
        </w:trPr>
        <w:tc>
          <w:tcPr>
            <w:tcW w:w="1500" w:type="dxa"/>
            <w:vAlign w:val="bottom"/>
          </w:tcPr>
          <w:p>
            <w:pPr>
              <w:spacing w:after="0"/>
              <w:rPr>
                <w:sz w:val="24"/>
                <w:szCs w:val="24"/>
                <w:color w:val="auto"/>
              </w:rPr>
            </w:pPr>
          </w:p>
        </w:tc>
        <w:tc>
          <w:tcPr>
            <w:tcW w:w="16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F-40</w:t>
            </w:r>
          </w:p>
        </w:tc>
        <w:tc>
          <w:tcPr>
            <w:tcW w:w="940" w:type="dxa"/>
            <w:vAlign w:val="bottom"/>
          </w:tcPr>
          <w:p>
            <w:pPr>
              <w:spacing w:after="0"/>
              <w:rPr>
                <w:sz w:val="24"/>
                <w:szCs w:val="24"/>
                <w:color w:val="auto"/>
              </w:rPr>
            </w:pPr>
          </w:p>
        </w:tc>
      </w:tr>
    </w:tbl>
    <w:p>
      <w:pPr>
        <w:sectPr>
          <w:pgSz w:w="11900" w:h="16838" w:orient="portrait"/>
          <w:cols w:equalWidth="0" w:num="1">
            <w:col w:w="9899"/>
          </w:cols>
          <w:pgMar w:left="560" w:top="257" w:right="1440" w:bottom="1440" w:gutter="0" w:footer="0" w:header="0"/>
        </w:sectPr>
      </w:pPr>
    </w:p>
    <w:bookmarkStart w:id="160" w:name="page161"/>
    <w:bookmarkEnd w:id="160"/>
    <w:p>
      <w:pPr>
        <w:ind w:left="253"/>
        <w:spacing w:after="0"/>
        <w:rPr>
          <w:sz w:val="20"/>
          <w:szCs w:val="20"/>
          <w:color w:val="auto"/>
        </w:rPr>
      </w:pPr>
      <w:r>
        <w:rPr>
          <w:rFonts w:ascii="Courier New" w:cs="Courier New" w:eastAsia="Courier New" w:hAnsi="Courier New"/>
          <w:sz w:val="14"/>
          <w:szCs w:val="14"/>
          <w:color w:val="auto"/>
        </w:rPr>
        <w:t>159</w:t>
      </w:r>
    </w:p>
    <w:p>
      <w:pPr>
        <w:spacing w:after="0" w:line="30" w:lineRule="exact"/>
        <w:rPr>
          <w:sz w:val="20"/>
          <w:szCs w:val="20"/>
          <w:color w:val="auto"/>
        </w:rPr>
      </w:pPr>
    </w:p>
    <w:p>
      <w:pPr>
        <w:ind w:left="593" w:hanging="593"/>
        <w:spacing w:after="0"/>
        <w:tabs>
          <w:tab w:leader="none" w:pos="59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GAINS ON SALES OF CONTRACTS</w:t>
      </w:r>
    </w:p>
    <w:p>
      <w:pPr>
        <w:spacing w:after="0" w:line="304" w:lineRule="exact"/>
        <w:rPr>
          <w:rFonts w:ascii="Courier New" w:cs="Courier New" w:eastAsia="Courier New" w:hAnsi="Courier New"/>
          <w:sz w:val="14"/>
          <w:szCs w:val="14"/>
          <w:color w:val="auto"/>
        </w:rPr>
      </w:pPr>
    </w:p>
    <w:p>
      <w:pPr>
        <w:ind w:left="59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gains on the sales of contracts consist of the following:</w:t>
      </w:r>
    </w:p>
    <w:p>
      <w:pPr>
        <w:spacing w:after="0" w:line="200" w:lineRule="exact"/>
        <w:rPr>
          <w:sz w:val="20"/>
          <w:szCs w:val="20"/>
          <w:color w:val="auto"/>
        </w:rPr>
      </w:pPr>
    </w:p>
    <w:p>
      <w:pPr>
        <w:spacing w:after="0" w:line="294" w:lineRule="exact"/>
        <w:rPr>
          <w:sz w:val="20"/>
          <w:szCs w:val="20"/>
          <w:color w:val="auto"/>
        </w:rPr>
      </w:pPr>
    </w:p>
    <w:tbl>
      <w:tblPr>
        <w:tblLayout w:type="fixed"/>
        <w:tblInd w:w="1093" w:type="dxa"/>
        <w:tblCellMar>
          <w:top w:w="0" w:type="dxa"/>
          <w:left w:w="0" w:type="dxa"/>
          <w:bottom w:w="0" w:type="dxa"/>
          <w:right w:w="0" w:type="dxa"/>
        </w:tblCellMar>
      </w:tblPr>
      <w:tr>
        <w:trPr>
          <w:trHeight w:val="163"/>
        </w:trPr>
        <w:tc>
          <w:tcPr>
            <w:tcW w:w="3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40" w:type="dxa"/>
            <w:vAlign w:val="bottom"/>
          </w:tcPr>
          <w:p>
            <w:pPr>
              <w:spacing w:after="0"/>
              <w:rPr>
                <w:sz w:val="14"/>
                <w:szCs w:val="14"/>
                <w:color w:val="auto"/>
              </w:rPr>
            </w:pPr>
          </w:p>
        </w:tc>
        <w:tc>
          <w:tcPr>
            <w:tcW w:w="34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right"/>
              <w:ind w:right="689"/>
              <w:spacing w:after="0"/>
              <w:rPr>
                <w:sz w:val="20"/>
                <w:szCs w:val="20"/>
                <w:color w:val="auto"/>
              </w:rPr>
            </w:pPr>
            <w:r>
              <w:rPr>
                <w:rFonts w:ascii="Courier New" w:cs="Courier New" w:eastAsia="Courier New" w:hAnsi="Courier New"/>
                <w:sz w:val="14"/>
                <w:szCs w:val="14"/>
                <w:color w:val="auto"/>
                <w:w w:val="95"/>
              </w:rPr>
              <w:t>1999</w:t>
            </w:r>
          </w:p>
        </w:tc>
        <w:tc>
          <w:tcPr>
            <w:tcW w:w="540" w:type="dxa"/>
            <w:vAlign w:val="bottom"/>
          </w:tcPr>
          <w:p>
            <w:pPr>
              <w:spacing w:after="0"/>
              <w:rPr>
                <w:sz w:val="14"/>
                <w:szCs w:val="14"/>
                <w:color w:val="auto"/>
              </w:rPr>
            </w:pPr>
          </w:p>
        </w:tc>
        <w:tc>
          <w:tcPr>
            <w:tcW w:w="9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p>
        </w:tc>
        <w:tc>
          <w:tcPr>
            <w:tcW w:w="20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3440" w:type="dxa"/>
            <w:vAlign w:val="bottom"/>
          </w:tcPr>
          <w:p>
            <w:pPr>
              <w:spacing w:after="0"/>
              <w:rPr>
                <w:sz w:val="20"/>
                <w:szCs w:val="20"/>
                <w:color w:val="auto"/>
              </w:rPr>
            </w:pPr>
            <w:r>
              <w:rPr>
                <w:rFonts w:ascii="Courier New" w:cs="Courier New" w:eastAsia="Courier New" w:hAnsi="Courier New"/>
                <w:sz w:val="14"/>
                <w:szCs w:val="14"/>
                <w:color w:val="auto"/>
              </w:rPr>
              <w:t>Deferred gain from sale to New CCA</w:t>
            </w:r>
          </w:p>
        </w:tc>
        <w:tc>
          <w:tcPr>
            <w:tcW w:w="9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63,337</w:t>
            </w:r>
          </w:p>
        </w:tc>
        <w:tc>
          <w:tcPr>
            <w:tcW w:w="5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63,316</w:t>
            </w:r>
          </w:p>
        </w:tc>
        <w:tc>
          <w:tcPr>
            <w:tcW w:w="0" w:type="dxa"/>
            <w:vAlign w:val="bottom"/>
          </w:tcPr>
          <w:p>
            <w:pPr>
              <w:spacing w:after="0"/>
              <w:rPr>
                <w:sz w:val="1"/>
                <w:szCs w:val="1"/>
                <w:color w:val="auto"/>
              </w:rPr>
            </w:pP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Deferred gain from sale to PMSI</w:t>
            </w:r>
          </w:p>
        </w:tc>
        <w:tc>
          <w:tcPr>
            <w:tcW w:w="90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28,290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35,363</w:t>
            </w:r>
          </w:p>
        </w:tc>
        <w:tc>
          <w:tcPr>
            <w:tcW w:w="0" w:type="dxa"/>
            <w:vAlign w:val="bottom"/>
          </w:tcPr>
          <w:p>
            <w:pPr>
              <w:spacing w:after="0"/>
              <w:rPr>
                <w:sz w:val="1"/>
                <w:szCs w:val="1"/>
                <w:color w:val="auto"/>
              </w:rPr>
            </w:pP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Deferred gain from sale to JJMS</w:t>
            </w:r>
          </w:p>
        </w:tc>
        <w:tc>
          <w:tcPr>
            <w:tcW w:w="90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14,418</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18,022</w:t>
            </w:r>
          </w:p>
        </w:tc>
        <w:tc>
          <w:tcPr>
            <w:tcW w:w="0" w:type="dxa"/>
            <w:vAlign w:val="bottom"/>
          </w:tcPr>
          <w:p>
            <w:pPr>
              <w:spacing w:after="0"/>
              <w:rPr>
                <w:sz w:val="1"/>
                <w:szCs w:val="1"/>
                <w:color w:val="auto"/>
              </w:rPr>
            </w:pPr>
          </w:p>
        </w:tc>
      </w:tr>
      <w:tr>
        <w:trPr>
          <w:trHeight w:val="163"/>
        </w:trPr>
        <w:tc>
          <w:tcPr>
            <w:tcW w:w="3440" w:type="dxa"/>
            <w:vAlign w:val="bottom"/>
          </w:tcPr>
          <w:p>
            <w:pPr>
              <w:spacing w:after="0"/>
              <w:rPr>
                <w:sz w:val="14"/>
                <w:szCs w:val="14"/>
                <w:color w:val="auto"/>
              </w:rPr>
            </w:pPr>
          </w:p>
        </w:tc>
        <w:tc>
          <w:tcPr>
            <w:tcW w:w="900" w:type="dxa"/>
            <w:vAlign w:val="bottom"/>
            <w:vMerge w:val="restart"/>
          </w:tcPr>
          <w:p>
            <w:pPr>
              <w:ind w:left="56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106,045</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116,701</w:t>
            </w: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p>
        </w:tc>
        <w:tc>
          <w:tcPr>
            <w:tcW w:w="20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left="593" w:right="3359"/>
        <w:spacing w:after="0" w:line="306" w:lineRule="auto"/>
        <w:rPr>
          <w:sz w:val="20"/>
          <w:szCs w:val="20"/>
          <w:color w:val="auto"/>
        </w:rPr>
      </w:pPr>
      <w:r>
        <w:rPr>
          <w:rFonts w:ascii="Courier New" w:cs="Courier New" w:eastAsia="Courier New" w:hAnsi="Courier New"/>
          <w:sz w:val="14"/>
          <w:szCs w:val="14"/>
          <w:color w:val="auto"/>
        </w:rPr>
        <w:t>For the year ended December 31, 1999, the Company recognized $7.1 million and $3.6 million of amortization of the deferred gains from the sales to PMSI and JJFMSI, respectively.</w:t>
      </w:r>
    </w:p>
    <w:p>
      <w:pPr>
        <w:spacing w:after="0" w:line="209" w:lineRule="exact"/>
        <w:rPr>
          <w:sz w:val="20"/>
          <w:szCs w:val="20"/>
          <w:color w:val="auto"/>
        </w:rPr>
      </w:pPr>
    </w:p>
    <w:p>
      <w:pPr>
        <w:ind w:left="593" w:hanging="508"/>
        <w:spacing w:after="0"/>
        <w:tabs>
          <w:tab w:leader="none" w:pos="59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67" w:lineRule="exact"/>
        <w:rPr>
          <w:rFonts w:ascii="Courier New" w:cs="Courier New" w:eastAsia="Courier New" w:hAnsi="Courier New"/>
          <w:sz w:val="14"/>
          <w:szCs w:val="14"/>
          <w:color w:val="auto"/>
        </w:rPr>
      </w:pPr>
    </w:p>
    <w:p>
      <w:pPr>
        <w:ind w:left="593" w:right="335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formerly a taxable corporation, currently intends to elect to change its tax status from a taxable corporation to a REIT effective with the filing of its 1999 federal income tax return. As of December 31, 1998, the Company's balance sheet reflected $83.2 million in gross deferred tax assets. In accordance with the provisions of Statement of Financial Accounting Standards No. 109, "Accounting for Income Taxes" ("SFAS 109"), the Company provided a provision for these deferred tax assets, excluding any estimated tax liabilities required for prior tax periods, upon completion of the 1999 Merger and the election to be taxed as a REIT. As such, the Company's results of operations reflect a provision for change in tax status of $83.2 million for the year ended December 31, 1999.</w:t>
      </w:r>
    </w:p>
    <w:p>
      <w:pPr>
        <w:spacing w:after="0" w:line="82" w:lineRule="exact"/>
        <w:rPr>
          <w:rFonts w:ascii="Courier New" w:cs="Courier New" w:eastAsia="Courier New" w:hAnsi="Courier New"/>
          <w:sz w:val="14"/>
          <w:szCs w:val="14"/>
          <w:color w:val="auto"/>
        </w:rPr>
      </w:pPr>
    </w:p>
    <w:p>
      <w:pPr>
        <w:ind w:left="59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income taxes is comprised of the following components:</w:t>
      </w:r>
    </w:p>
    <w:p>
      <w:pPr>
        <w:spacing w:after="0" w:line="200" w:lineRule="exact"/>
        <w:rPr>
          <w:sz w:val="20"/>
          <w:szCs w:val="20"/>
          <w:color w:val="auto"/>
        </w:rPr>
      </w:pPr>
    </w:p>
    <w:p>
      <w:pPr>
        <w:spacing w:after="0" w:line="294" w:lineRule="exact"/>
        <w:rPr>
          <w:sz w:val="20"/>
          <w:szCs w:val="20"/>
          <w:color w:val="auto"/>
        </w:rPr>
      </w:pPr>
    </w:p>
    <w:tbl>
      <w:tblPr>
        <w:tblLayout w:type="fixed"/>
        <w:tblInd w:w="593" w:type="dxa"/>
        <w:tblCellMar>
          <w:top w:w="0" w:type="dxa"/>
          <w:left w:w="0" w:type="dxa"/>
          <w:bottom w:w="0" w:type="dxa"/>
          <w:right w:w="0" w:type="dxa"/>
        </w:tblCellMar>
      </w:tblPr>
      <w:tr>
        <w:trPr>
          <w:trHeight w:val="163"/>
        </w:trPr>
        <w:tc>
          <w:tcPr>
            <w:tcW w:w="2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FOR THE YEARS ENDED DECEMBER 31,</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552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jc w:val="right"/>
              <w:ind w:right="569"/>
              <w:spacing w:after="0"/>
              <w:rPr>
                <w:sz w:val="20"/>
                <w:szCs w:val="20"/>
                <w:color w:val="auto"/>
              </w:rPr>
            </w:pPr>
            <w:r>
              <w:rPr>
                <w:rFonts w:ascii="Courier New" w:cs="Courier New" w:eastAsia="Courier New" w:hAnsi="Courier New"/>
                <w:sz w:val="14"/>
                <w:szCs w:val="14"/>
                <w:color w:val="auto"/>
                <w:w w:val="95"/>
              </w:rPr>
              <w:t>1999</w:t>
            </w:r>
          </w:p>
        </w:tc>
        <w:tc>
          <w:tcPr>
            <w:tcW w:w="420" w:type="dxa"/>
            <w:vAlign w:val="bottom"/>
          </w:tcPr>
          <w:p>
            <w:pPr>
              <w:spacing w:after="0"/>
              <w:rPr>
                <w:sz w:val="14"/>
                <w:szCs w:val="14"/>
                <w:color w:val="auto"/>
              </w:rPr>
            </w:pPr>
          </w:p>
        </w:tc>
        <w:tc>
          <w:tcPr>
            <w:tcW w:w="11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1998</w:t>
            </w:r>
          </w:p>
        </w:tc>
        <w:tc>
          <w:tcPr>
            <w:tcW w:w="520" w:type="dxa"/>
            <w:vAlign w:val="bottom"/>
          </w:tcPr>
          <w:p>
            <w:pPr>
              <w:spacing w:after="0"/>
              <w:rPr>
                <w:sz w:val="14"/>
                <w:szCs w:val="14"/>
                <w:color w:val="auto"/>
              </w:rPr>
            </w:pPr>
          </w:p>
        </w:tc>
        <w:tc>
          <w:tcPr>
            <w:tcW w:w="84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5"/>
              </w:rPr>
              <w:t>1997</w:t>
            </w: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26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Courier New" w:cs="Courier New" w:eastAsia="Courier New" w:hAnsi="Courier New"/>
                <w:sz w:val="14"/>
                <w:szCs w:val="14"/>
                <w:color w:val="auto"/>
              </w:rPr>
              <w:t>CURRENT PROVISION</w:t>
            </w:r>
          </w:p>
        </w:tc>
        <w:tc>
          <w:tcPr>
            <w:tcW w:w="1620" w:type="dxa"/>
            <w:vAlign w:val="bottom"/>
            <w:vMerge w:val="restart"/>
          </w:tcPr>
          <w:p>
            <w:pPr>
              <w:ind w:left="128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41,904</w:t>
            </w:r>
          </w:p>
        </w:tc>
        <w:tc>
          <w:tcPr>
            <w:tcW w:w="52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35,930</w:t>
            </w:r>
          </w:p>
        </w:tc>
        <w:tc>
          <w:tcPr>
            <w:tcW w:w="0" w:type="dxa"/>
            <w:vAlign w:val="bottom"/>
          </w:tcPr>
          <w:p>
            <w:pPr>
              <w:spacing w:after="0"/>
              <w:rPr>
                <w:sz w:val="1"/>
                <w:szCs w:val="1"/>
                <w:color w:val="auto"/>
              </w:rPr>
            </w:pPr>
          </w:p>
        </w:tc>
      </w:tr>
      <w:tr>
        <w:trPr>
          <w:trHeight w:val="163"/>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16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16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7,914</w:t>
            </w:r>
          </w:p>
        </w:tc>
        <w:tc>
          <w:tcPr>
            <w:tcW w:w="52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3,540</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1620" w:type="dxa"/>
            <w:vAlign w:val="bottom"/>
          </w:tcPr>
          <w:p>
            <w:pPr>
              <w:ind w:left="1280"/>
              <w:spacing w:after="0"/>
              <w:rPr>
                <w:sz w:val="20"/>
                <w:szCs w:val="20"/>
                <w:color w:val="auto"/>
              </w:rPr>
            </w:pPr>
            <w:r>
              <w:rPr>
                <w:rFonts w:ascii="Courier New" w:cs="Courier New" w:eastAsia="Courier New" w:hAnsi="Courier New"/>
                <w:sz w:val="5"/>
                <w:szCs w:val="5"/>
                <w:color w:val="auto"/>
                <w:w w:val="81"/>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49,818</w:t>
            </w:r>
          </w:p>
        </w:tc>
        <w:tc>
          <w:tcPr>
            <w:tcW w:w="52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39,470</w:t>
            </w:r>
          </w:p>
        </w:tc>
        <w:tc>
          <w:tcPr>
            <w:tcW w:w="0" w:type="dxa"/>
            <w:vAlign w:val="bottom"/>
          </w:tcPr>
          <w:p>
            <w:pPr>
              <w:spacing w:after="0"/>
              <w:rPr>
                <w:sz w:val="1"/>
                <w:szCs w:val="1"/>
                <w:color w:val="auto"/>
              </w:rPr>
            </w:pPr>
          </w:p>
        </w:tc>
      </w:tr>
      <w:tr>
        <w:trPr>
          <w:trHeight w:val="238"/>
        </w:trPr>
        <w:tc>
          <w:tcPr>
            <w:tcW w:w="2620" w:type="dxa"/>
            <w:vAlign w:val="bottom"/>
            <w:vMerge w:val="restart"/>
          </w:tcPr>
          <w:p>
            <w:pPr>
              <w:spacing w:after="0"/>
              <w:rPr>
                <w:sz w:val="20"/>
                <w:szCs w:val="20"/>
                <w:color w:val="auto"/>
              </w:rPr>
            </w:pPr>
            <w:r>
              <w:rPr>
                <w:rFonts w:ascii="Courier New" w:cs="Courier New" w:eastAsia="Courier New" w:hAnsi="Courier New"/>
                <w:sz w:val="14"/>
                <w:szCs w:val="14"/>
                <w:color w:val="auto"/>
              </w:rPr>
              <w:t>INCOME TAXES CHARGED TO EQUITY</w:t>
            </w:r>
          </w:p>
        </w:tc>
        <w:tc>
          <w:tcPr>
            <w:tcW w:w="26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26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7"/>
                <w:szCs w:val="7"/>
                <w:color w:val="auto"/>
              </w:rPr>
            </w:pPr>
          </w:p>
        </w:tc>
        <w:tc>
          <w:tcPr>
            <w:tcW w:w="114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4,016</w:t>
            </w:r>
          </w:p>
        </w:tc>
        <w:tc>
          <w:tcPr>
            <w:tcW w:w="520" w:type="dxa"/>
            <w:vAlign w:val="bottom"/>
          </w:tcPr>
          <w:p>
            <w:pPr>
              <w:spacing w:after="0"/>
              <w:rPr>
                <w:sz w:val="7"/>
                <w:szCs w:val="7"/>
                <w:color w:val="auto"/>
              </w:rPr>
            </w:pP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5,679</w:t>
            </w:r>
          </w:p>
        </w:tc>
        <w:tc>
          <w:tcPr>
            <w:tcW w:w="0" w:type="dxa"/>
            <w:vAlign w:val="bottom"/>
          </w:tcPr>
          <w:p>
            <w:pPr>
              <w:spacing w:after="0"/>
              <w:rPr>
                <w:sz w:val="1"/>
                <w:szCs w:val="1"/>
                <w:color w:val="auto"/>
              </w:rPr>
            </w:pPr>
          </w:p>
        </w:tc>
      </w:tr>
      <w:tr>
        <w:trPr>
          <w:trHeight w:val="163"/>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16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16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459</w:t>
            </w:r>
          </w:p>
        </w:tc>
        <w:tc>
          <w:tcPr>
            <w:tcW w:w="52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649</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1620" w:type="dxa"/>
            <w:vAlign w:val="bottom"/>
          </w:tcPr>
          <w:p>
            <w:pPr>
              <w:ind w:left="1280"/>
              <w:spacing w:after="0"/>
              <w:rPr>
                <w:sz w:val="20"/>
                <w:szCs w:val="20"/>
                <w:color w:val="auto"/>
              </w:rPr>
            </w:pPr>
            <w:r>
              <w:rPr>
                <w:rFonts w:ascii="Courier New" w:cs="Courier New" w:eastAsia="Courier New" w:hAnsi="Courier New"/>
                <w:sz w:val="5"/>
                <w:szCs w:val="5"/>
                <w:color w:val="auto"/>
                <w:w w:val="81"/>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4,475</w:t>
            </w:r>
          </w:p>
        </w:tc>
        <w:tc>
          <w:tcPr>
            <w:tcW w:w="52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6,328</w:t>
            </w:r>
          </w:p>
        </w:tc>
        <w:tc>
          <w:tcPr>
            <w:tcW w:w="0" w:type="dxa"/>
            <w:vAlign w:val="bottom"/>
          </w:tcPr>
          <w:p>
            <w:pPr>
              <w:spacing w:after="0"/>
              <w:rPr>
                <w:sz w:val="1"/>
                <w:szCs w:val="1"/>
                <w:color w:val="auto"/>
              </w:rPr>
            </w:pPr>
          </w:p>
        </w:tc>
      </w:tr>
      <w:tr>
        <w:trPr>
          <w:trHeight w:val="238"/>
        </w:trPr>
        <w:tc>
          <w:tcPr>
            <w:tcW w:w="2620" w:type="dxa"/>
            <w:vAlign w:val="bottom"/>
            <w:vMerge w:val="restart"/>
          </w:tcPr>
          <w:p>
            <w:pPr>
              <w:spacing w:after="0"/>
              <w:rPr>
                <w:sz w:val="20"/>
                <w:szCs w:val="20"/>
                <w:color w:val="auto"/>
              </w:rPr>
            </w:pPr>
            <w:r>
              <w:rPr>
                <w:rFonts w:ascii="Courier New" w:cs="Courier New" w:eastAsia="Courier New" w:hAnsi="Courier New"/>
                <w:sz w:val="14"/>
                <w:szCs w:val="14"/>
                <w:color w:val="auto"/>
              </w:rPr>
              <w:t>DEFERRED PROVISION (BENEFIT)</w:t>
            </w:r>
          </w:p>
        </w:tc>
        <w:tc>
          <w:tcPr>
            <w:tcW w:w="26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26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74,664</w:t>
            </w:r>
          </w:p>
        </w:tc>
        <w:tc>
          <w:tcPr>
            <w:tcW w:w="420" w:type="dxa"/>
            <w:vAlign w:val="bottom"/>
          </w:tcPr>
          <w:p>
            <w:pPr>
              <w:spacing w:after="0"/>
              <w:rPr>
                <w:sz w:val="7"/>
                <w:szCs w:val="7"/>
                <w:color w:val="auto"/>
              </w:rPr>
            </w:pPr>
          </w:p>
        </w:tc>
        <w:tc>
          <w:tcPr>
            <w:tcW w:w="11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(34,848)</w:t>
            </w:r>
          </w:p>
        </w:tc>
        <w:tc>
          <w:tcPr>
            <w:tcW w:w="52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(11,360)</w:t>
            </w:r>
          </w:p>
        </w:tc>
        <w:tc>
          <w:tcPr>
            <w:tcW w:w="0" w:type="dxa"/>
            <w:vAlign w:val="bottom"/>
          </w:tcPr>
          <w:p>
            <w:pPr>
              <w:spacing w:after="0"/>
              <w:rPr>
                <w:sz w:val="1"/>
                <w:szCs w:val="1"/>
                <w:color w:val="auto"/>
              </w:rPr>
            </w:pPr>
          </w:p>
        </w:tc>
      </w:tr>
      <w:tr>
        <w:trPr>
          <w:trHeight w:val="163"/>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16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16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8,536</w:t>
            </w:r>
          </w:p>
        </w:tc>
        <w:tc>
          <w:tcPr>
            <w:tcW w:w="420" w:type="dxa"/>
            <w:vAlign w:val="bottom"/>
          </w:tcPr>
          <w:p>
            <w:pPr>
              <w:spacing w:after="0"/>
              <w:rPr>
                <w:sz w:val="14"/>
                <w:szCs w:val="14"/>
                <w:color w:val="auto"/>
              </w:rPr>
            </w:pP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(4,021)</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(1,297)</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1620" w:type="dxa"/>
            <w:vAlign w:val="bottom"/>
          </w:tcPr>
          <w:p>
            <w:pPr>
              <w:ind w:left="1280"/>
              <w:spacing w:after="0"/>
              <w:rPr>
                <w:sz w:val="20"/>
                <w:szCs w:val="20"/>
                <w:color w:val="auto"/>
              </w:rPr>
            </w:pPr>
            <w:r>
              <w:rPr>
                <w:rFonts w:ascii="Courier New" w:cs="Courier New" w:eastAsia="Courier New" w:hAnsi="Courier New"/>
                <w:sz w:val="5"/>
                <w:szCs w:val="5"/>
                <w:color w:val="auto"/>
                <w:w w:val="81"/>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83,200</w:t>
            </w:r>
          </w:p>
        </w:tc>
        <w:tc>
          <w:tcPr>
            <w:tcW w:w="15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(38,869)</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(12,657)</w:t>
            </w:r>
          </w:p>
        </w:tc>
        <w:tc>
          <w:tcPr>
            <w:tcW w:w="0" w:type="dxa"/>
            <w:vAlign w:val="bottom"/>
          </w:tcPr>
          <w:p>
            <w:pPr>
              <w:spacing w:after="0"/>
              <w:rPr>
                <w:sz w:val="1"/>
                <w:szCs w:val="1"/>
                <w:color w:val="auto"/>
              </w:rPr>
            </w:pPr>
          </w:p>
        </w:tc>
      </w:tr>
      <w:tr>
        <w:trPr>
          <w:trHeight w:val="163"/>
        </w:trPr>
        <w:tc>
          <w:tcPr>
            <w:tcW w:w="2620" w:type="dxa"/>
            <w:vAlign w:val="bottom"/>
            <w:vMerge w:val="restart"/>
          </w:tcPr>
          <w:p>
            <w:pPr>
              <w:ind w:left="420"/>
              <w:spacing w:after="0"/>
              <w:rPr>
                <w:sz w:val="20"/>
                <w:szCs w:val="20"/>
                <w:color w:val="auto"/>
              </w:rPr>
            </w:pPr>
            <w:r>
              <w:rPr>
                <w:rFonts w:ascii="Courier New" w:cs="Courier New" w:eastAsia="Courier New" w:hAnsi="Courier New"/>
                <w:sz w:val="14"/>
                <w:szCs w:val="14"/>
                <w:color w:val="auto"/>
                <w:w w:val="99"/>
              </w:rPr>
              <w:t>Provision for income taxes</w:t>
            </w:r>
          </w:p>
        </w:tc>
        <w:tc>
          <w:tcPr>
            <w:tcW w:w="1620" w:type="dxa"/>
            <w:vAlign w:val="bottom"/>
            <w:vMerge w:val="restart"/>
          </w:tcPr>
          <w:p>
            <w:pPr>
              <w:ind w:left="1280"/>
              <w:spacing w:after="0"/>
              <w:rPr>
                <w:sz w:val="20"/>
                <w:szCs w:val="20"/>
                <w:color w:val="auto"/>
              </w:rPr>
            </w:pPr>
            <w:r>
              <w:rPr>
                <w:rFonts w:ascii="Courier New" w:cs="Courier New" w:eastAsia="Courier New" w:hAnsi="Courier New"/>
                <w:sz w:val="7"/>
                <w:szCs w:val="7"/>
                <w:color w:val="auto"/>
                <w:w w:val="93"/>
                <w:vertAlign w:val="subscript"/>
              </w:rPr>
              <w:t>$</w:t>
            </w:r>
            <w:r>
              <w:rPr>
                <w:rFonts w:ascii="Courier New" w:cs="Courier New" w:eastAsia="Courier New" w:hAnsi="Courier New"/>
                <w:sz w:val="4"/>
                <w:szCs w:val="4"/>
                <w:color w:val="auto"/>
                <w:w w:val="93"/>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83,200</w:t>
            </w:r>
          </w:p>
        </w:tc>
        <w:tc>
          <w:tcPr>
            <w:tcW w:w="15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2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15,424</w:t>
            </w:r>
          </w:p>
        </w:tc>
        <w:tc>
          <w:tcPr>
            <w:tcW w:w="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33,141</w:t>
            </w: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26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652"/>
        </w:trPr>
        <w:tc>
          <w:tcPr>
            <w:tcW w:w="26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Courier New" w:cs="Courier New" w:eastAsia="Courier New" w:hAnsi="Courier New"/>
                <w:sz w:val="14"/>
                <w:szCs w:val="14"/>
                <w:color w:val="auto"/>
              </w:rPr>
              <w:t>F-41</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2"/>
          </w:cols>
          <w:pgMar w:left="307" w:top="257"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4"/>
          <w:szCs w:val="14"/>
          <w:color w:val="auto"/>
        </w:rPr>
        <w:t>160</w:t>
      </w:r>
    </w:p>
    <w:p>
      <w:pPr>
        <w:spacing w:after="0" w:line="30" w:lineRule="exact"/>
        <w:rPr>
          <w:sz w:val="20"/>
          <w:szCs w:val="20"/>
          <w:color w:val="auto"/>
        </w:rPr>
      </w:pPr>
    </w:p>
    <w:p>
      <w:pPr>
        <w:ind w:left="340" w:right="3459"/>
        <w:spacing w:after="0" w:line="266" w:lineRule="auto"/>
        <w:rPr>
          <w:sz w:val="20"/>
          <w:szCs w:val="20"/>
          <w:color w:val="auto"/>
        </w:rPr>
      </w:pPr>
      <w:r>
        <w:rPr>
          <w:rFonts w:ascii="Courier New" w:cs="Courier New" w:eastAsia="Courier New" w:hAnsi="Courier New"/>
          <w:sz w:val="14"/>
          <w:szCs w:val="14"/>
          <w:color w:val="auto"/>
        </w:rPr>
        <w:t>In addition to the above, the cumulative effect of accounting change for 1998 was reported net of $10.3 million of estimated tax benefit. Of the $10.3 million total tax benefit related to the cumulative effect of accounting change, approximately $4.0 million related to current tax benefit and approximately $6.3 million related to deferred tax benefit.</w:t>
      </w:r>
    </w:p>
    <w:p>
      <w:pPr>
        <w:spacing w:after="0" w:line="74" w:lineRule="exact"/>
        <w:rPr>
          <w:sz w:val="20"/>
          <w:szCs w:val="20"/>
          <w:color w:val="auto"/>
        </w:rPr>
      </w:pPr>
    </w:p>
    <w:p>
      <w:pPr>
        <w:ind w:left="340" w:right="3359"/>
        <w:spacing w:after="0" w:line="276"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1998 are as follows:</w:t>
      </w:r>
    </w:p>
    <w:p>
      <w:pPr>
        <w:spacing w:after="0" w:line="393"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5180" w:type="dxa"/>
            <w:vAlign w:val="bottom"/>
          </w:tcPr>
          <w:p>
            <w:pPr>
              <w:spacing w:after="0"/>
              <w:rPr>
                <w:sz w:val="20"/>
                <w:szCs w:val="20"/>
                <w:color w:val="auto"/>
              </w:rPr>
            </w:pPr>
            <w:r>
              <w:rPr>
                <w:rFonts w:ascii="Courier New" w:cs="Courier New" w:eastAsia="Courier New" w:hAnsi="Courier New"/>
                <w:sz w:val="14"/>
                <w:szCs w:val="14"/>
                <w:color w:val="auto"/>
              </w:rPr>
              <w:t>CURRENT DEFERRED TAX ASSETS</w:t>
            </w:r>
          </w:p>
        </w:tc>
        <w:tc>
          <w:tcPr>
            <w:tcW w:w="1060" w:type="dxa"/>
            <w:vAlign w:val="bottom"/>
          </w:tcPr>
          <w:p>
            <w:pPr>
              <w:spacing w:after="0"/>
              <w:rPr>
                <w:sz w:val="14"/>
                <w:szCs w:val="14"/>
                <w:color w:val="auto"/>
              </w:rPr>
            </w:pPr>
          </w:p>
        </w:tc>
        <w:tc>
          <w:tcPr>
            <w:tcW w:w="80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2,750</w:t>
            </w:r>
          </w:p>
        </w:tc>
        <w:tc>
          <w:tcPr>
            <w:tcW w:w="0" w:type="dxa"/>
            <w:vAlign w:val="bottom"/>
          </w:tcPr>
          <w:p>
            <w:pPr>
              <w:spacing w:after="0"/>
              <w:rPr>
                <w:sz w:val="1"/>
                <w:szCs w:val="1"/>
                <w:color w:val="auto"/>
              </w:rPr>
            </w:pPr>
          </w:p>
        </w:tc>
      </w:tr>
      <w:tr>
        <w:trPr>
          <w:trHeight w:val="163"/>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Asset reserves and liabilities not yet deductible for tax</w:t>
            </w: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2,300</w:t>
            </w:r>
          </w:p>
        </w:tc>
        <w:tc>
          <w:tcPr>
            <w:tcW w:w="0" w:type="dxa"/>
            <w:vAlign w:val="bottom"/>
          </w:tcPr>
          <w:p>
            <w:pPr>
              <w:spacing w:after="0"/>
              <w:rPr>
                <w:sz w:val="1"/>
                <w:szCs w:val="1"/>
                <w:color w:val="auto"/>
              </w:rPr>
            </w:pPr>
          </w:p>
        </w:tc>
      </w:tr>
      <w:tr>
        <w:trPr>
          <w:trHeight w:val="163"/>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796</w:t>
            </w:r>
          </w:p>
        </w:tc>
        <w:tc>
          <w:tcPr>
            <w:tcW w:w="0" w:type="dxa"/>
            <w:vAlign w:val="bottom"/>
          </w:tcPr>
          <w:p>
            <w:pPr>
              <w:spacing w:after="0"/>
              <w:rPr>
                <w:sz w:val="1"/>
                <w:szCs w:val="1"/>
                <w:color w:val="auto"/>
              </w:rPr>
            </w:pPr>
          </w:p>
        </w:tc>
      </w:tr>
      <w:tr>
        <w:trPr>
          <w:trHeight w:val="163"/>
        </w:trPr>
        <w:tc>
          <w:tcPr>
            <w:tcW w:w="5180" w:type="dxa"/>
            <w:vAlign w:val="bottom"/>
            <w:vMerge w:val="restart"/>
          </w:tcPr>
          <w:p>
            <w:pPr>
              <w:ind w:left="760"/>
              <w:spacing w:after="0"/>
              <w:rPr>
                <w:sz w:val="20"/>
                <w:szCs w:val="20"/>
                <w:color w:val="auto"/>
              </w:rPr>
            </w:pPr>
            <w:r>
              <w:rPr>
                <w:rFonts w:ascii="Courier New" w:cs="Courier New" w:eastAsia="Courier New" w:hAnsi="Courier New"/>
                <w:sz w:val="14"/>
                <w:szCs w:val="14"/>
                <w:color w:val="auto"/>
              </w:rPr>
              <w:t>Total current deferred tax assets</w:t>
            </w:r>
          </w:p>
        </w:tc>
        <w:tc>
          <w:tcPr>
            <w:tcW w:w="1060" w:type="dxa"/>
            <w:vAlign w:val="bottom"/>
          </w:tcPr>
          <w:p>
            <w:pPr>
              <w:spacing w:after="0"/>
              <w:rPr>
                <w:sz w:val="14"/>
                <w:szCs w:val="14"/>
                <w:color w:val="auto"/>
              </w:rPr>
            </w:pPr>
          </w:p>
        </w:tc>
        <w:tc>
          <w:tcPr>
            <w:tcW w:w="15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5,846</w:t>
            </w:r>
          </w:p>
        </w:tc>
        <w:tc>
          <w:tcPr>
            <w:tcW w:w="0" w:type="dxa"/>
            <w:vAlign w:val="bottom"/>
          </w:tcPr>
          <w:p>
            <w:pPr>
              <w:spacing w:after="0"/>
              <w:rPr>
                <w:sz w:val="1"/>
                <w:szCs w:val="1"/>
                <w:color w:val="auto"/>
              </w:rPr>
            </w:pPr>
          </w:p>
        </w:tc>
      </w:tr>
      <w:tr>
        <w:trPr>
          <w:trHeight w:val="238"/>
        </w:trPr>
        <w:tc>
          <w:tcPr>
            <w:tcW w:w="5180" w:type="dxa"/>
            <w:vAlign w:val="bottom"/>
            <w:vMerge w:val="restart"/>
          </w:tcPr>
          <w:p>
            <w:pPr>
              <w:spacing w:after="0"/>
              <w:rPr>
                <w:sz w:val="20"/>
                <w:szCs w:val="20"/>
                <w:color w:val="auto"/>
              </w:rPr>
            </w:pPr>
            <w:r>
              <w:rPr>
                <w:rFonts w:ascii="Courier New" w:cs="Courier New" w:eastAsia="Courier New" w:hAnsi="Courier New"/>
                <w:sz w:val="14"/>
                <w:szCs w:val="14"/>
                <w:color w:val="auto"/>
              </w:rPr>
              <w:t>NONCURRENT DEFERRED TAX ASSETS</w:t>
            </w:r>
          </w:p>
        </w:tc>
        <w:tc>
          <w:tcPr>
            <w:tcW w:w="1060" w:type="dxa"/>
            <w:vAlign w:val="bottom"/>
          </w:tcPr>
          <w:p>
            <w:pPr>
              <w:spacing w:after="0"/>
              <w:rPr>
                <w:sz w:val="20"/>
                <w:szCs w:val="20"/>
                <w:color w:val="auto"/>
              </w:rPr>
            </w:pPr>
          </w:p>
        </w:tc>
        <w:tc>
          <w:tcPr>
            <w:tcW w:w="15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518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44,779</w:t>
            </w:r>
          </w:p>
        </w:tc>
        <w:tc>
          <w:tcPr>
            <w:tcW w:w="0" w:type="dxa"/>
            <w:vAlign w:val="bottom"/>
          </w:tcPr>
          <w:p>
            <w:pPr>
              <w:spacing w:after="0"/>
              <w:rPr>
                <w:sz w:val="1"/>
                <w:szCs w:val="1"/>
                <w:color w:val="auto"/>
              </w:rPr>
            </w:pPr>
          </w:p>
        </w:tc>
      </w:tr>
      <w:tr>
        <w:trPr>
          <w:trHeight w:val="163"/>
        </w:trPr>
        <w:tc>
          <w:tcPr>
            <w:tcW w:w="62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Deferred gain on real estate transactions and sales of contracts</w:t>
            </w:r>
          </w:p>
        </w:tc>
        <w:tc>
          <w:tcPr>
            <w:tcW w:w="8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2,055</w:t>
            </w:r>
          </w:p>
        </w:tc>
        <w:tc>
          <w:tcPr>
            <w:tcW w:w="0" w:type="dxa"/>
            <w:vAlign w:val="bottom"/>
          </w:tcPr>
          <w:p>
            <w:pPr>
              <w:spacing w:after="0"/>
              <w:rPr>
                <w:sz w:val="1"/>
                <w:szCs w:val="1"/>
                <w:color w:val="auto"/>
              </w:rPr>
            </w:pPr>
          </w:p>
        </w:tc>
      </w:tr>
      <w:tr>
        <w:trPr>
          <w:trHeight w:val="163"/>
        </w:trPr>
        <w:tc>
          <w:tcPr>
            <w:tcW w:w="5180" w:type="dxa"/>
            <w:vAlign w:val="bottom"/>
            <w:vMerge w:val="restart"/>
          </w:tcPr>
          <w:p>
            <w:pPr>
              <w:ind w:left="760"/>
              <w:spacing w:after="0"/>
              <w:rPr>
                <w:sz w:val="20"/>
                <w:szCs w:val="20"/>
                <w:color w:val="auto"/>
              </w:rPr>
            </w:pPr>
            <w:r>
              <w:rPr>
                <w:rFonts w:ascii="Courier New" w:cs="Courier New" w:eastAsia="Courier New" w:hAnsi="Courier New"/>
                <w:sz w:val="14"/>
                <w:szCs w:val="14"/>
                <w:color w:val="auto"/>
              </w:rPr>
              <w:t>Total noncurrent deferred tax assets</w:t>
            </w:r>
          </w:p>
        </w:tc>
        <w:tc>
          <w:tcPr>
            <w:tcW w:w="1060" w:type="dxa"/>
            <w:vAlign w:val="bottom"/>
          </w:tcPr>
          <w:p>
            <w:pPr>
              <w:spacing w:after="0"/>
              <w:rPr>
                <w:sz w:val="14"/>
                <w:szCs w:val="14"/>
                <w:color w:val="auto"/>
              </w:rPr>
            </w:pPr>
          </w:p>
        </w:tc>
        <w:tc>
          <w:tcPr>
            <w:tcW w:w="15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46,834</w:t>
            </w:r>
          </w:p>
        </w:tc>
        <w:tc>
          <w:tcPr>
            <w:tcW w:w="0" w:type="dxa"/>
            <w:vAlign w:val="bottom"/>
          </w:tcPr>
          <w:p>
            <w:pPr>
              <w:spacing w:after="0"/>
              <w:rPr>
                <w:sz w:val="1"/>
                <w:szCs w:val="1"/>
                <w:color w:val="auto"/>
              </w:rPr>
            </w:pPr>
          </w:p>
        </w:tc>
      </w:tr>
      <w:tr>
        <w:trPr>
          <w:trHeight w:val="238"/>
        </w:trPr>
        <w:tc>
          <w:tcPr>
            <w:tcW w:w="5180" w:type="dxa"/>
            <w:vAlign w:val="bottom"/>
            <w:vMerge w:val="restart"/>
          </w:tcPr>
          <w:p>
            <w:pPr>
              <w:spacing w:after="0"/>
              <w:rPr>
                <w:sz w:val="20"/>
                <w:szCs w:val="20"/>
                <w:color w:val="auto"/>
              </w:rPr>
            </w:pPr>
            <w:r>
              <w:rPr>
                <w:rFonts w:ascii="Courier New" w:cs="Courier New" w:eastAsia="Courier New" w:hAnsi="Courier New"/>
                <w:sz w:val="14"/>
                <w:szCs w:val="14"/>
                <w:color w:val="auto"/>
              </w:rPr>
              <w:t>NONCURRENT DEFERRED TAX LIABILITIES</w:t>
            </w:r>
          </w:p>
        </w:tc>
        <w:tc>
          <w:tcPr>
            <w:tcW w:w="1060" w:type="dxa"/>
            <w:vAlign w:val="bottom"/>
          </w:tcPr>
          <w:p>
            <w:pPr>
              <w:spacing w:after="0"/>
              <w:rPr>
                <w:sz w:val="20"/>
                <w:szCs w:val="20"/>
                <w:color w:val="auto"/>
              </w:rPr>
            </w:pPr>
          </w:p>
        </w:tc>
        <w:tc>
          <w:tcPr>
            <w:tcW w:w="15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518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(411)</w:t>
            </w:r>
          </w:p>
        </w:tc>
        <w:tc>
          <w:tcPr>
            <w:tcW w:w="0" w:type="dxa"/>
            <w:vAlign w:val="bottom"/>
          </w:tcPr>
          <w:p>
            <w:pPr>
              <w:spacing w:after="0"/>
              <w:rPr>
                <w:sz w:val="1"/>
                <w:szCs w:val="1"/>
                <w:color w:val="auto"/>
              </w:rPr>
            </w:pPr>
          </w:p>
        </w:tc>
      </w:tr>
      <w:tr>
        <w:trPr>
          <w:trHeight w:val="163"/>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Tax in excess of book depreciation</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Income items not yet taxable and other</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(1,069)</w:t>
            </w:r>
          </w:p>
        </w:tc>
        <w:tc>
          <w:tcPr>
            <w:tcW w:w="0" w:type="dxa"/>
            <w:vAlign w:val="bottom"/>
          </w:tcPr>
          <w:p>
            <w:pPr>
              <w:spacing w:after="0"/>
              <w:rPr>
                <w:sz w:val="1"/>
                <w:szCs w:val="1"/>
                <w:color w:val="auto"/>
              </w:rPr>
            </w:pPr>
          </w:p>
        </w:tc>
      </w:tr>
      <w:tr>
        <w:trPr>
          <w:trHeight w:val="163"/>
        </w:trPr>
        <w:tc>
          <w:tcPr>
            <w:tcW w:w="5180" w:type="dxa"/>
            <w:vAlign w:val="bottom"/>
            <w:vMerge w:val="restart"/>
          </w:tcPr>
          <w:p>
            <w:pPr>
              <w:ind w:left="760"/>
              <w:spacing w:after="0"/>
              <w:rPr>
                <w:sz w:val="20"/>
                <w:szCs w:val="20"/>
                <w:color w:val="auto"/>
              </w:rPr>
            </w:pPr>
            <w:r>
              <w:rPr>
                <w:rFonts w:ascii="Courier New" w:cs="Courier New" w:eastAsia="Courier New" w:hAnsi="Courier New"/>
                <w:sz w:val="14"/>
                <w:szCs w:val="14"/>
                <w:color w:val="auto"/>
              </w:rPr>
              <w:t>Total noncurrent deferred tax liabilities</w:t>
            </w:r>
          </w:p>
        </w:tc>
        <w:tc>
          <w:tcPr>
            <w:tcW w:w="1060" w:type="dxa"/>
            <w:vAlign w:val="bottom"/>
          </w:tcPr>
          <w:p>
            <w:pPr>
              <w:spacing w:after="0"/>
              <w:rPr>
                <w:sz w:val="14"/>
                <w:szCs w:val="14"/>
                <w:color w:val="auto"/>
              </w:rPr>
            </w:pPr>
          </w:p>
        </w:tc>
        <w:tc>
          <w:tcPr>
            <w:tcW w:w="15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(1,480)</w:t>
            </w:r>
          </w:p>
        </w:tc>
        <w:tc>
          <w:tcPr>
            <w:tcW w:w="0" w:type="dxa"/>
            <w:vAlign w:val="bottom"/>
          </w:tcPr>
          <w:p>
            <w:pPr>
              <w:spacing w:after="0"/>
              <w:rPr>
                <w:sz w:val="1"/>
                <w:szCs w:val="1"/>
                <w:color w:val="auto"/>
              </w:rPr>
            </w:pPr>
          </w:p>
        </w:tc>
      </w:tr>
      <w:tr>
        <w:trPr>
          <w:trHeight w:val="163"/>
        </w:trPr>
        <w:tc>
          <w:tcPr>
            <w:tcW w:w="5180" w:type="dxa"/>
            <w:vAlign w:val="bottom"/>
            <w:vMerge w:val="restart"/>
          </w:tcPr>
          <w:p>
            <w:pPr>
              <w:ind w:left="760"/>
              <w:spacing w:after="0"/>
              <w:rPr>
                <w:sz w:val="20"/>
                <w:szCs w:val="20"/>
                <w:color w:val="auto"/>
              </w:rPr>
            </w:pPr>
            <w:r>
              <w:rPr>
                <w:rFonts w:ascii="Courier New" w:cs="Courier New" w:eastAsia="Courier New" w:hAnsi="Courier New"/>
                <w:sz w:val="14"/>
                <w:szCs w:val="14"/>
                <w:color w:val="auto"/>
              </w:rPr>
              <w:t>Net deferred tax assets</w:t>
            </w:r>
          </w:p>
        </w:tc>
        <w:tc>
          <w:tcPr>
            <w:tcW w:w="1060" w:type="dxa"/>
            <w:vAlign w:val="bottom"/>
          </w:tcPr>
          <w:p>
            <w:pPr>
              <w:spacing w:after="0"/>
              <w:rPr>
                <w:sz w:val="14"/>
                <w:szCs w:val="14"/>
                <w:color w:val="auto"/>
              </w:rPr>
            </w:pPr>
          </w:p>
        </w:tc>
        <w:tc>
          <w:tcPr>
            <w:tcW w:w="15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51,200</w:t>
            </w: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15"/>
        </w:trPr>
        <w:tc>
          <w:tcPr>
            <w:tcW w:w="6240" w:type="dxa"/>
            <w:vAlign w:val="bottom"/>
            <w:gridSpan w:val="2"/>
          </w:tcPr>
          <w:p>
            <w:pPr>
              <w:spacing w:after="0"/>
              <w:rPr>
                <w:sz w:val="20"/>
                <w:szCs w:val="20"/>
                <w:color w:val="auto"/>
              </w:rPr>
            </w:pPr>
            <w:r>
              <w:rPr>
                <w:rFonts w:ascii="Courier New" w:cs="Courier New" w:eastAsia="Courier New" w:hAnsi="Courier New"/>
                <w:sz w:val="14"/>
                <w:szCs w:val="14"/>
                <w:color w:val="auto"/>
              </w:rPr>
              <w:t>A reconciliation of the statutory federal income tax rate and the</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240" w:type="dxa"/>
            <w:vAlign w:val="bottom"/>
            <w:gridSpan w:val="2"/>
          </w:tcPr>
          <w:p>
            <w:pPr>
              <w:spacing w:after="0"/>
              <w:rPr>
                <w:sz w:val="20"/>
                <w:szCs w:val="20"/>
                <w:color w:val="auto"/>
              </w:rPr>
            </w:pPr>
            <w:r>
              <w:rPr>
                <w:rFonts w:ascii="Courier New" w:cs="Courier New" w:eastAsia="Courier New" w:hAnsi="Courier New"/>
                <w:sz w:val="14"/>
                <w:szCs w:val="14"/>
                <w:color w:val="auto"/>
              </w:rPr>
              <w:t>effective tax rate as a percentage of pretax income for the years ended</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r>
              <w:rPr>
                <w:rFonts w:ascii="Courier New" w:cs="Courier New" w:eastAsia="Courier New" w:hAnsi="Courier New"/>
                <w:sz w:val="14"/>
                <w:szCs w:val="14"/>
                <w:color w:val="auto"/>
              </w:rPr>
              <w:t>December 31, 1998 and 1997 is as follows:</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8"/>
        </w:trPr>
        <w:tc>
          <w:tcPr>
            <w:tcW w:w="5180" w:type="dxa"/>
            <w:vAlign w:val="bottom"/>
          </w:tcPr>
          <w:p>
            <w:pPr>
              <w:spacing w:after="0"/>
              <w:rPr>
                <w:sz w:val="24"/>
                <w:szCs w:val="24"/>
                <w:color w:val="auto"/>
              </w:rPr>
            </w:pP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180" w:type="dxa"/>
            <w:vAlign w:val="bottom"/>
          </w:tcPr>
          <w:p>
            <w:pPr>
              <w:ind w:left="420"/>
              <w:spacing w:after="0"/>
              <w:rPr>
                <w:sz w:val="20"/>
                <w:szCs w:val="20"/>
                <w:color w:val="auto"/>
              </w:rPr>
            </w:pPr>
            <w:r>
              <w:rPr>
                <w:rFonts w:ascii="Courier New" w:cs="Courier New" w:eastAsia="Courier New" w:hAnsi="Courier New"/>
                <w:sz w:val="14"/>
                <w:szCs w:val="14"/>
                <w:color w:val="auto"/>
              </w:rPr>
              <w:t>Statutory federal rate</w:t>
            </w:r>
          </w:p>
        </w:tc>
        <w:tc>
          <w:tcPr>
            <w:tcW w:w="10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35.0%</w:t>
            </w:r>
          </w:p>
        </w:tc>
        <w:tc>
          <w:tcPr>
            <w:tcW w:w="8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35.0%</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5180" w:type="dxa"/>
            <w:vAlign w:val="bottom"/>
          </w:tcPr>
          <w:p>
            <w:pPr>
              <w:ind w:left="420"/>
              <w:spacing w:after="0"/>
              <w:rPr>
                <w:sz w:val="20"/>
                <w:szCs w:val="20"/>
                <w:color w:val="auto"/>
              </w:rPr>
            </w:pPr>
            <w:r>
              <w:rPr>
                <w:rFonts w:ascii="Courier New" w:cs="Courier New" w:eastAsia="Courier New" w:hAnsi="Courier New"/>
                <w:sz w:val="14"/>
                <w:szCs w:val="14"/>
                <w:color w:val="auto"/>
              </w:rPr>
              <w:t>State taxes, net of federal tax benefit</w:t>
            </w: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4.0</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80" w:type="dxa"/>
            <w:vAlign w:val="bottom"/>
          </w:tcPr>
          <w:p>
            <w:pPr>
              <w:ind w:left="420"/>
              <w:spacing w:after="0"/>
              <w:rPr>
                <w:sz w:val="20"/>
                <w:szCs w:val="20"/>
                <w:color w:val="auto"/>
              </w:rPr>
            </w:pPr>
            <w:r>
              <w:rPr>
                <w:rFonts w:ascii="Courier New" w:cs="Courier New" w:eastAsia="Courier New" w:hAnsi="Courier New"/>
                <w:sz w:val="14"/>
                <w:szCs w:val="14"/>
                <w:color w:val="auto"/>
              </w:rPr>
              <w:t>New CCA compensation charge</w:t>
            </w: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21.0</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80" w:type="dxa"/>
            <w:vAlign w:val="bottom"/>
          </w:tcPr>
          <w:p>
            <w:pPr>
              <w:ind w:left="420"/>
              <w:spacing w:after="0"/>
              <w:rPr>
                <w:sz w:val="20"/>
                <w:szCs w:val="20"/>
                <w:color w:val="auto"/>
              </w:rPr>
            </w:pPr>
            <w:r>
              <w:rPr>
                <w:rFonts w:ascii="Courier New" w:cs="Courier New" w:eastAsia="Courier New" w:hAnsi="Courier New"/>
                <w:sz w:val="14"/>
                <w:szCs w:val="14"/>
                <w:color w:val="auto"/>
              </w:rPr>
              <w:t>Deductions not previously benefited</w:t>
            </w:r>
          </w:p>
        </w:tc>
        <w:tc>
          <w:tcPr>
            <w:tcW w:w="10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(29.4)</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80" w:type="dxa"/>
            <w:vAlign w:val="bottom"/>
          </w:tcPr>
          <w:p>
            <w:pPr>
              <w:ind w:left="420"/>
              <w:spacing w:after="0"/>
              <w:rPr>
                <w:sz w:val="20"/>
                <w:szCs w:val="20"/>
                <w:color w:val="auto"/>
              </w:rPr>
            </w:pPr>
            <w:r>
              <w:rPr>
                <w:rFonts w:ascii="Courier New" w:cs="Courier New" w:eastAsia="Courier New" w:hAnsi="Courier New"/>
                <w:sz w:val="14"/>
                <w:szCs w:val="14"/>
                <w:color w:val="auto"/>
              </w:rPr>
              <w:t>Other items, net</w:t>
            </w: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5.8</w:t>
            </w:r>
          </w:p>
        </w:tc>
        <w:tc>
          <w:tcPr>
            <w:tcW w:w="8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80" w:type="dxa"/>
            <w:vAlign w:val="bottom"/>
          </w:tcPr>
          <w:p>
            <w:pPr>
              <w:spacing w:after="0"/>
              <w:rPr>
                <w:sz w:val="14"/>
                <w:szCs w:val="14"/>
                <w:color w:val="auto"/>
              </w:rPr>
            </w:pP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80" w:type="dxa"/>
            <w:vAlign w:val="bottom"/>
          </w:tcPr>
          <w:p>
            <w:pPr>
              <w:spacing w:after="0"/>
              <w:rPr>
                <w:sz w:val="14"/>
                <w:szCs w:val="14"/>
                <w:color w:val="auto"/>
              </w:rPr>
            </w:pPr>
          </w:p>
        </w:tc>
        <w:tc>
          <w:tcPr>
            <w:tcW w:w="10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36.4%</w:t>
            </w:r>
          </w:p>
        </w:tc>
        <w:tc>
          <w:tcPr>
            <w:tcW w:w="8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38.1%</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right="3359"/>
        <w:spacing w:after="0" w:line="270" w:lineRule="auto"/>
        <w:rPr>
          <w:sz w:val="20"/>
          <w:szCs w:val="20"/>
          <w:color w:val="auto"/>
        </w:rPr>
      </w:pPr>
      <w:r>
        <w:rPr>
          <w:rFonts w:ascii="Courier New" w:cs="Courier New" w:eastAsia="Courier New" w:hAnsi="Courier New"/>
          <w:sz w:val="14"/>
          <w:szCs w:val="14"/>
          <w:color w:val="auto"/>
        </w:rPr>
        <w:t>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See Note 22 for additional information on the Company's contingent tax liabilities.</w:t>
      </w:r>
    </w:p>
    <w:p>
      <w:pPr>
        <w:spacing w:after="0" w:line="23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F-42</w:t>
      </w:r>
    </w:p>
    <w:p>
      <w:pPr>
        <w:sectPr>
          <w:pgSz w:w="11900" w:h="16838" w:orient="portrait"/>
          <w:cols w:equalWidth="0" w:num="1">
            <w:col w:w="9899"/>
          </w:cols>
          <w:pgMar w:left="560" w:top="257" w:right="1440" w:bottom="1440" w:gutter="0" w:footer="0" w:header="0"/>
        </w:sectPr>
      </w:pPr>
    </w:p>
    <w:bookmarkStart w:id="162" w:name="page163"/>
    <w:bookmarkEnd w:id="162"/>
    <w:p>
      <w:pPr>
        <w:ind w:left="168"/>
        <w:spacing w:after="0"/>
        <w:rPr>
          <w:sz w:val="20"/>
          <w:szCs w:val="20"/>
          <w:color w:val="auto"/>
        </w:rPr>
      </w:pPr>
      <w:r>
        <w:rPr>
          <w:rFonts w:ascii="Courier New" w:cs="Courier New" w:eastAsia="Courier New" w:hAnsi="Courier New"/>
          <w:sz w:val="14"/>
          <w:szCs w:val="14"/>
          <w:color w:val="auto"/>
        </w:rPr>
        <w:t>161</w:t>
      </w:r>
    </w:p>
    <w:p>
      <w:pPr>
        <w:spacing w:after="0" w:line="30" w:lineRule="exact"/>
        <w:rPr>
          <w:sz w:val="20"/>
          <w:szCs w:val="20"/>
          <w:color w:val="auto"/>
        </w:rPr>
      </w:pPr>
    </w:p>
    <w:p>
      <w:pPr>
        <w:ind w:left="508" w:hanging="508"/>
        <w:spacing w:after="0"/>
        <w:tabs>
          <w:tab w:leader="none" w:pos="50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CCA COMPENSATION CHARGE</w:t>
      </w:r>
    </w:p>
    <w:p>
      <w:pPr>
        <w:spacing w:after="0" w:line="141" w:lineRule="exact"/>
        <w:rPr>
          <w:rFonts w:ascii="Courier New" w:cs="Courier New" w:eastAsia="Courier New" w:hAnsi="Courier New"/>
          <w:sz w:val="14"/>
          <w:szCs w:val="14"/>
          <w:color w:val="auto"/>
        </w:rPr>
      </w:pPr>
    </w:p>
    <w:p>
      <w:pPr>
        <w:ind w:left="508" w:right="335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Old CCA recorded a $22.9 million charge to expense in 1998 for the implied fair value of approximately 5.0 million shares of New CCA voting common stock issued by New CCA to certain employees of Old CCA and Old Prison Realty. The shares were granted to certain founding shareholders of New CCA in September 1998. Neither the Company, Old CCA nor New CCA received any proceeds from the issuance of these shares. The fair value of these common shares was determined at the date of the 1999 Merger based upon the implied value of New CCA derived from $16.0 million in cash investments made by outside investors in December 1998 in return for a 32% ownership interest in New CCA.</w:t>
      </w:r>
    </w:p>
    <w:p>
      <w:pPr>
        <w:spacing w:after="0" w:line="238" w:lineRule="exact"/>
        <w:rPr>
          <w:rFonts w:ascii="Courier New" w:cs="Courier New" w:eastAsia="Courier New" w:hAnsi="Courier New"/>
          <w:sz w:val="14"/>
          <w:szCs w:val="14"/>
          <w:color w:val="auto"/>
        </w:rPr>
      </w:pPr>
    </w:p>
    <w:p>
      <w:pPr>
        <w:ind w:left="508" w:hanging="508"/>
        <w:spacing w:after="0"/>
        <w:tabs>
          <w:tab w:leader="none" w:pos="50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67" w:lineRule="exact"/>
        <w:rPr>
          <w:rFonts w:ascii="Courier New" w:cs="Courier New" w:eastAsia="Courier New" w:hAnsi="Courier New"/>
          <w:sz w:val="14"/>
          <w:szCs w:val="14"/>
          <w:color w:val="auto"/>
        </w:rPr>
      </w:pPr>
    </w:p>
    <w:p>
      <w:pPr>
        <w:ind w:left="508" w:right="345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adopted the provisions of Statement of Financial Accounting Standards No. 128, "Earnings Per Share" ("SFAS 128"). Under the standards established by SFAS 128, earnings per share is measured at two levels: basic earnings per share and diluted earnings per share. Basic earnings per share is computed by dividing net income by the weighted average number of common shares outstanding during the year. Diluted earnings per share is computed by dividing net income (as adjusted) by the weighted average number of common shares after considering the additional dilution related to convertible preferred stock, convertible subordinated notes, options and warrants.</w:t>
      </w:r>
    </w:p>
    <w:p>
      <w:pPr>
        <w:spacing w:after="0" w:line="75" w:lineRule="exact"/>
        <w:rPr>
          <w:rFonts w:ascii="Courier New" w:cs="Courier New" w:eastAsia="Courier New" w:hAnsi="Courier New"/>
          <w:sz w:val="14"/>
          <w:szCs w:val="14"/>
          <w:color w:val="auto"/>
        </w:rPr>
      </w:pPr>
    </w:p>
    <w:p>
      <w:pPr>
        <w:ind w:left="508" w:right="34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year ended December 31, 1999, the Company's stock options and warrants and convertible subordinated notes were convertible into 0.2 million and 3.2 million shares, respectively. These incremental shares were excluded from the computation of diluted earnings per share for the year ended December 31, 1999 as the effect of their inclusion would have been anti-dilutive.</w:t>
      </w:r>
    </w:p>
    <w:p>
      <w:pPr>
        <w:spacing w:after="0" w:line="234" w:lineRule="exact"/>
        <w:rPr>
          <w:sz w:val="20"/>
          <w:szCs w:val="20"/>
          <w:color w:val="auto"/>
        </w:rPr>
      </w:pPr>
    </w:p>
    <w:p>
      <w:pPr>
        <w:ind w:left="3128"/>
        <w:spacing w:after="0"/>
        <w:rPr>
          <w:sz w:val="20"/>
          <w:szCs w:val="20"/>
          <w:color w:val="auto"/>
        </w:rPr>
      </w:pPr>
      <w:r>
        <w:rPr>
          <w:rFonts w:ascii="Courier New" w:cs="Courier New" w:eastAsia="Courier New" w:hAnsi="Courier New"/>
          <w:sz w:val="14"/>
          <w:szCs w:val="14"/>
          <w:color w:val="auto"/>
        </w:rPr>
        <w:t>F-43</w:t>
      </w:r>
    </w:p>
    <w:p>
      <w:pPr>
        <w:sectPr>
          <w:pgSz w:w="11900" w:h="16838" w:orient="portrait"/>
          <w:cols w:equalWidth="0" w:num="1">
            <w:col w:w="10067"/>
          </w:cols>
          <w:pgMar w:left="392" w:top="257" w:right="1440" w:bottom="1440" w:gutter="0" w:footer="0" w:header="0"/>
        </w:sectPr>
      </w:pPr>
    </w:p>
    <w:bookmarkStart w:id="163" w:name="page164"/>
    <w:bookmarkEnd w:id="163"/>
    <w:p>
      <w:pPr>
        <w:ind w:left="168"/>
        <w:spacing w:after="0"/>
        <w:rPr>
          <w:sz w:val="20"/>
          <w:szCs w:val="20"/>
          <w:color w:val="auto"/>
        </w:rPr>
      </w:pPr>
      <w:r>
        <w:rPr>
          <w:rFonts w:ascii="Courier New" w:cs="Courier New" w:eastAsia="Courier New" w:hAnsi="Courier New"/>
          <w:sz w:val="14"/>
          <w:szCs w:val="14"/>
          <w:color w:val="auto"/>
        </w:rPr>
        <w:t>162</w:t>
      </w:r>
    </w:p>
    <w:p>
      <w:pPr>
        <w:spacing w:after="0" w:line="30" w:lineRule="exact"/>
        <w:rPr>
          <w:sz w:val="20"/>
          <w:szCs w:val="20"/>
          <w:color w:val="auto"/>
        </w:rPr>
      </w:pPr>
    </w:p>
    <w:p>
      <w:pPr>
        <w:ind w:left="508" w:right="260"/>
        <w:spacing w:after="0" w:line="260" w:lineRule="auto"/>
        <w:rPr>
          <w:sz w:val="20"/>
          <w:szCs w:val="20"/>
          <w:color w:val="auto"/>
        </w:rPr>
      </w:pPr>
      <w:r>
        <w:rPr>
          <w:rFonts w:ascii="Courier New" w:cs="Courier New" w:eastAsia="Courier New" w:hAnsi="Courier New"/>
          <w:sz w:val="14"/>
          <w:szCs w:val="14"/>
          <w:color w:val="auto"/>
        </w:rPr>
        <w:t>In computing diluted earnings per common share, the Company's stock warrants and stock options are considered dilutive using the treasury stock method, and the Series B convertible preferred stock and the various convertible subordinated notes are considered dilutive using the if-converted method for the years ended December 31, 1998 and 1997. The following table presents information necessary to calculate diluted earnings per share for the years ended December 31:</w:t>
      </w:r>
    </w:p>
    <w:p>
      <w:pPr>
        <w:spacing w:after="0" w:line="200" w:lineRule="exact"/>
        <w:rPr>
          <w:sz w:val="20"/>
          <w:szCs w:val="20"/>
          <w:color w:val="auto"/>
        </w:rPr>
      </w:pPr>
    </w:p>
    <w:p>
      <w:pPr>
        <w:spacing w:after="0" w:line="202" w:lineRule="exact"/>
        <w:rPr>
          <w:sz w:val="20"/>
          <w:szCs w:val="20"/>
          <w:color w:val="auto"/>
        </w:rPr>
      </w:pPr>
    </w:p>
    <w:tbl>
      <w:tblPr>
        <w:tblLayout w:type="fixed"/>
        <w:tblInd w:w="508" w:type="dxa"/>
        <w:tblCellMar>
          <w:top w:w="0" w:type="dxa"/>
          <w:left w:w="0" w:type="dxa"/>
          <w:bottom w:w="0" w:type="dxa"/>
          <w:right w:w="0" w:type="dxa"/>
        </w:tblCellMar>
      </w:tblPr>
      <w:tr>
        <w:trPr>
          <w:trHeight w:val="163"/>
        </w:trPr>
        <w:tc>
          <w:tcPr>
            <w:tcW w:w="3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1999</w:t>
            </w:r>
          </w:p>
        </w:tc>
        <w:tc>
          <w:tcPr>
            <w:tcW w:w="420" w:type="dxa"/>
            <w:vAlign w:val="bottom"/>
          </w:tcPr>
          <w:p>
            <w:pPr>
              <w:spacing w:after="0"/>
              <w:rPr>
                <w:sz w:val="14"/>
                <w:szCs w:val="14"/>
                <w:color w:val="auto"/>
              </w:rPr>
            </w:pP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13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income (loss) available to common</w:t>
            </w:r>
          </w:p>
        </w:tc>
        <w:tc>
          <w:tcPr>
            <w:tcW w:w="1360" w:type="dxa"/>
            <w:vAlign w:val="bottom"/>
            <w:gridSpan w:val="2"/>
            <w:vMerge w:val="restart"/>
          </w:tcPr>
          <w:p>
            <w:pPr>
              <w:jc w:val="right"/>
              <w:ind w:right="189"/>
              <w:spacing w:after="0"/>
              <w:rPr>
                <w:sz w:val="20"/>
                <w:szCs w:val="20"/>
                <w:color w:val="auto"/>
              </w:rPr>
            </w:pPr>
            <w:r>
              <w:rPr>
                <w:rFonts w:ascii="Courier New" w:cs="Courier New" w:eastAsia="Courier New" w:hAnsi="Courier New"/>
                <w:sz w:val="14"/>
                <w:szCs w:val="14"/>
                <w:color w:val="auto"/>
              </w:rPr>
              <w:t>$ (61,976)</w:t>
            </w:r>
          </w:p>
        </w:tc>
        <w:tc>
          <w:tcPr>
            <w:tcW w:w="4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10,836</w:t>
            </w:r>
          </w:p>
        </w:tc>
        <w:tc>
          <w:tcPr>
            <w:tcW w:w="0" w:type="dxa"/>
            <w:vAlign w:val="bottom"/>
          </w:tcPr>
          <w:p>
            <w:pPr>
              <w:spacing w:after="0"/>
              <w:rPr>
                <w:sz w:val="1"/>
                <w:szCs w:val="1"/>
                <w:color w:val="auto"/>
              </w:rPr>
            </w:pPr>
          </w:p>
        </w:tc>
      </w:tr>
      <w:tr>
        <w:trPr>
          <w:trHeight w:val="163"/>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shareholders</w:t>
            </w:r>
          </w:p>
        </w:tc>
        <w:tc>
          <w:tcPr>
            <w:tcW w:w="13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Interest expense applicable to convertible</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subordinated notes, net of tax</w:t>
            </w:r>
          </w:p>
        </w:tc>
        <w:tc>
          <w:tcPr>
            <w:tcW w:w="380" w:type="dxa"/>
            <w:vAlign w:val="bottom"/>
          </w:tcPr>
          <w:p>
            <w:pPr>
              <w:spacing w:after="0"/>
              <w:rPr>
                <w:sz w:val="20"/>
                <w:szCs w:val="20"/>
                <w:color w:val="auto"/>
              </w:rPr>
            </w:pPr>
          </w:p>
        </w:tc>
        <w:tc>
          <w:tcPr>
            <w:tcW w:w="9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366</w:t>
            </w:r>
          </w:p>
        </w:tc>
        <w:tc>
          <w:tcPr>
            <w:tcW w:w="0" w:type="dxa"/>
            <w:vAlign w:val="bottom"/>
          </w:tcPr>
          <w:p>
            <w:pPr>
              <w:spacing w:after="0"/>
              <w:rPr>
                <w:sz w:val="1"/>
                <w:szCs w:val="1"/>
                <w:color w:val="auto"/>
              </w:rPr>
            </w:pPr>
          </w:p>
        </w:tc>
      </w:tr>
      <w:tr>
        <w:trPr>
          <w:trHeight w:val="88"/>
        </w:trPr>
        <w:tc>
          <w:tcPr>
            <w:tcW w:w="3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Adjusted net income (loss) available to</w:t>
            </w:r>
          </w:p>
        </w:tc>
        <w:tc>
          <w:tcPr>
            <w:tcW w:w="13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3980" w:type="dxa"/>
            <w:vAlign w:val="bottom"/>
            <w:vMerge w:val="continue"/>
          </w:tcPr>
          <w:p>
            <w:pPr>
              <w:spacing w:after="0"/>
              <w:rPr>
                <w:sz w:val="7"/>
                <w:szCs w:val="7"/>
                <w:color w:val="auto"/>
              </w:rPr>
            </w:pPr>
          </w:p>
        </w:tc>
        <w:tc>
          <w:tcPr>
            <w:tcW w:w="1360" w:type="dxa"/>
            <w:vAlign w:val="bottom"/>
            <w:gridSpan w:val="2"/>
            <w:vMerge w:val="restart"/>
          </w:tcPr>
          <w:p>
            <w:pPr>
              <w:jc w:val="right"/>
              <w:ind w:right="189"/>
              <w:spacing w:after="0"/>
              <w:rPr>
                <w:sz w:val="20"/>
                <w:szCs w:val="20"/>
                <w:color w:val="auto"/>
              </w:rPr>
            </w:pPr>
            <w:r>
              <w:rPr>
                <w:rFonts w:ascii="Courier New" w:cs="Courier New" w:eastAsia="Courier New" w:hAnsi="Courier New"/>
                <w:sz w:val="14"/>
                <w:szCs w:val="14"/>
                <w:color w:val="auto"/>
              </w:rPr>
              <w:t>$ (61,976)</w:t>
            </w:r>
          </w:p>
        </w:tc>
        <w:tc>
          <w:tcPr>
            <w:tcW w:w="4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11,202</w:t>
            </w:r>
          </w:p>
        </w:tc>
        <w:tc>
          <w:tcPr>
            <w:tcW w:w="0" w:type="dxa"/>
            <w:vAlign w:val="bottom"/>
          </w:tcPr>
          <w:p>
            <w:pPr>
              <w:spacing w:after="0"/>
              <w:rPr>
                <w:sz w:val="1"/>
                <w:szCs w:val="1"/>
                <w:color w:val="auto"/>
              </w:rPr>
            </w:pPr>
          </w:p>
        </w:tc>
      </w:tr>
      <w:tr>
        <w:trPr>
          <w:trHeight w:val="163"/>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common shareholders</w:t>
            </w:r>
          </w:p>
        </w:tc>
        <w:tc>
          <w:tcPr>
            <w:tcW w:w="13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13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6"/>
        </w:trPr>
        <w:tc>
          <w:tcPr>
            <w:tcW w:w="398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380" w:type="dxa"/>
            <w:vAlign w:val="bottom"/>
          </w:tcPr>
          <w:p>
            <w:pPr>
              <w:spacing w:after="0"/>
              <w:rPr>
                <w:sz w:val="24"/>
                <w:szCs w:val="24"/>
                <w:color w:val="auto"/>
              </w:rPr>
            </w:pPr>
          </w:p>
        </w:tc>
        <w:tc>
          <w:tcPr>
            <w:tcW w:w="9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115,097</w:t>
            </w:r>
          </w:p>
        </w:tc>
        <w:tc>
          <w:tcPr>
            <w:tcW w:w="42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71,380</w:t>
            </w:r>
          </w:p>
        </w:tc>
        <w:tc>
          <w:tcPr>
            <w:tcW w:w="0" w:type="dxa"/>
            <w:vAlign w:val="bottom"/>
          </w:tcPr>
          <w:p>
            <w:pPr>
              <w:spacing w:after="0"/>
              <w:rPr>
                <w:sz w:val="1"/>
                <w:szCs w:val="1"/>
                <w:color w:val="auto"/>
              </w:rPr>
            </w:pPr>
          </w:p>
        </w:tc>
      </w:tr>
      <w:tr>
        <w:trPr>
          <w:trHeight w:val="88"/>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Effect of dilutive options and warrants</w:t>
            </w:r>
          </w:p>
        </w:tc>
        <w:tc>
          <w:tcPr>
            <w:tcW w:w="3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9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3,689</w:t>
            </w:r>
          </w:p>
        </w:tc>
        <w:tc>
          <w:tcPr>
            <w:tcW w:w="0" w:type="dxa"/>
            <w:vAlign w:val="bottom"/>
          </w:tcPr>
          <w:p>
            <w:pPr>
              <w:spacing w:after="0"/>
              <w:rPr>
                <w:sz w:val="1"/>
                <w:szCs w:val="1"/>
                <w:color w:val="auto"/>
              </w:rPr>
            </w:pPr>
          </w:p>
        </w:tc>
      </w:tr>
      <w:tr>
        <w:trPr>
          <w:trHeight w:val="163"/>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Conversion of preferred stock</w:t>
            </w:r>
          </w:p>
        </w:tc>
        <w:tc>
          <w:tcPr>
            <w:tcW w:w="380" w:type="dxa"/>
            <w:vAlign w:val="bottom"/>
          </w:tcPr>
          <w:p>
            <w:pPr>
              <w:spacing w:after="0"/>
              <w:rPr>
                <w:sz w:val="14"/>
                <w:szCs w:val="14"/>
                <w:color w:val="auto"/>
              </w:rPr>
            </w:pPr>
          </w:p>
        </w:tc>
        <w:tc>
          <w:tcPr>
            <w:tcW w:w="9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481</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Conversion of convertible subordinated notes</w:t>
            </w:r>
          </w:p>
        </w:tc>
        <w:tc>
          <w:tcPr>
            <w:tcW w:w="380" w:type="dxa"/>
            <w:vAlign w:val="bottom"/>
          </w:tcPr>
          <w:p>
            <w:pPr>
              <w:spacing w:after="0"/>
              <w:rPr>
                <w:sz w:val="20"/>
                <w:szCs w:val="20"/>
                <w:color w:val="auto"/>
              </w:rPr>
            </w:pPr>
          </w:p>
        </w:tc>
        <w:tc>
          <w:tcPr>
            <w:tcW w:w="9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3,389</w:t>
            </w:r>
          </w:p>
        </w:tc>
        <w:tc>
          <w:tcPr>
            <w:tcW w:w="0" w:type="dxa"/>
            <w:vAlign w:val="bottom"/>
          </w:tcPr>
          <w:p>
            <w:pPr>
              <w:spacing w:after="0"/>
              <w:rPr>
                <w:sz w:val="1"/>
                <w:szCs w:val="1"/>
                <w:color w:val="auto"/>
              </w:rPr>
            </w:pPr>
          </w:p>
        </w:tc>
      </w:tr>
      <w:tr>
        <w:trPr>
          <w:trHeight w:val="88"/>
        </w:trPr>
        <w:tc>
          <w:tcPr>
            <w:tcW w:w="3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13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3980" w:type="dxa"/>
            <w:vAlign w:val="bottom"/>
          </w:tcPr>
          <w:p>
            <w:pPr>
              <w:spacing w:after="0"/>
              <w:rPr>
                <w:sz w:val="20"/>
                <w:szCs w:val="20"/>
                <w:color w:val="auto"/>
              </w:rPr>
            </w:pPr>
            <w:r>
              <w:rPr>
                <w:rFonts w:ascii="Courier New" w:cs="Courier New" w:eastAsia="Courier New" w:hAnsi="Courier New"/>
                <w:sz w:val="14"/>
                <w:szCs w:val="14"/>
                <w:color w:val="auto"/>
              </w:rPr>
              <w:t>Adjusted diluted common shares outstanding</w:t>
            </w:r>
          </w:p>
        </w:tc>
        <w:tc>
          <w:tcPr>
            <w:tcW w:w="380" w:type="dxa"/>
            <w:vAlign w:val="bottom"/>
          </w:tcPr>
          <w:p>
            <w:pPr>
              <w:spacing w:after="0"/>
              <w:rPr>
                <w:sz w:val="21"/>
                <w:szCs w:val="21"/>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115,097</w:t>
            </w: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78,939</w:t>
            </w:r>
          </w:p>
        </w:tc>
        <w:tc>
          <w:tcPr>
            <w:tcW w:w="0" w:type="dxa"/>
            <w:vAlign w:val="bottom"/>
          </w:tcPr>
          <w:p>
            <w:pPr>
              <w:spacing w:after="0"/>
              <w:rPr>
                <w:sz w:val="1"/>
                <w:szCs w:val="1"/>
                <w:color w:val="auto"/>
              </w:rPr>
            </w:pPr>
          </w:p>
        </w:tc>
      </w:tr>
      <w:tr>
        <w:trPr>
          <w:trHeight w:val="163"/>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13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98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(.54)</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13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8" w:right="4660" w:hanging="508"/>
        <w:spacing w:after="0" w:line="493" w:lineRule="auto"/>
        <w:tabs>
          <w:tab w:leader="none" w:pos="50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PREFERRED STOCK</w:t>
      </w:r>
    </w:p>
    <w:p>
      <w:pPr>
        <w:ind w:left="508" w:right="600"/>
        <w:spacing w:after="0" w:line="30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1998, the Company authorized 20.0 million shares of $.01 (one cent) par value preferred stock of which 4.3 million shares are designated as 8.0% Series A Cumulative Preferred Stock.</w:t>
      </w:r>
    </w:p>
    <w:p>
      <w:pPr>
        <w:spacing w:after="0" w:line="45" w:lineRule="exact"/>
        <w:rPr>
          <w:rFonts w:ascii="Courier New" w:cs="Courier New" w:eastAsia="Courier New" w:hAnsi="Courier New"/>
          <w:sz w:val="14"/>
          <w:szCs w:val="14"/>
          <w:color w:val="auto"/>
        </w:rPr>
      </w:pPr>
    </w:p>
    <w:p>
      <w:pPr>
        <w:ind w:left="508" w:right="1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discussed in Note 3, in connection with the Prison Realty Merger, Old Prison Realty shareholders received 1.0 share of Series A Cumulative Preferred Stock of the Company in exchange for each Old Prison Realty Series A Cumulative Preferred Share. Consequently, the Company issued 4.3 million shares of its 8.0% Series A Cumulative Preferred Stock on January 1, 1999. The Series A Cumulative Preferred Shares are redeemable at any time by the Company on or after January 30, 2003 at $25 per share, plus dividends accrued and unpaid to the redemption date. The 8.0% Series A Cumulative Preferred Shares have no stated maturity, sinking fund provision or mandatory redemption and are not convertible into any other securities of the Company. Dividends on the 8.0% Series A Cumulative Preferred Shares are cumulative from the date of original issue of such shares and are payable quarterly in arrears on the fifteenth day of January, April, July and October of each year, to shareholders of record on the last day of March, June, September and December of each year, respectively, at a fixed annual rate of 8.0%.</w:t>
      </w:r>
    </w:p>
    <w:p>
      <w:pPr>
        <w:spacing w:after="0" w:line="86" w:lineRule="exact"/>
        <w:rPr>
          <w:rFonts w:ascii="Courier New" w:cs="Courier New" w:eastAsia="Courier New" w:hAnsi="Courier New"/>
          <w:sz w:val="14"/>
          <w:szCs w:val="14"/>
          <w:color w:val="auto"/>
        </w:rPr>
      </w:pPr>
    </w:p>
    <w:p>
      <w:pPr>
        <w:ind w:left="508" w:right="160"/>
        <w:spacing w:after="0" w:line="28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Old CCA had authorized 400,000 shares of $1 (one dollar) par value Series B convertible preferred stock. During 1997, Old CCA issued approximately 380,000 shares of Series B convertible preferred stock. The preferred stock had the same voting rights as Old CCA's common stock.</w:t>
      </w:r>
    </w:p>
    <w:p>
      <w:pPr>
        <w:spacing w:after="0" w:line="222" w:lineRule="exact"/>
        <w:rPr>
          <w:sz w:val="20"/>
          <w:szCs w:val="20"/>
          <w:color w:val="auto"/>
        </w:rPr>
      </w:pPr>
    </w:p>
    <w:p>
      <w:pPr>
        <w:ind w:left="3128"/>
        <w:spacing w:after="0"/>
        <w:rPr>
          <w:sz w:val="20"/>
          <w:szCs w:val="20"/>
          <w:color w:val="auto"/>
        </w:rPr>
      </w:pPr>
      <w:r>
        <w:rPr>
          <w:rFonts w:ascii="Courier New" w:cs="Courier New" w:eastAsia="Courier New" w:hAnsi="Courier New"/>
          <w:sz w:val="14"/>
          <w:szCs w:val="14"/>
          <w:color w:val="auto"/>
        </w:rPr>
        <w:t>F-44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1997</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05" w:lineRule="exact"/>
        <w:rPr>
          <w:sz w:val="20"/>
          <w:szCs w:val="20"/>
          <w:color w:val="auto"/>
        </w:rPr>
      </w:pPr>
    </w:p>
    <w:p>
      <w:pPr>
        <w:ind w:left="260" w:hanging="251"/>
        <w:spacing w:after="0"/>
        <w:tabs>
          <w:tab w:leader="none" w:pos="2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53,955</w:t>
      </w:r>
    </w:p>
    <w:p>
      <w:pPr>
        <w:spacing w:after="0" w:line="33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700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ind w:left="260" w:hanging="251"/>
        <w:spacing w:after="0"/>
        <w:tabs>
          <w:tab w:leader="none" w:pos="2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54,655</w:t>
      </w:r>
    </w:p>
    <w:p>
      <w:pPr>
        <w:spacing w:after="0" w:line="3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05" w:lineRule="exact"/>
        <w:rPr>
          <w:sz w:val="20"/>
          <w:szCs w:val="20"/>
          <w:color w:val="auto"/>
        </w:rPr>
      </w:pPr>
    </w:p>
    <w:p>
      <w:pPr>
        <w:jc w:val="right"/>
        <w:ind w:right="1919"/>
        <w:spacing w:after="0"/>
        <w:rPr>
          <w:sz w:val="20"/>
          <w:szCs w:val="20"/>
          <w:color w:val="auto"/>
        </w:rPr>
      </w:pPr>
      <w:r>
        <w:rPr>
          <w:rFonts w:ascii="Courier New" w:cs="Courier New" w:eastAsia="Courier New" w:hAnsi="Courier New"/>
          <w:sz w:val="14"/>
          <w:szCs w:val="14"/>
          <w:color w:val="auto"/>
        </w:rPr>
        <w:t>67,568</w:t>
      </w:r>
    </w:p>
    <w:p>
      <w:pPr>
        <w:spacing w:after="0" w:line="30" w:lineRule="exact"/>
        <w:rPr>
          <w:sz w:val="20"/>
          <w:szCs w:val="20"/>
          <w:color w:val="auto"/>
        </w:rPr>
      </w:pPr>
    </w:p>
    <w:p>
      <w:pPr>
        <w:jc w:val="right"/>
        <w:ind w:right="1919"/>
        <w:spacing w:after="0"/>
        <w:rPr>
          <w:sz w:val="20"/>
          <w:szCs w:val="20"/>
          <w:color w:val="auto"/>
        </w:rPr>
      </w:pPr>
      <w:r>
        <w:rPr>
          <w:rFonts w:ascii="Courier New" w:cs="Courier New" w:eastAsia="Courier New" w:hAnsi="Courier New"/>
          <w:sz w:val="14"/>
          <w:szCs w:val="14"/>
          <w:color w:val="auto"/>
        </w:rPr>
        <w:t>6,369</w:t>
      </w:r>
    </w:p>
    <w:p>
      <w:pPr>
        <w:spacing w:after="0" w:line="4" w:lineRule="exact"/>
        <w:rPr>
          <w:sz w:val="20"/>
          <w:szCs w:val="20"/>
          <w:color w:val="auto"/>
        </w:rPr>
      </w:pPr>
    </w:p>
    <w:p>
      <w:pPr>
        <w:jc w:val="right"/>
        <w:ind w:right="1919"/>
        <w:spacing w:after="0"/>
        <w:rPr>
          <w:sz w:val="20"/>
          <w:szCs w:val="20"/>
          <w:color w:val="auto"/>
        </w:rPr>
      </w:pPr>
      <w:r>
        <w:rPr>
          <w:rFonts w:ascii="Courier New" w:cs="Courier New" w:eastAsia="Courier New" w:hAnsi="Courier New"/>
          <w:sz w:val="14"/>
          <w:szCs w:val="14"/>
          <w:color w:val="auto"/>
        </w:rPr>
        <w:t>159</w:t>
      </w:r>
    </w:p>
    <w:p>
      <w:pPr>
        <w:spacing w:after="0" w:line="14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4,863</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jc w:val="right"/>
        <w:ind w:right="1919"/>
        <w:spacing w:after="0"/>
        <w:rPr>
          <w:sz w:val="20"/>
          <w:szCs w:val="20"/>
          <w:color w:val="auto"/>
        </w:rPr>
      </w:pPr>
      <w:r>
        <w:rPr>
          <w:rFonts w:ascii="Courier New" w:cs="Courier New" w:eastAsia="Courier New" w:hAnsi="Courier New"/>
          <w:sz w:val="14"/>
          <w:szCs w:val="14"/>
          <w:color w:val="auto"/>
        </w:rPr>
        <w:t>78,959</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20" w:hanging="511"/>
        <w:spacing w:after="0"/>
        <w:tabs>
          <w:tab w:leader="none" w:pos="5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.69</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868" w:space="500"/>
            <w:col w:w="2699"/>
          </w:cols>
          <w:pgMar w:left="392" w:top="257"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4"/>
          <w:szCs w:val="14"/>
          <w:color w:val="auto"/>
        </w:rPr>
        <w:t>163</w:t>
      </w:r>
    </w:p>
    <w:p>
      <w:pPr>
        <w:spacing w:after="0" w:line="30" w:lineRule="exact"/>
        <w:rPr>
          <w:sz w:val="20"/>
          <w:szCs w:val="20"/>
          <w:color w:val="auto"/>
        </w:rPr>
      </w:pPr>
    </w:p>
    <w:p>
      <w:pPr>
        <w:ind w:left="340" w:right="3359"/>
        <w:spacing w:after="0" w:line="256" w:lineRule="auto"/>
        <w:rPr>
          <w:sz w:val="20"/>
          <w:szCs w:val="20"/>
          <w:color w:val="auto"/>
        </w:rPr>
      </w:pPr>
      <w:r>
        <w:rPr>
          <w:rFonts w:ascii="Courier New" w:cs="Courier New" w:eastAsia="Courier New" w:hAnsi="Courier New"/>
          <w:sz w:val="14"/>
          <w:szCs w:val="14"/>
          <w:color w:val="auto"/>
        </w:rPr>
        <w:t>Dividends were to be paid on the preferred stock at a rate equal to two times the dividend being paid on each share of Old CCA's common stock. Each share of the preferred stock was convertible into 1.94 shares of Old CCA's common stock. On October 2, 1998, pursuant to the terms of an Exchange Agreement by and among Old CCA, American Corrections Transport, Inc. ("ACT") and certain shareholders of ACT, and the charter of Old CCA, as amended, Old CCA converted each share of its Series B convertible preferred stock into 1.94 shares of Old CCA's common stock. Old CCA received no cash proceeds as a result of the transaction.</w:t>
      </w:r>
    </w:p>
    <w:p>
      <w:pPr>
        <w:spacing w:after="0" w:line="8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STOCK OFFERINGS</w:t>
      </w:r>
    </w:p>
    <w:p>
      <w:pPr>
        <w:spacing w:after="0" w:line="168" w:lineRule="exact"/>
        <w:rPr>
          <w:sz w:val="20"/>
          <w:szCs w:val="20"/>
          <w:color w:val="auto"/>
        </w:rPr>
      </w:pPr>
    </w:p>
    <w:p>
      <w:pPr>
        <w:jc w:val="both"/>
        <w:ind w:left="340" w:right="3459"/>
        <w:spacing w:after="0" w:line="259" w:lineRule="auto"/>
        <w:rPr>
          <w:sz w:val="20"/>
          <w:szCs w:val="20"/>
          <w:color w:val="auto"/>
        </w:rPr>
      </w:pPr>
      <w:r>
        <w:rPr>
          <w:rFonts w:ascii="Courier New" w:cs="Courier New" w:eastAsia="Courier New" w:hAnsi="Courier New"/>
          <w:sz w:val="14"/>
          <w:szCs w:val="14"/>
          <w:color w:val="auto"/>
        </w:rPr>
        <w:t>On November 4, 1998, Old CCA filed a Registration Statement on Form S-3 to register up to 3.0 million shares of Old CCA common stock for sale on a continuous and delayed basis using a "shelf" registration process.</w:t>
      </w:r>
    </w:p>
    <w:p>
      <w:pPr>
        <w:spacing w:after="0" w:line="2" w:lineRule="exact"/>
        <w:rPr>
          <w:sz w:val="20"/>
          <w:szCs w:val="20"/>
          <w:color w:val="auto"/>
        </w:rPr>
      </w:pPr>
    </w:p>
    <w:p>
      <w:pPr>
        <w:ind w:left="340" w:right="3619"/>
        <w:spacing w:after="0" w:line="262" w:lineRule="auto"/>
        <w:rPr>
          <w:sz w:val="20"/>
          <w:szCs w:val="20"/>
          <w:color w:val="auto"/>
        </w:rPr>
      </w:pPr>
      <w:r>
        <w:rPr>
          <w:rFonts w:ascii="Courier New" w:cs="Courier New" w:eastAsia="Courier New" w:hAnsi="Courier New"/>
          <w:sz w:val="14"/>
          <w:szCs w:val="14"/>
          <w:color w:val="auto"/>
        </w:rPr>
        <w:t>During December 1998, Old CCA sold, in a series of private placements, 2.9 million shares of Old CCA common stock to institutional investors pursuant to this registration statement. The net proceeds of approximately $65.4 million were utilized by Old CCA for general corporate purposes, including the repayment of indebtedness, financing capital expenditures and working capital.</w:t>
      </w:r>
    </w:p>
    <w:p>
      <w:pPr>
        <w:spacing w:after="0" w:line="77" w:lineRule="exact"/>
        <w:rPr>
          <w:sz w:val="20"/>
          <w:szCs w:val="20"/>
          <w:color w:val="auto"/>
        </w:rPr>
      </w:pPr>
    </w:p>
    <w:p>
      <w:pPr>
        <w:ind w:left="340" w:right="3359"/>
        <w:spacing w:after="0" w:line="260" w:lineRule="auto"/>
        <w:rPr>
          <w:sz w:val="20"/>
          <w:szCs w:val="20"/>
          <w:color w:val="auto"/>
        </w:rPr>
      </w:pPr>
      <w:r>
        <w:rPr>
          <w:rFonts w:ascii="Courier New" w:cs="Courier New" w:eastAsia="Courier New" w:hAnsi="Courier New"/>
          <w:sz w:val="14"/>
          <w:szCs w:val="14"/>
          <w:color w:val="auto"/>
        </w:rPr>
        <w:t>On January 11, 1999, the Company filed a Registration Statement on Form S-3 to register an aggregate of $1.5 billion in value of its common stock, preferred stock, common stock rights, warrants and debt securities for sale to the public (the "Shelf Registration Statement"). Proceeds from sales under the Shelf Registration Statement have been and will be used for general corporate purposes, including the acquisition and development of correctional and detention facilities. During 1999, the Company issued and sold approximately 6.7 million shares of its common stock under the Shelf Registration Statement, resulting in net proceeds to the Company of approximately $120.0 million.</w:t>
      </w:r>
    </w:p>
    <w:p>
      <w:pPr>
        <w:spacing w:after="0" w:line="76" w:lineRule="exact"/>
        <w:rPr>
          <w:sz w:val="20"/>
          <w:szCs w:val="20"/>
          <w:color w:val="auto"/>
        </w:rPr>
      </w:pPr>
    </w:p>
    <w:p>
      <w:pPr>
        <w:ind w:left="340" w:right="3359"/>
        <w:spacing w:after="0" w:line="260" w:lineRule="auto"/>
        <w:rPr>
          <w:sz w:val="20"/>
          <w:szCs w:val="20"/>
          <w:color w:val="auto"/>
        </w:rPr>
      </w:pPr>
      <w:r>
        <w:rPr>
          <w:rFonts w:ascii="Courier New" w:cs="Courier New" w:eastAsia="Courier New" w:hAnsi="Courier New"/>
          <w:sz w:val="14"/>
          <w:szCs w:val="14"/>
          <w:color w:val="auto"/>
        </w:rPr>
        <w:t>On May 7, 1999, the Company registered 10.0 million shares of the Company's common stock for issuance under the Company's Dividend Reinvestment and Stock Purchase Plan (the "Plan"). The Plan provides a method of investing cash dividends in, and making optional monthly cash purchases of, the Company's common stock, at prices reflecting a discount between 0% and 5% from the market price of the common stock on the New York Stock Exchange ("NYSE"). As of December 31, 1999, the Company has issued 1,261,431 shares under the Plan, with 1,253,232 of these shares issued under the Plan's optional cash feature resulting in proceeds of $12.3 million.</w:t>
      </w:r>
    </w:p>
    <w:p>
      <w:pPr>
        <w:spacing w:after="0" w:line="7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STOCK WARRANTS</w:t>
      </w:r>
    </w:p>
    <w:p>
      <w:pPr>
        <w:spacing w:after="0" w:line="168" w:lineRule="exact"/>
        <w:rPr>
          <w:sz w:val="20"/>
          <w:szCs w:val="20"/>
          <w:color w:val="auto"/>
        </w:rPr>
      </w:pPr>
    </w:p>
    <w:p>
      <w:pPr>
        <w:ind w:left="340" w:right="3459"/>
        <w:spacing w:after="0" w:line="276" w:lineRule="auto"/>
        <w:rPr>
          <w:sz w:val="20"/>
          <w:szCs w:val="20"/>
          <w:color w:val="auto"/>
        </w:rPr>
      </w:pPr>
      <w:r>
        <w:rPr>
          <w:rFonts w:ascii="Courier New" w:cs="Courier New" w:eastAsia="Courier New" w:hAnsi="Courier New"/>
          <w:sz w:val="14"/>
          <w:szCs w:val="14"/>
          <w:color w:val="auto"/>
        </w:rPr>
        <w:t>Old CCA had issued stock warrants to certain affiliated and unaffiliated parties for providing certain financing, consulting and brokerage services to Old CCA and to stockholders as a dividend. All outstanding warrants were exercised in 1998 for 3.9 million shares of common stock with no cash proceeds received by Old CCA.</w:t>
      </w:r>
    </w:p>
    <w:p>
      <w:pPr>
        <w:spacing w:after="0" w:line="6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TREASURY STOCK</w:t>
      </w:r>
    </w:p>
    <w:p>
      <w:pPr>
        <w:spacing w:after="0" w:line="168" w:lineRule="exact"/>
        <w:rPr>
          <w:sz w:val="20"/>
          <w:szCs w:val="20"/>
          <w:color w:val="auto"/>
        </w:rPr>
      </w:pPr>
    </w:p>
    <w:p>
      <w:pPr>
        <w:ind w:left="340" w:right="3359"/>
        <w:spacing w:after="0" w:line="263" w:lineRule="auto"/>
        <w:rPr>
          <w:sz w:val="20"/>
          <w:szCs w:val="20"/>
          <w:color w:val="auto"/>
        </w:rPr>
      </w:pPr>
      <w:r>
        <w:rPr>
          <w:rFonts w:ascii="Courier New" w:cs="Courier New" w:eastAsia="Courier New" w:hAnsi="Courier New"/>
          <w:sz w:val="14"/>
          <w:szCs w:val="14"/>
          <w:color w:val="auto"/>
        </w:rPr>
        <w:t>Old CCA's Board of Directors approved a stock repurchase program for up to an aggregate of 350,000 shares of Old CCA's stock for the purpose of funding the employee stock options, stock ownership and stock award plans. In September 1997, Old CCA repurchased 108,000 shares of its stock from a member of the Board of Directors of Old CCA at the market price pursuant to this program. In March 1998, the Old CCA repurchased 175,000 shares from its Chief Executive Officer at the market price pursuant to this program.</w:t>
      </w:r>
    </w:p>
    <w:p>
      <w:pPr>
        <w:spacing w:after="0" w:line="24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F-45</w:t>
      </w:r>
    </w:p>
    <w:p>
      <w:pPr>
        <w:sectPr>
          <w:pgSz w:w="11900" w:h="16838" w:orient="portrait"/>
          <w:cols w:equalWidth="0" w:num="1">
            <w:col w:w="9899"/>
          </w:cols>
          <w:pgMar w:left="560" w:top="257"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4"/>
          <w:szCs w:val="14"/>
          <w:color w:val="auto"/>
        </w:rPr>
        <w:t>164</w:t>
      </w:r>
    </w:p>
    <w:p>
      <w:pPr>
        <w:spacing w:after="0" w:line="30" w:lineRule="exact"/>
        <w:rPr>
          <w:sz w:val="20"/>
          <w:szCs w:val="20"/>
          <w:color w:val="auto"/>
        </w:rPr>
      </w:pPr>
    </w:p>
    <w:p>
      <w:pPr>
        <w:ind w:left="340" w:right="3459"/>
        <w:spacing w:after="0" w:line="286" w:lineRule="auto"/>
        <w:rPr>
          <w:sz w:val="20"/>
          <w:szCs w:val="20"/>
          <w:color w:val="auto"/>
        </w:rPr>
      </w:pPr>
      <w:r>
        <w:rPr>
          <w:rFonts w:ascii="Courier New" w:cs="Courier New" w:eastAsia="Courier New" w:hAnsi="Courier New"/>
          <w:sz w:val="14"/>
          <w:szCs w:val="14"/>
          <w:color w:val="auto"/>
        </w:rPr>
        <w:t>On December 31, 1998, all then outstanding treasury stock was retired in connection with the 1999 Merger. Treasury stock was recorded in 1999 related to the cashless exercise of stock options.</w:t>
      </w:r>
    </w:p>
    <w:p>
      <w:pPr>
        <w:spacing w:after="0" w:line="59"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STOCK OPTION PLANS</w:t>
      </w:r>
    </w:p>
    <w:p>
      <w:pPr>
        <w:spacing w:after="0" w:line="168" w:lineRule="exact"/>
        <w:rPr>
          <w:sz w:val="20"/>
          <w:szCs w:val="20"/>
          <w:color w:val="auto"/>
        </w:rPr>
      </w:pPr>
    </w:p>
    <w:p>
      <w:pPr>
        <w:ind w:left="340" w:right="3359"/>
        <w:spacing w:after="0" w:line="261" w:lineRule="auto"/>
        <w:rPr>
          <w:sz w:val="20"/>
          <w:szCs w:val="20"/>
          <w:color w:val="auto"/>
        </w:rPr>
      </w:pPr>
      <w:r>
        <w:rPr>
          <w:rFonts w:ascii="Courier New" w:cs="Courier New" w:eastAsia="Courier New" w:hAnsi="Courier New"/>
          <w:sz w:val="14"/>
          <w:szCs w:val="14"/>
          <w:color w:val="auto"/>
        </w:rPr>
        <w:t>The Company has incentive and nonqualified stock option plans under which options were granted to "key employees" as designated by the Board of Directors. The options are granted with exercise prices equal to the market value at the date of grant. In general, one-fourth of the options granted to employees vest immediately, with the remaining options becoming exercisable ratably on the first, second and third anniversary of the dates of grant. Options granted to non-employee trustees vest at the date of grant. The term of such options is ten years from the date of grant.</w:t>
      </w:r>
    </w:p>
    <w:p>
      <w:pPr>
        <w:spacing w:after="0" w:line="78" w:lineRule="exact"/>
        <w:rPr>
          <w:sz w:val="20"/>
          <w:szCs w:val="20"/>
          <w:color w:val="auto"/>
        </w:rPr>
      </w:pPr>
    </w:p>
    <w:p>
      <w:pPr>
        <w:ind w:left="340" w:right="3459"/>
        <w:spacing w:after="0" w:line="258" w:lineRule="auto"/>
        <w:rPr>
          <w:sz w:val="20"/>
          <w:szCs w:val="20"/>
          <w:color w:val="auto"/>
        </w:rPr>
      </w:pPr>
      <w:r>
        <w:rPr>
          <w:rFonts w:ascii="Courier New" w:cs="Courier New" w:eastAsia="Courier New" w:hAnsi="Courier New"/>
          <w:sz w:val="14"/>
          <w:szCs w:val="14"/>
          <w:color w:val="auto"/>
        </w:rPr>
        <w:t>In connection with the 1999 Merger, all options outstanding at December 31, 1998 to purchase Old CCA common stock and all options outstanding at January 1, 1999 to purchase Old Prison Realty common stock, were converted into options to purchase shares of the Company's common stock after giving effect to the exchange ratio and carryover of the vesting and other relevant terms. Options granted under Old CCA's stock option plans are exercisable after the later of two years from the date of employment or one year after the date of grant until ten years after the date of grant. Options granted under Old Prison Realty's stock option plans were granted with terms similar to the terms of the Company's plans.</w:t>
      </w:r>
    </w:p>
    <w:p>
      <w:pPr>
        <w:spacing w:after="0" w:line="82" w:lineRule="exact"/>
        <w:rPr>
          <w:sz w:val="20"/>
          <w:szCs w:val="20"/>
          <w:color w:val="auto"/>
        </w:rPr>
      </w:pPr>
    </w:p>
    <w:p>
      <w:pPr>
        <w:ind w:left="340" w:right="4039"/>
        <w:spacing w:after="0" w:line="366" w:lineRule="auto"/>
        <w:rPr>
          <w:sz w:val="20"/>
          <w:szCs w:val="20"/>
          <w:color w:val="auto"/>
        </w:rPr>
      </w:pPr>
      <w:r>
        <w:rPr>
          <w:rFonts w:ascii="Courier New" w:cs="Courier New" w:eastAsia="Courier New" w:hAnsi="Courier New"/>
          <w:sz w:val="14"/>
          <w:szCs w:val="14"/>
          <w:color w:val="auto"/>
        </w:rPr>
        <w:t>Stock option transactions relating to the Company's incentive and nonqualified stock option plans are summarized below:</w:t>
      </w:r>
    </w:p>
    <w:p>
      <w:pPr>
        <w:spacing w:after="0" w:line="200" w:lineRule="exact"/>
        <w:rPr>
          <w:sz w:val="20"/>
          <w:szCs w:val="20"/>
          <w:color w:val="auto"/>
        </w:rPr>
      </w:pPr>
    </w:p>
    <w:p>
      <w:pPr>
        <w:spacing w:after="0" w:line="295" w:lineRule="exact"/>
        <w:rPr>
          <w:sz w:val="20"/>
          <w:szCs w:val="20"/>
          <w:color w:val="auto"/>
        </w:rPr>
      </w:pPr>
    </w:p>
    <w:tbl>
      <w:tblPr>
        <w:tblLayout w:type="fixed"/>
        <w:tblInd w:w="840" w:type="dxa"/>
        <w:tblCellMar>
          <w:top w:w="0" w:type="dxa"/>
          <w:left w:w="0" w:type="dxa"/>
          <w:bottom w:w="0" w:type="dxa"/>
          <w:right w:w="0" w:type="dxa"/>
        </w:tblCellMar>
      </w:tblPr>
      <w:tr>
        <w:trPr>
          <w:trHeight w:val="163"/>
        </w:trPr>
        <w:tc>
          <w:tcPr>
            <w:tcW w:w="4160" w:type="dxa"/>
            <w:vAlign w:val="bottom"/>
          </w:tcPr>
          <w:p>
            <w:pPr>
              <w:spacing w:after="0"/>
              <w:rPr>
                <w:sz w:val="14"/>
                <w:szCs w:val="14"/>
                <w:color w:val="auto"/>
              </w:rPr>
            </w:pPr>
          </w:p>
        </w:tc>
        <w:tc>
          <w:tcPr>
            <w:tcW w:w="216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NUMBER OF</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WEIGHTED AVERAGE</w:t>
            </w: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1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EXERCISE PRICE</w:t>
            </w: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SHARES</w:t>
            </w:r>
          </w:p>
        </w:tc>
        <w:tc>
          <w:tcPr>
            <w:tcW w:w="44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PER SHARE</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0"/>
                <w:szCs w:val="20"/>
                <w:color w:val="auto"/>
              </w:rPr>
            </w:pPr>
            <w:r>
              <w:rPr>
                <w:rFonts w:ascii="Courier New" w:cs="Courier New" w:eastAsia="Courier New" w:hAnsi="Courier New"/>
                <w:sz w:val="14"/>
                <w:szCs w:val="14"/>
                <w:color w:val="auto"/>
              </w:rPr>
              <w:t>(In thousands, except exercise prices)</w:t>
            </w:r>
          </w:p>
        </w:tc>
        <w:tc>
          <w:tcPr>
            <w:tcW w:w="216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3,276</w:t>
            </w:r>
          </w:p>
        </w:tc>
        <w:tc>
          <w:tcPr>
            <w:tcW w:w="44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10.76</w:t>
            </w: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Outstanding at December 31, 1996</w:t>
            </w:r>
          </w:p>
        </w:tc>
        <w:tc>
          <w:tcPr>
            <w:tcW w:w="21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Granted</w:t>
            </w: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397</w:t>
            </w:r>
          </w:p>
        </w:tc>
        <w:tc>
          <w:tcPr>
            <w:tcW w:w="44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27.23</w:t>
            </w:r>
          </w:p>
        </w:tc>
        <w:tc>
          <w:tcPr>
            <w:tcW w:w="0" w:type="dxa"/>
            <w:vAlign w:val="bottom"/>
          </w:tcPr>
          <w:p>
            <w:pPr>
              <w:spacing w:after="0"/>
              <w:rPr>
                <w:sz w:val="1"/>
                <w:szCs w:val="1"/>
                <w:color w:val="auto"/>
              </w:rPr>
            </w:pPr>
          </w:p>
        </w:tc>
      </w:tr>
      <w:tr>
        <w:trPr>
          <w:trHeight w:val="163"/>
        </w:trPr>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21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(943)</w:t>
            </w:r>
          </w:p>
        </w:tc>
        <w:tc>
          <w:tcPr>
            <w:tcW w:w="44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8.69</w:t>
            </w:r>
          </w:p>
        </w:tc>
        <w:tc>
          <w:tcPr>
            <w:tcW w:w="0" w:type="dxa"/>
            <w:vAlign w:val="bottom"/>
          </w:tcPr>
          <w:p>
            <w:pPr>
              <w:spacing w:after="0"/>
              <w:rPr>
                <w:sz w:val="1"/>
                <w:szCs w:val="1"/>
                <w:color w:val="auto"/>
              </w:rPr>
            </w:pPr>
          </w:p>
        </w:tc>
      </w:tr>
      <w:tr>
        <w:trPr>
          <w:trHeight w:val="163"/>
        </w:trPr>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Cancelled</w:t>
            </w:r>
          </w:p>
        </w:tc>
        <w:tc>
          <w:tcPr>
            <w:tcW w:w="21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w:t>
            </w:r>
          </w:p>
        </w:tc>
        <w:tc>
          <w:tcPr>
            <w:tcW w:w="44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29.95</w:t>
            </w:r>
          </w:p>
        </w:tc>
        <w:tc>
          <w:tcPr>
            <w:tcW w:w="0" w:type="dxa"/>
            <w:vAlign w:val="bottom"/>
          </w:tcPr>
          <w:p>
            <w:pPr>
              <w:spacing w:after="0"/>
              <w:rPr>
                <w:sz w:val="1"/>
                <w:szCs w:val="1"/>
                <w:color w:val="auto"/>
              </w:rPr>
            </w:pPr>
          </w:p>
        </w:tc>
      </w:tr>
      <w:tr>
        <w:trPr>
          <w:trHeight w:val="163"/>
        </w:trPr>
        <w:tc>
          <w:tcPr>
            <w:tcW w:w="4160" w:type="dxa"/>
            <w:vAlign w:val="bottom"/>
            <w:vMerge w:val="restart"/>
          </w:tcPr>
          <w:p>
            <w:pPr>
              <w:spacing w:after="0"/>
              <w:rPr>
                <w:sz w:val="20"/>
                <w:szCs w:val="20"/>
                <w:color w:val="auto"/>
              </w:rPr>
            </w:pPr>
            <w:r>
              <w:rPr>
                <w:rFonts w:ascii="Courier New" w:cs="Courier New" w:eastAsia="Courier New" w:hAnsi="Courier New"/>
                <w:sz w:val="14"/>
                <w:szCs w:val="14"/>
                <w:color w:val="auto"/>
              </w:rPr>
              <w:t>Outstanding at December 31, 1997</w:t>
            </w: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60" w:type="dxa"/>
            <w:vAlign w:val="bottom"/>
            <w:vMerge w:val="continue"/>
          </w:tcPr>
          <w:p>
            <w:pPr>
              <w:spacing w:after="0"/>
              <w:rPr>
                <w:sz w:val="14"/>
                <w:szCs w:val="14"/>
                <w:color w:val="auto"/>
              </w:rPr>
            </w:pP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2,707</w:t>
            </w:r>
          </w:p>
        </w:tc>
        <w:tc>
          <w:tcPr>
            <w:tcW w:w="44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13.73</w:t>
            </w:r>
          </w:p>
        </w:tc>
        <w:tc>
          <w:tcPr>
            <w:tcW w:w="0" w:type="dxa"/>
            <w:vAlign w:val="bottom"/>
          </w:tcPr>
          <w:p>
            <w:pPr>
              <w:spacing w:after="0"/>
              <w:rPr>
                <w:sz w:val="1"/>
                <w:szCs w:val="1"/>
                <w:color w:val="auto"/>
              </w:rPr>
            </w:pPr>
          </w:p>
        </w:tc>
      </w:tr>
      <w:tr>
        <w:trPr>
          <w:trHeight w:val="163"/>
        </w:trPr>
        <w:tc>
          <w:tcPr>
            <w:tcW w:w="41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Granted</w:t>
            </w: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60" w:type="dxa"/>
            <w:vAlign w:val="bottom"/>
            <w:vMerge w:val="continue"/>
          </w:tcPr>
          <w:p>
            <w:pPr>
              <w:spacing w:after="0"/>
              <w:rPr>
                <w:sz w:val="14"/>
                <w:szCs w:val="14"/>
                <w:color w:val="auto"/>
              </w:rPr>
            </w:pP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467</w:t>
            </w:r>
          </w:p>
        </w:tc>
        <w:tc>
          <w:tcPr>
            <w:tcW w:w="44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38.55</w:t>
            </w:r>
          </w:p>
        </w:tc>
        <w:tc>
          <w:tcPr>
            <w:tcW w:w="0" w:type="dxa"/>
            <w:vAlign w:val="bottom"/>
          </w:tcPr>
          <w:p>
            <w:pPr>
              <w:spacing w:after="0"/>
              <w:rPr>
                <w:sz w:val="1"/>
                <w:szCs w:val="1"/>
                <w:color w:val="auto"/>
              </w:rPr>
            </w:pPr>
          </w:p>
        </w:tc>
      </w:tr>
      <w:tr>
        <w:trPr>
          <w:trHeight w:val="163"/>
        </w:trPr>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21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(1,393)</w:t>
            </w:r>
          </w:p>
        </w:tc>
        <w:tc>
          <w:tcPr>
            <w:tcW w:w="44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6.21</w:t>
            </w:r>
          </w:p>
        </w:tc>
        <w:tc>
          <w:tcPr>
            <w:tcW w:w="0" w:type="dxa"/>
            <w:vAlign w:val="bottom"/>
          </w:tcPr>
          <w:p>
            <w:pPr>
              <w:spacing w:after="0"/>
              <w:rPr>
                <w:sz w:val="1"/>
                <w:szCs w:val="1"/>
                <w:color w:val="auto"/>
              </w:rPr>
            </w:pPr>
          </w:p>
        </w:tc>
      </w:tr>
      <w:tr>
        <w:trPr>
          <w:trHeight w:val="163"/>
        </w:trPr>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Cancelled</w:t>
            </w:r>
          </w:p>
        </w:tc>
        <w:tc>
          <w:tcPr>
            <w:tcW w:w="21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(51)</w:t>
            </w:r>
          </w:p>
        </w:tc>
        <w:tc>
          <w:tcPr>
            <w:tcW w:w="44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28.23</w:t>
            </w:r>
          </w:p>
        </w:tc>
        <w:tc>
          <w:tcPr>
            <w:tcW w:w="0" w:type="dxa"/>
            <w:vAlign w:val="bottom"/>
          </w:tcPr>
          <w:p>
            <w:pPr>
              <w:spacing w:after="0"/>
              <w:rPr>
                <w:sz w:val="1"/>
                <w:szCs w:val="1"/>
                <w:color w:val="auto"/>
              </w:rPr>
            </w:pPr>
          </w:p>
        </w:tc>
      </w:tr>
      <w:tr>
        <w:trPr>
          <w:trHeight w:val="163"/>
        </w:trPr>
        <w:tc>
          <w:tcPr>
            <w:tcW w:w="4160" w:type="dxa"/>
            <w:vAlign w:val="bottom"/>
            <w:vMerge w:val="restart"/>
          </w:tcPr>
          <w:p>
            <w:pPr>
              <w:spacing w:after="0"/>
              <w:rPr>
                <w:sz w:val="20"/>
                <w:szCs w:val="20"/>
                <w:color w:val="auto"/>
              </w:rPr>
            </w:pPr>
            <w:r>
              <w:rPr>
                <w:rFonts w:ascii="Courier New" w:cs="Courier New" w:eastAsia="Courier New" w:hAnsi="Courier New"/>
                <w:sz w:val="14"/>
                <w:szCs w:val="14"/>
                <w:color w:val="auto"/>
              </w:rPr>
              <w:t>Outstanding at December 31, 1998</w:t>
            </w: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60" w:type="dxa"/>
            <w:vAlign w:val="bottom"/>
            <w:vMerge w:val="continue"/>
          </w:tcPr>
          <w:p>
            <w:pPr>
              <w:spacing w:after="0"/>
              <w:rPr>
                <w:sz w:val="14"/>
                <w:szCs w:val="14"/>
                <w:color w:val="auto"/>
              </w:rPr>
            </w:pP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1,730</w:t>
            </w:r>
          </w:p>
        </w:tc>
        <w:tc>
          <w:tcPr>
            <w:tcW w:w="44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26.08</w:t>
            </w:r>
          </w:p>
        </w:tc>
        <w:tc>
          <w:tcPr>
            <w:tcW w:w="0" w:type="dxa"/>
            <w:vAlign w:val="bottom"/>
          </w:tcPr>
          <w:p>
            <w:pPr>
              <w:spacing w:after="0"/>
              <w:rPr>
                <w:sz w:val="1"/>
                <w:szCs w:val="1"/>
                <w:color w:val="auto"/>
              </w:rPr>
            </w:pPr>
          </w:p>
        </w:tc>
      </w:tr>
      <w:tr>
        <w:trPr>
          <w:trHeight w:val="163"/>
        </w:trPr>
        <w:tc>
          <w:tcPr>
            <w:tcW w:w="41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Old Prison Realty options</w:t>
            </w: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60" w:type="dxa"/>
            <w:vAlign w:val="bottom"/>
            <w:vMerge w:val="continue"/>
          </w:tcPr>
          <w:p>
            <w:pPr>
              <w:spacing w:after="0"/>
              <w:rPr>
                <w:sz w:val="14"/>
                <w:szCs w:val="14"/>
                <w:color w:val="auto"/>
              </w:rPr>
            </w:pP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1,222</w:t>
            </w:r>
          </w:p>
        </w:tc>
        <w:tc>
          <w:tcPr>
            <w:tcW w:w="44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22.92</w:t>
            </w:r>
          </w:p>
        </w:tc>
        <w:tc>
          <w:tcPr>
            <w:tcW w:w="0" w:type="dxa"/>
            <w:vAlign w:val="bottom"/>
          </w:tcPr>
          <w:p>
            <w:pPr>
              <w:spacing w:after="0"/>
              <w:rPr>
                <w:sz w:val="1"/>
                <w:szCs w:val="1"/>
                <w:color w:val="auto"/>
              </w:rPr>
            </w:pPr>
          </w:p>
        </w:tc>
      </w:tr>
      <w:tr>
        <w:trPr>
          <w:trHeight w:val="163"/>
        </w:trPr>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Granted</w:t>
            </w: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397</w:t>
            </w:r>
          </w:p>
        </w:tc>
        <w:tc>
          <w:tcPr>
            <w:tcW w:w="44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19.93</w:t>
            </w:r>
          </w:p>
        </w:tc>
        <w:tc>
          <w:tcPr>
            <w:tcW w:w="0" w:type="dxa"/>
            <w:vAlign w:val="bottom"/>
          </w:tcPr>
          <w:p>
            <w:pPr>
              <w:spacing w:after="0"/>
              <w:rPr>
                <w:sz w:val="1"/>
                <w:szCs w:val="1"/>
                <w:color w:val="auto"/>
              </w:rPr>
            </w:pPr>
          </w:p>
        </w:tc>
      </w:tr>
      <w:tr>
        <w:trPr>
          <w:trHeight w:val="163"/>
        </w:trPr>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21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(144)</w:t>
            </w:r>
          </w:p>
        </w:tc>
        <w:tc>
          <w:tcPr>
            <w:tcW w:w="44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2.82</w:t>
            </w:r>
          </w:p>
        </w:tc>
        <w:tc>
          <w:tcPr>
            <w:tcW w:w="0" w:type="dxa"/>
            <w:vAlign w:val="bottom"/>
          </w:tcPr>
          <w:p>
            <w:pPr>
              <w:spacing w:after="0"/>
              <w:rPr>
                <w:sz w:val="1"/>
                <w:szCs w:val="1"/>
                <w:color w:val="auto"/>
              </w:rPr>
            </w:pPr>
          </w:p>
        </w:tc>
      </w:tr>
      <w:tr>
        <w:trPr>
          <w:trHeight w:val="163"/>
        </w:trPr>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Cancelled</w:t>
            </w:r>
          </w:p>
        </w:tc>
        <w:tc>
          <w:tcPr>
            <w:tcW w:w="21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(783)</w:t>
            </w:r>
          </w:p>
        </w:tc>
        <w:tc>
          <w:tcPr>
            <w:tcW w:w="44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24.21</w:t>
            </w:r>
          </w:p>
        </w:tc>
        <w:tc>
          <w:tcPr>
            <w:tcW w:w="0" w:type="dxa"/>
            <w:vAlign w:val="bottom"/>
          </w:tcPr>
          <w:p>
            <w:pPr>
              <w:spacing w:after="0"/>
              <w:rPr>
                <w:sz w:val="1"/>
                <w:szCs w:val="1"/>
                <w:color w:val="auto"/>
              </w:rPr>
            </w:pPr>
          </w:p>
        </w:tc>
      </w:tr>
      <w:tr>
        <w:trPr>
          <w:trHeight w:val="163"/>
        </w:trPr>
        <w:tc>
          <w:tcPr>
            <w:tcW w:w="4160" w:type="dxa"/>
            <w:vAlign w:val="bottom"/>
            <w:vMerge w:val="restart"/>
          </w:tcPr>
          <w:p>
            <w:pPr>
              <w:spacing w:after="0"/>
              <w:rPr>
                <w:sz w:val="20"/>
                <w:szCs w:val="20"/>
                <w:color w:val="auto"/>
              </w:rPr>
            </w:pPr>
            <w:r>
              <w:rPr>
                <w:rFonts w:ascii="Courier New" w:cs="Courier New" w:eastAsia="Courier New" w:hAnsi="Courier New"/>
                <w:sz w:val="14"/>
                <w:szCs w:val="14"/>
                <w:color w:val="auto"/>
              </w:rPr>
              <w:t>Outstanding at December 31, 1999</w:t>
            </w: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60" w:type="dxa"/>
            <w:vAlign w:val="bottom"/>
            <w:vMerge w:val="continue"/>
          </w:tcPr>
          <w:p>
            <w:pPr>
              <w:spacing w:after="0"/>
              <w:rPr>
                <w:sz w:val="14"/>
                <w:szCs w:val="14"/>
                <w:color w:val="auto"/>
              </w:rPr>
            </w:pP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2,422</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25.48</w:t>
            </w:r>
          </w:p>
        </w:tc>
        <w:tc>
          <w:tcPr>
            <w:tcW w:w="0" w:type="dxa"/>
            <w:vAlign w:val="bottom"/>
          </w:tcPr>
          <w:p>
            <w:pPr>
              <w:spacing w:after="0"/>
              <w:rPr>
                <w:sz w:val="1"/>
                <w:szCs w:val="1"/>
                <w:color w:val="auto"/>
              </w:rPr>
            </w:pPr>
          </w:p>
        </w:tc>
      </w:tr>
      <w:tr>
        <w:trPr>
          <w:trHeight w:val="163"/>
        </w:trPr>
        <w:tc>
          <w:tcPr>
            <w:tcW w:w="4160" w:type="dxa"/>
            <w:vAlign w:val="bottom"/>
            <w:vMerge w:val="restart"/>
          </w:tcPr>
          <w:p>
            <w:pPr>
              <w:spacing w:after="0"/>
              <w:rPr>
                <w:sz w:val="20"/>
                <w:szCs w:val="20"/>
                <w:color w:val="auto"/>
              </w:rPr>
            </w:pPr>
            <w:r>
              <w:rPr>
                <w:rFonts w:ascii="Courier New" w:cs="Courier New" w:eastAsia="Courier New" w:hAnsi="Courier New"/>
                <w:sz w:val="14"/>
                <w:szCs w:val="14"/>
                <w:color w:val="auto"/>
              </w:rPr>
              <w:t>Available for future grant</w:t>
            </w: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60" w:type="dxa"/>
            <w:vAlign w:val="bottom"/>
            <w:vMerge w:val="continue"/>
          </w:tcPr>
          <w:p>
            <w:pPr>
              <w:spacing w:after="0"/>
              <w:rPr>
                <w:sz w:val="14"/>
                <w:szCs w:val="14"/>
                <w:color w:val="auto"/>
              </w:rPr>
            </w:pP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781</w:t>
            </w:r>
          </w:p>
        </w:tc>
        <w:tc>
          <w:tcPr>
            <w:tcW w:w="44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60" w:type="dxa"/>
            <w:vAlign w:val="bottom"/>
            <w:vMerge w:val="restart"/>
          </w:tcPr>
          <w:p>
            <w:pPr>
              <w:spacing w:after="0"/>
              <w:rPr>
                <w:sz w:val="20"/>
                <w:szCs w:val="20"/>
                <w:color w:val="auto"/>
              </w:rPr>
            </w:pPr>
            <w:r>
              <w:rPr>
                <w:rFonts w:ascii="Courier New" w:cs="Courier New" w:eastAsia="Courier New" w:hAnsi="Courier New"/>
                <w:sz w:val="14"/>
                <w:szCs w:val="14"/>
                <w:color w:val="auto"/>
              </w:rPr>
              <w:t>Exercisable</w:t>
            </w: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60" w:type="dxa"/>
            <w:vAlign w:val="bottom"/>
            <w:vMerge w:val="continue"/>
          </w:tcPr>
          <w:p>
            <w:pPr>
              <w:spacing w:after="0"/>
              <w:rPr>
                <w:sz w:val="14"/>
                <w:szCs w:val="14"/>
                <w:color w:val="auto"/>
              </w:rPr>
            </w:pP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2,142</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26.04</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21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340" w:right="3359"/>
        <w:spacing w:after="0" w:line="306" w:lineRule="auto"/>
        <w:rPr>
          <w:sz w:val="20"/>
          <w:szCs w:val="20"/>
          <w:color w:val="auto"/>
        </w:rPr>
      </w:pPr>
      <w:r>
        <w:rPr>
          <w:rFonts w:ascii="Courier New" w:cs="Courier New" w:eastAsia="Courier New" w:hAnsi="Courier New"/>
          <w:sz w:val="14"/>
          <w:szCs w:val="14"/>
          <w:color w:val="auto"/>
        </w:rPr>
        <w:t>The weighted average fair value of options granted during 1999, 1998 and 1997 was $3.88, $16.43, and $11.59 per option, respectively, based on the estimated fair value using the Black-Scholes option-pricing model.</w:t>
      </w: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F-46</w:t>
      </w:r>
    </w:p>
    <w:p>
      <w:pPr>
        <w:sectPr>
          <w:pgSz w:w="11900" w:h="16838" w:orient="portrait"/>
          <w:cols w:equalWidth="0" w:num="1">
            <w:col w:w="9899"/>
          </w:cols>
          <w:pgMar w:left="560" w:top="257"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4"/>
          <w:szCs w:val="14"/>
          <w:color w:val="auto"/>
        </w:rPr>
        <w:t>165</w:t>
      </w:r>
    </w:p>
    <w:p>
      <w:pPr>
        <w:spacing w:after="0" w:line="3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Stock options outstanding at December 31, 1999 are summarized below:</w:t>
      </w:r>
    </w:p>
    <w:p>
      <w:pPr>
        <w:spacing w:after="0" w:line="200" w:lineRule="exact"/>
        <w:rPr>
          <w:sz w:val="20"/>
          <w:szCs w:val="20"/>
          <w:color w:val="auto"/>
        </w:rPr>
      </w:pPr>
    </w:p>
    <w:p>
      <w:pPr>
        <w:spacing w:after="0" w:line="268"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OPTIONS</w:t>
            </w:r>
          </w:p>
        </w:tc>
        <w:tc>
          <w:tcPr>
            <w:tcW w:w="540" w:type="dxa"/>
            <w:vAlign w:val="bottom"/>
          </w:tcPr>
          <w:p>
            <w:pPr>
              <w:spacing w:after="0"/>
              <w:rPr>
                <w:sz w:val="14"/>
                <w:szCs w:val="14"/>
                <w:color w:val="auto"/>
              </w:rPr>
            </w:pPr>
          </w:p>
        </w:tc>
        <w:tc>
          <w:tcPr>
            <w:tcW w:w="17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WEIGHTED AVERAGE</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60" w:type="dxa"/>
            <w:vAlign w:val="bottom"/>
            <w:gridSpan w:val="2"/>
            <w:vMerge w:val="restart"/>
          </w:tcPr>
          <w:p>
            <w:pPr>
              <w:ind w:left="420"/>
              <w:spacing w:after="0"/>
              <w:rPr>
                <w:sz w:val="20"/>
                <w:szCs w:val="20"/>
                <w:color w:val="auto"/>
              </w:rPr>
            </w:pPr>
            <w:r>
              <w:rPr>
                <w:rFonts w:ascii="Courier New" w:cs="Courier New" w:eastAsia="Courier New" w:hAnsi="Courier New"/>
                <w:sz w:val="14"/>
                <w:szCs w:val="14"/>
                <w:color w:val="auto"/>
              </w:rPr>
              <w:t>EXERCISE</w:t>
            </w:r>
          </w:p>
        </w:tc>
        <w:tc>
          <w:tcPr>
            <w:tcW w:w="1280" w:type="dxa"/>
            <w:vAlign w:val="bottom"/>
            <w:vMerge w:val="continue"/>
          </w:tcPr>
          <w:p>
            <w:pPr>
              <w:spacing w:after="0"/>
              <w:rPr>
                <w:sz w:val="14"/>
                <w:szCs w:val="14"/>
                <w:color w:val="auto"/>
              </w:rPr>
            </w:pPr>
          </w:p>
        </w:tc>
        <w:tc>
          <w:tcPr>
            <w:tcW w:w="5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AT</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REMAINING</w:t>
            </w:r>
          </w:p>
        </w:tc>
        <w:tc>
          <w:tcPr>
            <w:tcW w:w="1620" w:type="dxa"/>
            <w:vAlign w:val="bottom"/>
            <w:gridSpan w:val="2"/>
            <w:vMerge w:val="restart"/>
          </w:tcPr>
          <w:p>
            <w:pPr>
              <w:ind w:left="180"/>
              <w:spacing w:after="0"/>
              <w:rPr>
                <w:sz w:val="20"/>
                <w:szCs w:val="20"/>
                <w:color w:val="auto"/>
              </w:rPr>
            </w:pPr>
            <w:r>
              <w:rPr>
                <w:rFonts w:ascii="Courier New" w:cs="Courier New" w:eastAsia="Courier New" w:hAnsi="Courier New"/>
                <w:sz w:val="14"/>
                <w:szCs w:val="14"/>
                <w:color w:val="auto"/>
              </w:rPr>
              <w:t>WEIGHTED AVERAGE</w:t>
            </w:r>
          </w:p>
        </w:tc>
        <w:tc>
          <w:tcPr>
            <w:tcW w:w="0" w:type="dxa"/>
            <w:vAlign w:val="bottom"/>
          </w:tcPr>
          <w:p>
            <w:pPr>
              <w:spacing w:after="0"/>
              <w:rPr>
                <w:sz w:val="1"/>
                <w:szCs w:val="1"/>
                <w:color w:val="auto"/>
              </w:rPr>
            </w:pPr>
          </w:p>
        </w:tc>
      </w:tr>
      <w:tr>
        <w:trPr>
          <w:trHeight w:val="163"/>
        </w:trPr>
        <w:tc>
          <w:tcPr>
            <w:tcW w:w="1660" w:type="dxa"/>
            <w:vAlign w:val="bottom"/>
            <w:gridSpan w:val="2"/>
            <w:vMerge w:val="continue"/>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OUTSTANDING</w:t>
            </w:r>
          </w:p>
        </w:tc>
        <w:tc>
          <w:tcPr>
            <w:tcW w:w="540" w:type="dxa"/>
            <w:vAlign w:val="bottom"/>
            <w:vMerge w:val="continue"/>
          </w:tcPr>
          <w:p>
            <w:pPr>
              <w:spacing w:after="0"/>
              <w:rPr>
                <w:sz w:val="14"/>
                <w:szCs w:val="14"/>
                <w:color w:val="auto"/>
              </w:rPr>
            </w:pPr>
          </w:p>
        </w:tc>
        <w:tc>
          <w:tcPr>
            <w:tcW w:w="17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CONTRACTUAL LIFE</w:t>
            </w: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60" w:type="dxa"/>
            <w:vAlign w:val="bottom"/>
            <w:gridSpan w:val="2"/>
          </w:tcPr>
          <w:p>
            <w:pPr>
              <w:jc w:val="center"/>
              <w:ind w:right="129"/>
              <w:spacing w:after="0"/>
              <w:rPr>
                <w:sz w:val="20"/>
                <w:szCs w:val="20"/>
                <w:color w:val="auto"/>
              </w:rPr>
            </w:pPr>
            <w:r>
              <w:rPr>
                <w:rFonts w:ascii="Courier New" w:cs="Courier New" w:eastAsia="Courier New" w:hAnsi="Courier New"/>
                <w:sz w:val="14"/>
                <w:szCs w:val="14"/>
                <w:color w:val="auto"/>
                <w:w w:val="99"/>
              </w:rPr>
              <w:t>PRICE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1999</w:t>
            </w:r>
          </w:p>
        </w:tc>
        <w:tc>
          <w:tcPr>
            <w:tcW w:w="1780" w:type="dxa"/>
            <w:vAlign w:val="bottom"/>
          </w:tcPr>
          <w:p>
            <w:pPr>
              <w:jc w:val="center"/>
              <w:ind w:right="9"/>
              <w:spacing w:after="0"/>
              <w:rPr>
                <w:sz w:val="20"/>
                <w:szCs w:val="20"/>
                <w:color w:val="auto"/>
              </w:rPr>
            </w:pPr>
            <w:r>
              <w:rPr>
                <w:rFonts w:ascii="Courier New" w:cs="Courier New" w:eastAsia="Courier New" w:hAnsi="Courier New"/>
                <w:sz w:val="14"/>
                <w:szCs w:val="14"/>
                <w:color w:val="auto"/>
              </w:rPr>
              <w:t>(IN YEARS)</w:t>
            </w:r>
          </w:p>
        </w:tc>
        <w:tc>
          <w:tcPr>
            <w:tcW w:w="16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EXERCISE PRICE</w:t>
            </w:r>
          </w:p>
        </w:tc>
        <w:tc>
          <w:tcPr>
            <w:tcW w:w="0" w:type="dxa"/>
            <w:vAlign w:val="bottom"/>
          </w:tcPr>
          <w:p>
            <w:pPr>
              <w:spacing w:after="0"/>
              <w:rPr>
                <w:sz w:val="1"/>
                <w:szCs w:val="1"/>
                <w:color w:val="auto"/>
              </w:rPr>
            </w:pPr>
          </w:p>
        </w:tc>
      </w:tr>
      <w:tr>
        <w:trPr>
          <w:trHeight w:val="238"/>
        </w:trPr>
        <w:tc>
          <w:tcPr>
            <w:tcW w:w="16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9"/>
              </w:rPr>
              <w:t>-----------------</w:t>
            </w:r>
          </w:p>
        </w:tc>
        <w:tc>
          <w:tcPr>
            <w:tcW w:w="18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2"/>
        </w:trPr>
        <w:tc>
          <w:tcPr>
            <w:tcW w:w="16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$1.46</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540" w:type="dxa"/>
            <w:vAlign w:val="bottom"/>
          </w:tcPr>
          <w:p>
            <w:pPr>
              <w:spacing w:after="0"/>
              <w:rPr>
                <w:sz w:val="21"/>
                <w:szCs w:val="21"/>
                <w:color w:val="auto"/>
              </w:rPr>
            </w:pPr>
          </w:p>
        </w:tc>
        <w:tc>
          <w:tcPr>
            <w:tcW w:w="1780" w:type="dxa"/>
            <w:vAlign w:val="bottom"/>
          </w:tcPr>
          <w:p>
            <w:pPr>
              <w:jc w:val="center"/>
              <w:ind w:right="9"/>
              <w:spacing w:after="0"/>
              <w:rPr>
                <w:sz w:val="20"/>
                <w:szCs w:val="20"/>
                <w:color w:val="auto"/>
              </w:rPr>
            </w:pPr>
            <w:r>
              <w:rPr>
                <w:rFonts w:ascii="Courier New" w:cs="Courier New" w:eastAsia="Courier New" w:hAnsi="Courier New"/>
                <w:sz w:val="14"/>
                <w:szCs w:val="14"/>
                <w:color w:val="auto"/>
              </w:rPr>
              <w:t>2.17</w:t>
            </w: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1.46</w:t>
            </w:r>
          </w:p>
        </w:tc>
        <w:tc>
          <w:tcPr>
            <w:tcW w:w="0" w:type="dxa"/>
            <w:vAlign w:val="bottom"/>
          </w:tcPr>
          <w:p>
            <w:pPr>
              <w:spacing w:after="0"/>
              <w:rPr>
                <w:sz w:val="1"/>
                <w:szCs w:val="1"/>
                <w:color w:val="auto"/>
              </w:rPr>
            </w:pP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$2.21</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 $2.43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540" w:type="dxa"/>
            <w:vAlign w:val="bottom"/>
          </w:tcPr>
          <w:p>
            <w:pPr>
              <w:spacing w:after="0"/>
              <w:rPr>
                <w:sz w:val="14"/>
                <w:szCs w:val="14"/>
                <w:color w:val="auto"/>
              </w:rPr>
            </w:pPr>
          </w:p>
        </w:tc>
        <w:tc>
          <w:tcPr>
            <w:tcW w:w="1780" w:type="dxa"/>
            <w:vAlign w:val="bottom"/>
          </w:tcPr>
          <w:p>
            <w:pPr>
              <w:jc w:val="center"/>
              <w:ind w:right="9"/>
              <w:spacing w:after="0"/>
              <w:rPr>
                <w:sz w:val="20"/>
                <w:szCs w:val="20"/>
                <w:color w:val="auto"/>
              </w:rPr>
            </w:pPr>
            <w:r>
              <w:rPr>
                <w:rFonts w:ascii="Courier New" w:cs="Courier New" w:eastAsia="Courier New" w:hAnsi="Courier New"/>
                <w:sz w:val="14"/>
                <w:szCs w:val="14"/>
                <w:color w:val="auto"/>
              </w:rPr>
              <w:t>3.78</w:t>
            </w: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2.23</w:t>
            </w:r>
          </w:p>
        </w:tc>
        <w:tc>
          <w:tcPr>
            <w:tcW w:w="0" w:type="dxa"/>
            <w:vAlign w:val="bottom"/>
          </w:tcPr>
          <w:p>
            <w:pPr>
              <w:spacing w:after="0"/>
              <w:rPr>
                <w:sz w:val="1"/>
                <w:szCs w:val="1"/>
                <w:color w:val="auto"/>
              </w:rPr>
            </w:pP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$4.75</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 $6.50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c>
          <w:tcPr>
            <w:tcW w:w="540" w:type="dxa"/>
            <w:vAlign w:val="bottom"/>
          </w:tcPr>
          <w:p>
            <w:pPr>
              <w:spacing w:after="0"/>
              <w:rPr>
                <w:sz w:val="14"/>
                <w:szCs w:val="14"/>
                <w:color w:val="auto"/>
              </w:rPr>
            </w:pPr>
          </w:p>
        </w:tc>
        <w:tc>
          <w:tcPr>
            <w:tcW w:w="1780" w:type="dxa"/>
            <w:vAlign w:val="bottom"/>
          </w:tcPr>
          <w:p>
            <w:pPr>
              <w:jc w:val="center"/>
              <w:ind w:right="9"/>
              <w:spacing w:after="0"/>
              <w:rPr>
                <w:sz w:val="20"/>
                <w:szCs w:val="20"/>
                <w:color w:val="auto"/>
              </w:rPr>
            </w:pPr>
            <w:r>
              <w:rPr>
                <w:rFonts w:ascii="Courier New" w:cs="Courier New" w:eastAsia="Courier New" w:hAnsi="Courier New"/>
                <w:sz w:val="14"/>
                <w:szCs w:val="14"/>
                <w:color w:val="auto"/>
              </w:rPr>
              <w:t>5.05</w:t>
            </w: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5.88</w:t>
            </w:r>
          </w:p>
        </w:tc>
        <w:tc>
          <w:tcPr>
            <w:tcW w:w="0" w:type="dxa"/>
            <w:vAlign w:val="bottom"/>
          </w:tcPr>
          <w:p>
            <w:pPr>
              <w:spacing w:after="0"/>
              <w:rPr>
                <w:sz w:val="1"/>
                <w:szCs w:val="1"/>
                <w:color w:val="auto"/>
              </w:rPr>
            </w:pPr>
          </w:p>
        </w:tc>
      </w:tr>
      <w:tr>
        <w:trPr>
          <w:trHeight w:val="163"/>
        </w:trPr>
        <w:tc>
          <w:tcPr>
            <w:tcW w:w="16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$10.04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540" w:type="dxa"/>
            <w:vAlign w:val="bottom"/>
          </w:tcPr>
          <w:p>
            <w:pPr>
              <w:spacing w:after="0"/>
              <w:rPr>
                <w:sz w:val="14"/>
                <w:szCs w:val="14"/>
                <w:color w:val="auto"/>
              </w:rPr>
            </w:pPr>
          </w:p>
        </w:tc>
        <w:tc>
          <w:tcPr>
            <w:tcW w:w="1780" w:type="dxa"/>
            <w:vAlign w:val="bottom"/>
          </w:tcPr>
          <w:p>
            <w:pPr>
              <w:jc w:val="center"/>
              <w:ind w:right="9"/>
              <w:spacing w:after="0"/>
              <w:rPr>
                <w:sz w:val="20"/>
                <w:szCs w:val="20"/>
                <w:color w:val="auto"/>
              </w:rPr>
            </w:pPr>
            <w:r>
              <w:rPr>
                <w:rFonts w:ascii="Courier New" w:cs="Courier New" w:eastAsia="Courier New" w:hAnsi="Courier New"/>
                <w:sz w:val="14"/>
                <w:szCs w:val="14"/>
                <w:color w:val="auto"/>
              </w:rPr>
              <w:t>5.42</w:t>
            </w: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10.04</w:t>
            </w:r>
          </w:p>
        </w:tc>
        <w:tc>
          <w:tcPr>
            <w:tcW w:w="0" w:type="dxa"/>
            <w:vAlign w:val="bottom"/>
          </w:tcPr>
          <w:p>
            <w:pPr>
              <w:spacing w:after="0"/>
              <w:rPr>
                <w:sz w:val="1"/>
                <w:szCs w:val="1"/>
                <w:color w:val="auto"/>
              </w:rPr>
            </w:pP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$16.71</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 $23.00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1,065</w:t>
            </w:r>
          </w:p>
        </w:tc>
        <w:tc>
          <w:tcPr>
            <w:tcW w:w="540" w:type="dxa"/>
            <w:vAlign w:val="bottom"/>
          </w:tcPr>
          <w:p>
            <w:pPr>
              <w:spacing w:after="0"/>
              <w:rPr>
                <w:sz w:val="14"/>
                <w:szCs w:val="14"/>
                <w:color w:val="auto"/>
              </w:rPr>
            </w:pPr>
          </w:p>
        </w:tc>
        <w:tc>
          <w:tcPr>
            <w:tcW w:w="1780" w:type="dxa"/>
            <w:vAlign w:val="bottom"/>
          </w:tcPr>
          <w:p>
            <w:pPr>
              <w:jc w:val="center"/>
              <w:ind w:right="9"/>
              <w:spacing w:after="0"/>
              <w:rPr>
                <w:sz w:val="20"/>
                <w:szCs w:val="20"/>
                <w:color w:val="auto"/>
              </w:rPr>
            </w:pPr>
            <w:r>
              <w:rPr>
                <w:rFonts w:ascii="Courier New" w:cs="Courier New" w:eastAsia="Courier New" w:hAnsi="Courier New"/>
                <w:sz w:val="14"/>
                <w:szCs w:val="14"/>
                <w:color w:val="auto"/>
              </w:rPr>
              <w:t>7.83</w:t>
            </w: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20.49</w:t>
            </w:r>
          </w:p>
        </w:tc>
        <w:tc>
          <w:tcPr>
            <w:tcW w:w="0" w:type="dxa"/>
            <w:vAlign w:val="bottom"/>
          </w:tcPr>
          <w:p>
            <w:pPr>
              <w:spacing w:after="0"/>
              <w:rPr>
                <w:sz w:val="1"/>
                <w:szCs w:val="1"/>
                <w:color w:val="auto"/>
              </w:rPr>
            </w:pP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$27.71</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 $40.00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1,136</w:t>
            </w:r>
          </w:p>
        </w:tc>
        <w:tc>
          <w:tcPr>
            <w:tcW w:w="540" w:type="dxa"/>
            <w:vAlign w:val="bottom"/>
          </w:tcPr>
          <w:p>
            <w:pPr>
              <w:spacing w:after="0"/>
              <w:rPr>
                <w:sz w:val="14"/>
                <w:szCs w:val="14"/>
                <w:color w:val="auto"/>
              </w:rPr>
            </w:pPr>
          </w:p>
        </w:tc>
        <w:tc>
          <w:tcPr>
            <w:tcW w:w="1780" w:type="dxa"/>
            <w:vAlign w:val="bottom"/>
          </w:tcPr>
          <w:p>
            <w:pPr>
              <w:jc w:val="center"/>
              <w:ind w:right="9"/>
              <w:spacing w:after="0"/>
              <w:rPr>
                <w:sz w:val="20"/>
                <w:szCs w:val="20"/>
                <w:color w:val="auto"/>
              </w:rPr>
            </w:pPr>
            <w:r>
              <w:rPr>
                <w:rFonts w:ascii="Courier New" w:cs="Courier New" w:eastAsia="Courier New" w:hAnsi="Courier New"/>
                <w:sz w:val="14"/>
                <w:szCs w:val="14"/>
                <w:color w:val="auto"/>
              </w:rPr>
              <w:t>7.36</w:t>
            </w: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34.05</w:t>
            </w: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2,422</w:t>
            </w: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right="760"/>
        <w:spacing w:after="0" w:line="276" w:lineRule="auto"/>
        <w:rPr>
          <w:sz w:val="20"/>
          <w:szCs w:val="20"/>
          <w:color w:val="auto"/>
        </w:rPr>
      </w:pPr>
      <w:r>
        <w:rPr>
          <w:rFonts w:ascii="Courier New" w:cs="Courier New" w:eastAsia="Courier New" w:hAnsi="Courier New"/>
          <w:sz w:val="14"/>
          <w:szCs w:val="14"/>
          <w:color w:val="auto"/>
        </w:rPr>
        <w:t>During 1995, Old CCA authorized the issuance of 295,000 shares of common stock to certain key employees as a deferred stock award. The award becomes fully vested ten years from the date of grant based on continuous employment with the Company. The Company is expensing the $3.7 million of awards over the vesting period.</w:t>
      </w:r>
    </w:p>
    <w:p>
      <w:pPr>
        <w:spacing w:after="0" w:line="67" w:lineRule="exact"/>
        <w:rPr>
          <w:sz w:val="20"/>
          <w:szCs w:val="20"/>
          <w:color w:val="auto"/>
        </w:rPr>
      </w:pPr>
    </w:p>
    <w:p>
      <w:pPr>
        <w:ind w:left="340" w:right="760"/>
        <w:spacing w:after="0" w:line="270" w:lineRule="auto"/>
        <w:rPr>
          <w:sz w:val="20"/>
          <w:szCs w:val="20"/>
          <w:color w:val="auto"/>
        </w:rPr>
      </w:pPr>
      <w:r>
        <w:rPr>
          <w:rFonts w:ascii="Courier New" w:cs="Courier New" w:eastAsia="Courier New" w:hAnsi="Courier New"/>
          <w:sz w:val="14"/>
          <w:szCs w:val="14"/>
          <w:color w:val="auto"/>
        </w:rPr>
        <w:t>During 1997, Old CCA granted 70,000 stock options to a member of the Board of Directors of Old CCA to purchase Old CCA's common stock. The options were granted with an exercise price less than the market value on the date of grant and were exercisable immediately. As of December 31, 1998, Old CCA had recognized $0.5 million of compensation expense related to the issuance of these stock options.</w:t>
      </w:r>
    </w:p>
    <w:p>
      <w:pPr>
        <w:spacing w:after="0" w:line="71" w:lineRule="exact"/>
        <w:rPr>
          <w:sz w:val="20"/>
          <w:szCs w:val="20"/>
          <w:color w:val="auto"/>
        </w:rPr>
      </w:pPr>
    </w:p>
    <w:p>
      <w:pPr>
        <w:ind w:left="340" w:right="760"/>
        <w:spacing w:after="0" w:line="261" w:lineRule="auto"/>
        <w:rPr>
          <w:sz w:val="20"/>
          <w:szCs w:val="20"/>
          <w:color w:val="auto"/>
        </w:rPr>
      </w:pPr>
      <w:r>
        <w:rPr>
          <w:rFonts w:ascii="Courier New" w:cs="Courier New" w:eastAsia="Courier New" w:hAnsi="Courier New"/>
          <w:sz w:val="14"/>
          <w:szCs w:val="14"/>
          <w:color w:val="auto"/>
        </w:rPr>
        <w:t>During 1999, the Company authorized the issuance of 23,000 shares of common stock to four executives as deferred stock awards. The value of the awards on the date of grant was approximately $0.5 million. The awards vested 25% immediately upon date of the grant with the remaining shares vesting 25% on each anniversary date of the grant in each of the next three years. Effective December 31, 1999, two of the executives that received the awards resigned from the Company. All unvested shares issued to those two executives were forfeited upon their resignation. The Company expensed $0.1 million related to the shares in 1999.</w:t>
      </w:r>
    </w:p>
    <w:p>
      <w:pPr>
        <w:spacing w:after="0" w:line="2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3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AT</w:t>
            </w:r>
          </w:p>
        </w:tc>
        <w:tc>
          <w:tcPr>
            <w:tcW w:w="0" w:type="dxa"/>
            <w:vAlign w:val="bottom"/>
          </w:tcPr>
          <w:p>
            <w:pPr>
              <w:spacing w:after="0"/>
              <w:rPr>
                <w:sz w:val="1"/>
                <w:szCs w:val="1"/>
                <w:color w:val="auto"/>
              </w:rPr>
            </w:pPr>
          </w:p>
        </w:tc>
      </w:tr>
      <w:tr>
        <w:trPr>
          <w:trHeight w:val="163"/>
        </w:trPr>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EXERCISABLE</w:t>
            </w: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w w:val="99"/>
              </w:rPr>
              <w:t>DECEMBER 31,</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1999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4"/>
          <w:szCs w:val="14"/>
          <w:color w:val="auto"/>
        </w:rPr>
        <w:t>7</w:t>
      </w:r>
    </w:p>
    <w:p>
      <w:pPr>
        <w:spacing w:after="0" w:line="30"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4"/>
          <w:szCs w:val="14"/>
          <w:color w:val="auto"/>
        </w:rPr>
        <w:t>42</w:t>
      </w:r>
    </w:p>
    <w:p>
      <w:pPr>
        <w:spacing w:after="0" w:line="4"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4"/>
          <w:szCs w:val="14"/>
          <w:color w:val="auto"/>
        </w:rPr>
        <w:t>148</w:t>
      </w:r>
    </w:p>
    <w:p>
      <w:pPr>
        <w:spacing w:after="0" w:line="4"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4"/>
          <w:szCs w:val="14"/>
          <w:color w:val="auto"/>
        </w:rPr>
        <w:t>24</w:t>
      </w:r>
    </w:p>
    <w:p>
      <w:pPr>
        <w:spacing w:after="0" w:line="4"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4"/>
          <w:szCs w:val="14"/>
          <w:color w:val="auto"/>
        </w:rPr>
        <w:t>796</w:t>
      </w:r>
    </w:p>
    <w:p>
      <w:pPr>
        <w:spacing w:after="0" w:line="4"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4"/>
          <w:szCs w:val="14"/>
          <w:color w:val="auto"/>
        </w:rPr>
        <w:t>1,125</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2,142</w:t>
      </w:r>
    </w:p>
    <w:p>
      <w:pPr>
        <w:spacing w:after="0" w:line="4"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300" w:space="340"/>
            <w:col w:w="2259"/>
          </w:cols>
          <w:pgMar w:left="560" w:top="257"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4"/>
          <w:szCs w:val="14"/>
          <w:color w:val="auto"/>
        </w:rPr>
        <w:t>166</w:t>
      </w:r>
    </w:p>
    <w:p>
      <w:pPr>
        <w:spacing w:after="0" w:line="30" w:lineRule="exact"/>
        <w:rPr>
          <w:sz w:val="20"/>
          <w:szCs w:val="20"/>
          <w:color w:val="auto"/>
        </w:rPr>
      </w:pPr>
    </w:p>
    <w:p>
      <w:pPr>
        <w:ind w:left="340" w:right="3359"/>
        <w:spacing w:after="0" w:line="253" w:lineRule="auto"/>
        <w:rPr>
          <w:sz w:val="20"/>
          <w:szCs w:val="20"/>
          <w:color w:val="auto"/>
        </w:rPr>
      </w:pPr>
      <w:r>
        <w:rPr>
          <w:rFonts w:ascii="Courier New" w:cs="Courier New" w:eastAsia="Courier New" w:hAnsi="Courier New"/>
          <w:sz w:val="14"/>
          <w:szCs w:val="14"/>
          <w:color w:val="auto"/>
        </w:rPr>
        <w:t>The Company has adopted the disclosure-only provisions of Statement of Financial Accounting Standards No. 123, "Accounting for Stock-Based Compensation" ("SFAS 123") and accounts for stock-based compensation using the intrinsic value method as prescribed in Accounting Principles Board Opinion No. 25, "Accounting for Stock Issued to Employees" and related Interpretations. As a result, no compensation cost has been recognized for the Company's stock option plans under the criteria established by SFAS 123. Had compensation cost for the stock option plans been determined based on the fair value of the options at the grant date for awards in 1999, 1998 and 1997 consistent with the provisions of SFAS 123, the Company's net income and net income per share would have been reduced to the pro forma amounts indicated below for the years ended December 31:</w:t>
      </w:r>
    </w:p>
    <w:p>
      <w:pPr>
        <w:spacing w:after="0" w:line="200" w:lineRule="exact"/>
        <w:rPr>
          <w:sz w:val="20"/>
          <w:szCs w:val="20"/>
          <w:color w:val="auto"/>
        </w:rPr>
      </w:pP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1999</w:t>
            </w:r>
          </w:p>
        </w:tc>
        <w:tc>
          <w:tcPr>
            <w:tcW w:w="420" w:type="dxa"/>
            <w:vAlign w:val="bottom"/>
          </w:tcPr>
          <w:p>
            <w:pPr>
              <w:spacing w:after="0"/>
              <w:rPr>
                <w:sz w:val="14"/>
                <w:szCs w:val="14"/>
                <w:color w:val="auto"/>
              </w:rPr>
            </w:pPr>
          </w:p>
        </w:tc>
        <w:tc>
          <w:tcPr>
            <w:tcW w:w="102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440" w:type="dxa"/>
            <w:vAlign w:val="bottom"/>
          </w:tcPr>
          <w:p>
            <w:pPr>
              <w:spacing w:after="0"/>
              <w:rPr>
                <w:sz w:val="14"/>
                <w:szCs w:val="14"/>
                <w:color w:val="auto"/>
              </w:rPr>
            </w:pPr>
          </w:p>
        </w:tc>
        <w:tc>
          <w:tcPr>
            <w:tcW w:w="7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386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 - as reported</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(61,976)</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10,836</w:t>
            </w:r>
          </w:p>
        </w:tc>
        <w:tc>
          <w:tcPr>
            <w:tcW w:w="4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53,955</w:t>
            </w: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income (loss) - pro forma</w:t>
            </w: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(64,974)</w:t>
            </w:r>
          </w:p>
        </w:tc>
        <w:tc>
          <w:tcPr>
            <w:tcW w:w="420" w:type="dxa"/>
            <w:vAlign w:val="bottom"/>
          </w:tcPr>
          <w:p>
            <w:pPr>
              <w:spacing w:after="0"/>
              <w:rPr>
                <w:sz w:val="20"/>
                <w:szCs w:val="20"/>
                <w:color w:val="auto"/>
              </w:rPr>
            </w:pPr>
          </w:p>
        </w:tc>
        <w:tc>
          <w:tcPr>
            <w:tcW w:w="1020" w:type="dxa"/>
            <w:vAlign w:val="bottom"/>
          </w:tcPr>
          <w:p>
            <w:pPr>
              <w:jc w:val="center"/>
              <w:ind w:left="129"/>
              <w:spacing w:after="0"/>
              <w:rPr>
                <w:sz w:val="20"/>
                <w:szCs w:val="20"/>
                <w:color w:val="auto"/>
              </w:rPr>
            </w:pPr>
            <w:r>
              <w:rPr>
                <w:rFonts w:ascii="Courier New" w:cs="Courier New" w:eastAsia="Courier New" w:hAnsi="Courier New"/>
                <w:sz w:val="14"/>
                <w:szCs w:val="14"/>
                <w:color w:val="auto"/>
                <w:w w:val="99"/>
              </w:rPr>
              <w:t>6,769</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48,911</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income (loss) per share -</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Basic -</w:t>
            </w:r>
          </w:p>
        </w:tc>
        <w:tc>
          <w:tcPr>
            <w:tcW w:w="7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(.54)</w:t>
            </w:r>
          </w:p>
        </w:tc>
        <w:tc>
          <w:tcPr>
            <w:tcW w:w="4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center"/>
              <w:ind w:left="109"/>
              <w:spacing w:after="0"/>
              <w:rPr>
                <w:sz w:val="20"/>
                <w:szCs w:val="20"/>
                <w:color w:val="auto"/>
              </w:rPr>
            </w:pPr>
            <w:r>
              <w:rPr>
                <w:rFonts w:ascii="Courier New" w:cs="Courier New" w:eastAsia="Courier New" w:hAnsi="Courier New"/>
                <w:sz w:val="14"/>
                <w:szCs w:val="14"/>
                <w:color w:val="auto"/>
                <w:w w:val="95"/>
              </w:rPr>
              <w:t>.15</w:t>
            </w:r>
          </w:p>
        </w:tc>
        <w:tc>
          <w:tcPr>
            <w:tcW w:w="44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.80</w:t>
            </w:r>
          </w:p>
        </w:tc>
        <w:tc>
          <w:tcPr>
            <w:tcW w:w="0" w:type="dxa"/>
            <w:vAlign w:val="bottom"/>
          </w:tcPr>
          <w:p>
            <w:pPr>
              <w:spacing w:after="0"/>
              <w:rPr>
                <w:sz w:val="1"/>
                <w:szCs w:val="1"/>
                <w:color w:val="auto"/>
              </w:rPr>
            </w:pPr>
          </w:p>
        </w:tc>
      </w:tr>
      <w:tr>
        <w:trPr>
          <w:trHeight w:val="163"/>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as reported</w:t>
            </w:r>
          </w:p>
        </w:tc>
        <w:tc>
          <w:tcPr>
            <w:tcW w:w="13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Basic -</w:t>
            </w:r>
          </w:p>
        </w:tc>
        <w:tc>
          <w:tcPr>
            <w:tcW w:w="7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income (loss) per share -</w:t>
            </w:r>
          </w:p>
        </w:tc>
        <w:tc>
          <w:tcPr>
            <w:tcW w:w="13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(.56)</w:t>
            </w:r>
          </w:p>
        </w:tc>
        <w:tc>
          <w:tcPr>
            <w:tcW w:w="420" w:type="dxa"/>
            <w:vAlign w:val="bottom"/>
          </w:tcPr>
          <w:p>
            <w:pPr>
              <w:spacing w:after="0"/>
              <w:rPr>
                <w:sz w:val="14"/>
                <w:szCs w:val="14"/>
                <w:color w:val="auto"/>
              </w:rPr>
            </w:pPr>
          </w:p>
        </w:tc>
        <w:tc>
          <w:tcPr>
            <w:tcW w:w="1020" w:type="dxa"/>
            <w:vAlign w:val="bottom"/>
            <w:vMerge w:val="restart"/>
          </w:tcPr>
          <w:p>
            <w:pPr>
              <w:jc w:val="center"/>
              <w:ind w:left="109"/>
              <w:spacing w:after="0"/>
              <w:rPr>
                <w:sz w:val="20"/>
                <w:szCs w:val="20"/>
                <w:color w:val="auto"/>
              </w:rPr>
            </w:pPr>
            <w:r>
              <w:rPr>
                <w:rFonts w:ascii="Courier New" w:cs="Courier New" w:eastAsia="Courier New" w:hAnsi="Courier New"/>
                <w:sz w:val="14"/>
                <w:szCs w:val="14"/>
                <w:color w:val="auto"/>
                <w:w w:val="95"/>
              </w:rPr>
              <w:t>.09</w:t>
            </w:r>
          </w:p>
        </w:tc>
        <w:tc>
          <w:tcPr>
            <w:tcW w:w="4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.72</w:t>
            </w:r>
          </w:p>
        </w:tc>
        <w:tc>
          <w:tcPr>
            <w:tcW w:w="0" w:type="dxa"/>
            <w:vAlign w:val="bottom"/>
          </w:tcPr>
          <w:p>
            <w:pPr>
              <w:spacing w:after="0"/>
              <w:rPr>
                <w:sz w:val="1"/>
                <w:szCs w:val="1"/>
                <w:color w:val="auto"/>
              </w:rPr>
            </w:pPr>
          </w:p>
        </w:tc>
      </w:tr>
      <w:tr>
        <w:trPr>
          <w:trHeight w:val="238"/>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pro forma</w:t>
            </w: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income (loss) per share -</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Diluted -</w:t>
            </w:r>
          </w:p>
        </w:tc>
        <w:tc>
          <w:tcPr>
            <w:tcW w:w="7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(.54)</w:t>
            </w:r>
          </w:p>
        </w:tc>
        <w:tc>
          <w:tcPr>
            <w:tcW w:w="4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center"/>
              <w:ind w:left="109"/>
              <w:spacing w:after="0"/>
              <w:rPr>
                <w:sz w:val="20"/>
                <w:szCs w:val="20"/>
                <w:color w:val="auto"/>
              </w:rPr>
            </w:pPr>
            <w:r>
              <w:rPr>
                <w:rFonts w:ascii="Courier New" w:cs="Courier New" w:eastAsia="Courier New" w:hAnsi="Courier New"/>
                <w:sz w:val="14"/>
                <w:szCs w:val="14"/>
                <w:color w:val="auto"/>
                <w:w w:val="95"/>
              </w:rPr>
              <w:t>.14</w:t>
            </w:r>
          </w:p>
        </w:tc>
        <w:tc>
          <w:tcPr>
            <w:tcW w:w="44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.69</w:t>
            </w:r>
          </w:p>
        </w:tc>
        <w:tc>
          <w:tcPr>
            <w:tcW w:w="0" w:type="dxa"/>
            <w:vAlign w:val="bottom"/>
          </w:tcPr>
          <w:p>
            <w:pPr>
              <w:spacing w:after="0"/>
              <w:rPr>
                <w:sz w:val="1"/>
                <w:szCs w:val="1"/>
                <w:color w:val="auto"/>
              </w:rPr>
            </w:pPr>
          </w:p>
        </w:tc>
      </w:tr>
      <w:tr>
        <w:trPr>
          <w:trHeight w:val="163"/>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as reported</w:t>
            </w:r>
          </w:p>
        </w:tc>
        <w:tc>
          <w:tcPr>
            <w:tcW w:w="13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Diluted -</w:t>
            </w:r>
          </w:p>
        </w:tc>
        <w:tc>
          <w:tcPr>
            <w:tcW w:w="7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income (loss) per share -</w:t>
            </w:r>
          </w:p>
        </w:tc>
        <w:tc>
          <w:tcPr>
            <w:tcW w:w="13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(.56)</w:t>
            </w:r>
          </w:p>
        </w:tc>
        <w:tc>
          <w:tcPr>
            <w:tcW w:w="420" w:type="dxa"/>
            <w:vAlign w:val="bottom"/>
          </w:tcPr>
          <w:p>
            <w:pPr>
              <w:spacing w:after="0"/>
              <w:rPr>
                <w:sz w:val="14"/>
                <w:szCs w:val="14"/>
                <w:color w:val="auto"/>
              </w:rPr>
            </w:pPr>
          </w:p>
        </w:tc>
        <w:tc>
          <w:tcPr>
            <w:tcW w:w="1020" w:type="dxa"/>
            <w:vAlign w:val="bottom"/>
            <w:vMerge w:val="restart"/>
          </w:tcPr>
          <w:p>
            <w:pPr>
              <w:jc w:val="center"/>
              <w:ind w:left="109"/>
              <w:spacing w:after="0"/>
              <w:rPr>
                <w:sz w:val="20"/>
                <w:szCs w:val="20"/>
                <w:color w:val="auto"/>
              </w:rPr>
            </w:pPr>
            <w:r>
              <w:rPr>
                <w:rFonts w:ascii="Courier New" w:cs="Courier New" w:eastAsia="Courier New" w:hAnsi="Courier New"/>
                <w:sz w:val="14"/>
                <w:szCs w:val="14"/>
                <w:color w:val="auto"/>
                <w:w w:val="95"/>
              </w:rPr>
              <w:t>.09</w:t>
            </w:r>
          </w:p>
        </w:tc>
        <w:tc>
          <w:tcPr>
            <w:tcW w:w="4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.62</w:t>
            </w:r>
          </w:p>
        </w:tc>
        <w:tc>
          <w:tcPr>
            <w:tcW w:w="0" w:type="dxa"/>
            <w:vAlign w:val="bottom"/>
          </w:tcPr>
          <w:p>
            <w:pPr>
              <w:spacing w:after="0"/>
              <w:rPr>
                <w:sz w:val="1"/>
                <w:szCs w:val="1"/>
                <w:color w:val="auto"/>
              </w:rPr>
            </w:pPr>
          </w:p>
        </w:tc>
      </w:tr>
      <w:tr>
        <w:trPr>
          <w:trHeight w:val="238"/>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pro forma</w:t>
            </w: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340" w:right="3359"/>
        <w:spacing w:after="0" w:line="306" w:lineRule="auto"/>
        <w:rPr>
          <w:sz w:val="20"/>
          <w:szCs w:val="20"/>
          <w:color w:val="auto"/>
        </w:rPr>
      </w:pPr>
      <w:r>
        <w:rPr>
          <w:rFonts w:ascii="Courier New" w:cs="Courier New" w:eastAsia="Courier New" w:hAnsi="Courier New"/>
          <w:sz w:val="14"/>
          <w:szCs w:val="14"/>
          <w:color w:val="auto"/>
        </w:rPr>
        <w:t>Because the SFAS 123 method of accounting has not been applied to options granted prior to January 1, 1995, the pro forma compensation cost may not be representative of that to be expected in future years.</w:t>
      </w:r>
    </w:p>
    <w:p>
      <w:pPr>
        <w:spacing w:after="0" w:line="46" w:lineRule="exact"/>
        <w:rPr>
          <w:sz w:val="20"/>
          <w:szCs w:val="20"/>
          <w:color w:val="auto"/>
        </w:rPr>
      </w:pPr>
    </w:p>
    <w:p>
      <w:pPr>
        <w:ind w:left="340" w:right="3459"/>
        <w:spacing w:after="0" w:line="306" w:lineRule="auto"/>
        <w:rPr>
          <w:sz w:val="20"/>
          <w:szCs w:val="20"/>
          <w:color w:val="auto"/>
        </w:rPr>
      </w:pPr>
      <w:r>
        <w:rPr>
          <w:rFonts w:ascii="Courier New" w:cs="Courier New" w:eastAsia="Courier New" w:hAnsi="Courier New"/>
          <w:sz w:val="14"/>
          <w:szCs w:val="14"/>
          <w:color w:val="auto"/>
        </w:rPr>
        <w:t>The fair value of each option grant is estimated on the date of grant using the Black-Scholes option-pricing model with the following weighted average assumptions:</w:t>
      </w:r>
    </w:p>
    <w:p>
      <w:pPr>
        <w:spacing w:after="0" w:line="372"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2620" w:type="dxa"/>
            <w:vAlign w:val="bottom"/>
          </w:tcPr>
          <w:p>
            <w:pPr>
              <w:spacing w:after="0"/>
              <w:rPr>
                <w:sz w:val="14"/>
                <w:szCs w:val="14"/>
                <w:color w:val="auto"/>
              </w:rPr>
            </w:pPr>
          </w:p>
        </w:tc>
        <w:tc>
          <w:tcPr>
            <w:tcW w:w="30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1999</w:t>
            </w:r>
          </w:p>
        </w:tc>
        <w:tc>
          <w:tcPr>
            <w:tcW w:w="148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1997</w:t>
            </w:r>
          </w:p>
        </w:tc>
      </w:tr>
      <w:tr>
        <w:trPr>
          <w:trHeight w:val="238"/>
        </w:trPr>
        <w:tc>
          <w:tcPr>
            <w:tcW w:w="2620" w:type="dxa"/>
            <w:vAlign w:val="bottom"/>
          </w:tcPr>
          <w:p>
            <w:pPr>
              <w:spacing w:after="0"/>
              <w:rPr>
                <w:sz w:val="20"/>
                <w:szCs w:val="20"/>
                <w:color w:val="auto"/>
              </w:rPr>
            </w:pPr>
          </w:p>
        </w:tc>
        <w:tc>
          <w:tcPr>
            <w:tcW w:w="30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2"/>
        </w:trPr>
        <w:tc>
          <w:tcPr>
            <w:tcW w:w="262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30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9.0%</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0.0%</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0.0%</w:t>
            </w: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w w:val="99"/>
              </w:rPr>
              <w:t>Expected stock price volatility</w:t>
            </w:r>
          </w:p>
        </w:tc>
        <w:tc>
          <w:tcPr>
            <w:tcW w:w="30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49.1%</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47.7%</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40.4%</w:t>
            </w: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30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5.4%</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4.6%</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w:t>
            </w:r>
          </w:p>
        </w:tc>
      </w:tr>
      <w:tr>
        <w:trPr>
          <w:trHeight w:val="238"/>
        </w:trPr>
        <w:tc>
          <w:tcPr>
            <w:tcW w:w="2620" w:type="dxa"/>
            <w:vAlign w:val="bottom"/>
          </w:tcPr>
          <w:p>
            <w:pPr>
              <w:spacing w:after="0"/>
              <w:rPr>
                <w:sz w:val="20"/>
                <w:szCs w:val="20"/>
                <w:color w:val="auto"/>
              </w:rPr>
            </w:pPr>
            <w:r>
              <w:rPr>
                <w:rFonts w:ascii="Courier New" w:cs="Courier New" w:eastAsia="Courier New" w:hAnsi="Courier New"/>
                <w:sz w:val="14"/>
                <w:szCs w:val="14"/>
                <w:color w:val="auto"/>
              </w:rPr>
              <w:t>Expected life of options</w:t>
            </w:r>
          </w:p>
        </w:tc>
        <w:tc>
          <w:tcPr>
            <w:tcW w:w="30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 YEARS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 years</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 years</w:t>
            </w:r>
          </w:p>
        </w:tc>
      </w:tr>
      <w:tr>
        <w:trPr>
          <w:trHeight w:val="652"/>
        </w:trPr>
        <w:tc>
          <w:tcPr>
            <w:tcW w:w="2620" w:type="dxa"/>
            <w:vAlign w:val="bottom"/>
          </w:tcPr>
          <w:p>
            <w:pPr>
              <w:spacing w:after="0"/>
              <w:rPr>
                <w:sz w:val="24"/>
                <w:szCs w:val="24"/>
                <w:color w:val="auto"/>
              </w:rPr>
            </w:pPr>
          </w:p>
        </w:tc>
        <w:tc>
          <w:tcPr>
            <w:tcW w:w="3060" w:type="dxa"/>
            <w:vAlign w:val="bottom"/>
          </w:tcPr>
          <w:p>
            <w:pPr>
              <w:jc w:val="right"/>
              <w:ind w:right="2649"/>
              <w:spacing w:after="0"/>
              <w:rPr>
                <w:sz w:val="20"/>
                <w:szCs w:val="20"/>
                <w:color w:val="auto"/>
              </w:rPr>
            </w:pPr>
            <w:r>
              <w:rPr>
                <w:rFonts w:ascii="Courier New" w:cs="Courier New" w:eastAsia="Courier New" w:hAnsi="Courier New"/>
                <w:sz w:val="14"/>
                <w:szCs w:val="14"/>
                <w:color w:val="auto"/>
                <w:w w:val="95"/>
              </w:rPr>
              <w:t>F-48</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9899"/>
          </w:cols>
          <w:pgMar w:left="560" w:top="257"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4"/>
          <w:szCs w:val="14"/>
          <w:color w:val="auto"/>
        </w:rPr>
        <w:t>167</w:t>
      </w:r>
    </w:p>
    <w:p>
      <w:pPr>
        <w:spacing w:after="0" w:line="30"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PRISON REALTY TRUST 401(k) SAVINGS AND RETIREMENT PLAN</w:t>
      </w:r>
    </w:p>
    <w:p>
      <w:pPr>
        <w:spacing w:after="0" w:line="142" w:lineRule="exact"/>
        <w:rPr>
          <w:sz w:val="20"/>
          <w:szCs w:val="20"/>
          <w:color w:val="auto"/>
        </w:rPr>
      </w:pPr>
    </w:p>
    <w:p>
      <w:pPr>
        <w:ind w:left="600" w:right="3359"/>
        <w:spacing w:after="0" w:line="255" w:lineRule="auto"/>
        <w:rPr>
          <w:sz w:val="20"/>
          <w:szCs w:val="20"/>
          <w:color w:val="auto"/>
        </w:rPr>
      </w:pPr>
      <w:r>
        <w:rPr>
          <w:rFonts w:ascii="Courier New" w:cs="Courier New" w:eastAsia="Courier New" w:hAnsi="Courier New"/>
          <w:sz w:val="14"/>
          <w:szCs w:val="14"/>
          <w:color w:val="auto"/>
        </w:rPr>
        <w:t>On December 17, 1998, the Company's Board of Directors adopted the Prison Realty Trust, Inc. 401(k) Savings and Investment Plan (the "401(k) Plan"). Effective January 1, 1999, in conjunction with the 1999 Merger, the Employee Savings and Stock Ownership Plan (the "ESOP") of Old Prison Realty was replaced by the 401(k) Plan. The 401(k) Plan is a voluntary compensation deferral plan under Section 401(k) of the Code. All employees of the Company are eligible to participate upon reaching age 18 and completing six months of qualified service, as defined in the 401(k) Plan. Eligible employees may elect to defer from 1% to 15% of their compensation. The Company will match a discretionary percentage of the employees' salary deferral, and the deferrals are invested securities and investments as permitted by the 401(k) Plan and directed by each employee. For the year ended December 31, 1999, the Company contributed $37 to the 401(k) Plan.</w:t>
      </w:r>
    </w:p>
    <w:p>
      <w:pPr>
        <w:spacing w:after="0" w:line="250" w:lineRule="exact"/>
        <w:rPr>
          <w:sz w:val="20"/>
          <w:szCs w:val="20"/>
          <w:color w:val="auto"/>
        </w:rPr>
      </w:pPr>
    </w:p>
    <w:p>
      <w:pPr>
        <w:ind w:left="600" w:hanging="508"/>
        <w:spacing w:after="0"/>
        <w:tabs>
          <w:tab w:leader="none" w:pos="6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REVENUES AND EXPENSES</w:t>
      </w:r>
    </w:p>
    <w:p>
      <w:pPr>
        <w:spacing w:after="0" w:line="167" w:lineRule="exact"/>
        <w:rPr>
          <w:rFonts w:ascii="Courier New" w:cs="Courier New" w:eastAsia="Courier New" w:hAnsi="Courier New"/>
          <w:sz w:val="14"/>
          <w:szCs w:val="14"/>
          <w:color w:val="auto"/>
        </w:rPr>
      </w:pPr>
    </w:p>
    <w:p>
      <w:pPr>
        <w:ind w:left="600" w:right="3359"/>
        <w:spacing w:after="0" w:line="28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Approximately 95% of the Company's revenues for the year ended December 31, 1999 relates to amounts earned under lease arrangements from tenants, primarily New CCA. See Note 5 for discussion of lease arrangements with New CCA.</w:t>
      </w:r>
    </w:p>
    <w:p>
      <w:pPr>
        <w:spacing w:after="0" w:line="59" w:lineRule="exact"/>
        <w:rPr>
          <w:rFonts w:ascii="Courier New" w:cs="Courier New" w:eastAsia="Courier New" w:hAnsi="Courier New"/>
          <w:sz w:val="14"/>
          <w:szCs w:val="14"/>
          <w:color w:val="auto"/>
        </w:rPr>
      </w:pPr>
    </w:p>
    <w:p>
      <w:pPr>
        <w:ind w:left="600"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Approximately 96% and 98% of Old CCA's revenues for the years ended December 31, 1998 and 1997, respectively, relate to amounts earned from federal, state and local governmental management and transportation contracts. Old CCA had revenues of 18% and 21% from the federal government and 65% and 59% from state governments for the years ended December 31, 1998 and 1997, respectively. One state government accounted for revenues of 10% and 13% for the years ended December 31, 1998 and 1997, respectively. In 1997, Old CCA recognized $7.9 million of additional management service revenues. Old CCA recognized after tax development fee income of $2.5 million in 1997 related to a contract to design, construct and equip a managed detention facility.</w:t>
      </w:r>
    </w:p>
    <w:p>
      <w:pPr>
        <w:spacing w:after="0" w:line="82" w:lineRule="exact"/>
        <w:rPr>
          <w:sz w:val="20"/>
          <w:szCs w:val="20"/>
          <w:color w:val="auto"/>
        </w:rPr>
      </w:pPr>
    </w:p>
    <w:p>
      <w:pPr>
        <w:ind w:right="4219" w:firstLine="594"/>
        <w:spacing w:after="0" w:line="366" w:lineRule="auto"/>
        <w:rPr>
          <w:sz w:val="20"/>
          <w:szCs w:val="20"/>
          <w:color w:val="auto"/>
        </w:rPr>
      </w:pPr>
      <w:r>
        <w:rPr>
          <w:rFonts w:ascii="Courier New" w:cs="Courier New" w:eastAsia="Courier New" w:hAnsi="Courier New"/>
          <w:sz w:val="14"/>
          <w:szCs w:val="14"/>
          <w:color w:val="auto"/>
        </w:rPr>
        <w:t>Accounts payable at December 31, 1999 and 1998, consists of the following:</w:t>
      </w:r>
    </w:p>
    <w:p>
      <w:pPr>
        <w:spacing w:after="0" w:line="332" w:lineRule="exact"/>
        <w:rPr>
          <w:sz w:val="20"/>
          <w:szCs w:val="20"/>
          <w:color w:val="auto"/>
        </w:rPr>
      </w:pPr>
    </w:p>
    <w:tbl>
      <w:tblPr>
        <w:tblLayout w:type="fixed"/>
        <w:tblInd w:w="600" w:type="dxa"/>
        <w:tblCellMar>
          <w:top w:w="0" w:type="dxa"/>
          <w:left w:w="0" w:type="dxa"/>
          <w:bottom w:w="0" w:type="dxa"/>
          <w:right w:w="0" w:type="dxa"/>
        </w:tblCellMar>
      </w:tblPr>
      <w:tr>
        <w:trPr>
          <w:trHeight w:val="163"/>
        </w:trPr>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1999</w:t>
            </w:r>
          </w:p>
        </w:tc>
        <w:tc>
          <w:tcPr>
            <w:tcW w:w="580" w:type="dxa"/>
            <w:vAlign w:val="bottom"/>
          </w:tcPr>
          <w:p>
            <w:pPr>
              <w:spacing w:after="0"/>
              <w:rPr>
                <w:sz w:val="14"/>
                <w:szCs w:val="14"/>
                <w:color w:val="auto"/>
              </w:rPr>
            </w:pPr>
          </w:p>
        </w:tc>
        <w:tc>
          <w:tcPr>
            <w:tcW w:w="7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1998</w:t>
            </w:r>
          </w:p>
        </w:tc>
      </w:tr>
      <w:tr>
        <w:trPr>
          <w:trHeight w:val="238"/>
        </w:trPr>
        <w:tc>
          <w:tcPr>
            <w:tcW w:w="1960" w:type="dxa"/>
            <w:vAlign w:val="bottom"/>
          </w:tcPr>
          <w:p>
            <w:pPr>
              <w:spacing w:after="0"/>
              <w:rPr>
                <w:sz w:val="20"/>
                <w:szCs w:val="20"/>
                <w:color w:val="auto"/>
              </w:rPr>
            </w:pPr>
          </w:p>
        </w:tc>
        <w:tc>
          <w:tcPr>
            <w:tcW w:w="21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252"/>
        </w:trPr>
        <w:tc>
          <w:tcPr>
            <w:tcW w:w="1960" w:type="dxa"/>
            <w:vAlign w:val="bottom"/>
          </w:tcPr>
          <w:p>
            <w:pPr>
              <w:spacing w:after="0"/>
              <w:rPr>
                <w:sz w:val="20"/>
                <w:szCs w:val="20"/>
                <w:color w:val="auto"/>
              </w:rPr>
            </w:pPr>
            <w:r>
              <w:rPr>
                <w:rFonts w:ascii="Courier New" w:cs="Courier New" w:eastAsia="Courier New" w:hAnsi="Courier New"/>
                <w:sz w:val="14"/>
                <w:szCs w:val="14"/>
                <w:color w:val="auto"/>
              </w:rPr>
              <w:t>Trade</w:t>
            </w:r>
          </w:p>
        </w:tc>
        <w:tc>
          <w:tcPr>
            <w:tcW w:w="11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10,099</w:t>
            </w:r>
          </w:p>
        </w:tc>
        <w:tc>
          <w:tcPr>
            <w:tcW w:w="5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21,999</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Construction</w:t>
            </w:r>
          </w:p>
        </w:tc>
        <w:tc>
          <w:tcPr>
            <w:tcW w:w="110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32,252</w:t>
            </w:r>
          </w:p>
        </w:tc>
        <w:tc>
          <w:tcPr>
            <w:tcW w:w="5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44,665</w:t>
            </w:r>
          </w:p>
        </w:tc>
      </w:tr>
      <w:tr>
        <w:trPr>
          <w:trHeight w:val="163"/>
        </w:trPr>
        <w:tc>
          <w:tcPr>
            <w:tcW w:w="1960" w:type="dxa"/>
            <w:vAlign w:val="bottom"/>
          </w:tcPr>
          <w:p>
            <w:pPr>
              <w:spacing w:after="0"/>
              <w:rPr>
                <w:sz w:val="14"/>
                <w:szCs w:val="14"/>
                <w:color w:val="auto"/>
              </w:rPr>
            </w:pPr>
          </w:p>
        </w:tc>
        <w:tc>
          <w:tcPr>
            <w:tcW w:w="21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960" w:type="dxa"/>
            <w:vAlign w:val="bottom"/>
          </w:tcPr>
          <w:p>
            <w:pPr>
              <w:spacing w:after="0"/>
              <w:rPr>
                <w:sz w:val="14"/>
                <w:szCs w:val="14"/>
                <w:color w:val="auto"/>
              </w:rPr>
            </w:pPr>
          </w:p>
        </w:tc>
        <w:tc>
          <w:tcPr>
            <w:tcW w:w="11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42,351</w:t>
            </w:r>
          </w:p>
        </w:tc>
        <w:tc>
          <w:tcPr>
            <w:tcW w:w="5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66,664</w:t>
            </w:r>
          </w:p>
        </w:tc>
      </w:tr>
      <w:tr>
        <w:trPr>
          <w:trHeight w:val="238"/>
        </w:trPr>
        <w:tc>
          <w:tcPr>
            <w:tcW w:w="1960" w:type="dxa"/>
            <w:vAlign w:val="bottom"/>
          </w:tcPr>
          <w:p>
            <w:pPr>
              <w:spacing w:after="0"/>
              <w:rPr>
                <w:sz w:val="20"/>
                <w:szCs w:val="20"/>
                <w:color w:val="auto"/>
              </w:rPr>
            </w:pPr>
          </w:p>
        </w:tc>
        <w:tc>
          <w:tcPr>
            <w:tcW w:w="21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52" w:lineRule="exact"/>
        <w:rPr>
          <w:sz w:val="20"/>
          <w:szCs w:val="20"/>
          <w:color w:val="auto"/>
        </w:rPr>
      </w:pPr>
    </w:p>
    <w:p>
      <w:pPr>
        <w:ind w:left="600" w:right="3619"/>
        <w:spacing w:after="0" w:line="286" w:lineRule="auto"/>
        <w:rPr>
          <w:sz w:val="20"/>
          <w:szCs w:val="20"/>
          <w:color w:val="auto"/>
        </w:rPr>
      </w:pPr>
      <w:r>
        <w:rPr>
          <w:rFonts w:ascii="Courier New" w:cs="Courier New" w:eastAsia="Courier New" w:hAnsi="Courier New"/>
          <w:sz w:val="14"/>
          <w:szCs w:val="14"/>
          <w:color w:val="auto"/>
        </w:rPr>
        <w:t>Salaries and related benefits represented 12% of general and administrative expenses for the year ended December 31, 1999. Salaries and related benefits represented 61% and 66% of operating expenses for the years ended December 31, 1998 and 1997, respectively.</w:t>
      </w:r>
    </w:p>
    <w:p>
      <w:pPr>
        <w:spacing w:after="0" w:line="22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F-49</w:t>
      </w:r>
    </w:p>
    <w:p>
      <w:pPr>
        <w:sectPr>
          <w:pgSz w:w="11900" w:h="16838" w:orient="portrait"/>
          <w:cols w:equalWidth="0" w:num="1">
            <w:col w:w="10159"/>
          </w:cols>
          <w:pgMar w:left="300" w:top="257" w:right="1440" w:bottom="1440" w:gutter="0" w:footer="0" w:header="0"/>
        </w:sectPr>
      </w:pPr>
    </w:p>
    <w:bookmarkStart w:id="169" w:name="page170"/>
    <w:bookmarkEnd w:id="169"/>
    <w:p>
      <w:pPr>
        <w:ind w:left="253"/>
        <w:spacing w:after="0"/>
        <w:rPr>
          <w:sz w:val="20"/>
          <w:szCs w:val="20"/>
          <w:color w:val="auto"/>
        </w:rPr>
      </w:pPr>
      <w:r>
        <w:rPr>
          <w:rFonts w:ascii="Courier New" w:cs="Courier New" w:eastAsia="Courier New" w:hAnsi="Courier New"/>
          <w:sz w:val="14"/>
          <w:szCs w:val="14"/>
          <w:color w:val="auto"/>
        </w:rPr>
        <w:t>168</w:t>
      </w:r>
    </w:p>
    <w:p>
      <w:pPr>
        <w:spacing w:after="0" w:line="30" w:lineRule="exact"/>
        <w:rPr>
          <w:sz w:val="20"/>
          <w:szCs w:val="20"/>
          <w:color w:val="auto"/>
        </w:rPr>
      </w:pPr>
    </w:p>
    <w:p>
      <w:pPr>
        <w:ind w:left="593" w:hanging="593"/>
        <w:spacing w:after="0"/>
        <w:tabs>
          <w:tab w:leader="none" w:pos="593"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QUARTERLY FINANCIAL INFORMATION (UNAUDITED)</w:t>
      </w:r>
    </w:p>
    <w:p>
      <w:pPr>
        <w:spacing w:after="0" w:line="141" w:lineRule="exact"/>
        <w:rPr>
          <w:rFonts w:ascii="Courier New" w:cs="Courier New" w:eastAsia="Courier New" w:hAnsi="Courier New"/>
          <w:sz w:val="14"/>
          <w:szCs w:val="14"/>
          <w:color w:val="auto"/>
        </w:rPr>
      </w:pPr>
    </w:p>
    <w:p>
      <w:pPr>
        <w:ind w:left="593" w:right="3459"/>
        <w:spacing w:after="0" w:line="36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quarterly financial information for each of the quarters in the years ended December 31, 1999 and 1998 is as follows:</w:t>
      </w:r>
    </w:p>
    <w:p>
      <w:pPr>
        <w:spacing w:after="0" w:line="332" w:lineRule="exact"/>
        <w:rPr>
          <w:sz w:val="20"/>
          <w:szCs w:val="20"/>
          <w:color w:val="auto"/>
        </w:rPr>
      </w:pPr>
    </w:p>
    <w:tbl>
      <w:tblPr>
        <w:tblLayout w:type="fixed"/>
        <w:tblInd w:w="593" w:type="dxa"/>
        <w:tblCellMar>
          <w:top w:w="0" w:type="dxa"/>
          <w:left w:w="0" w:type="dxa"/>
          <w:bottom w:w="0" w:type="dxa"/>
          <w:right w:w="0" w:type="dxa"/>
        </w:tblCellMar>
      </w:tblPr>
      <w:tr>
        <w:trPr>
          <w:trHeight w:val="163"/>
        </w:trPr>
        <w:tc>
          <w:tcPr>
            <w:tcW w:w="2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MARCH 31,</w:t>
            </w:r>
          </w:p>
        </w:tc>
        <w:tc>
          <w:tcPr>
            <w:tcW w:w="340" w:type="dxa"/>
            <w:vAlign w:val="bottom"/>
          </w:tcPr>
          <w:p>
            <w:pPr>
              <w:spacing w:after="0"/>
              <w:rPr>
                <w:sz w:val="14"/>
                <w:szCs w:val="14"/>
                <w:color w:val="auto"/>
              </w:rPr>
            </w:pPr>
          </w:p>
        </w:tc>
        <w:tc>
          <w:tcPr>
            <w:tcW w:w="1260" w:type="dxa"/>
            <w:vAlign w:val="bottom"/>
          </w:tcPr>
          <w:p>
            <w:pPr>
              <w:jc w:val="center"/>
              <w:ind w:right="269"/>
              <w:spacing w:after="0"/>
              <w:rPr>
                <w:sz w:val="20"/>
                <w:szCs w:val="20"/>
                <w:color w:val="auto"/>
              </w:rPr>
            </w:pPr>
            <w:r>
              <w:rPr>
                <w:rFonts w:ascii="Courier New" w:cs="Courier New" w:eastAsia="Courier New" w:hAnsi="Courier New"/>
                <w:sz w:val="14"/>
                <w:szCs w:val="14"/>
                <w:color w:val="auto"/>
              </w:rPr>
              <w:t>JUNE 30,</w:t>
            </w:r>
          </w:p>
        </w:tc>
        <w:tc>
          <w:tcPr>
            <w:tcW w:w="300" w:type="dxa"/>
            <w:vAlign w:val="bottom"/>
          </w:tcPr>
          <w:p>
            <w:pPr>
              <w:spacing w:after="0"/>
              <w:rPr>
                <w:sz w:val="14"/>
                <w:szCs w:val="14"/>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SEPTEMBER 30,</w:t>
            </w:r>
          </w:p>
        </w:tc>
        <w:tc>
          <w:tcPr>
            <w:tcW w:w="260" w:type="dxa"/>
            <w:vAlign w:val="bottom"/>
          </w:tcPr>
          <w:p>
            <w:pPr>
              <w:spacing w:after="0"/>
              <w:rPr>
                <w:sz w:val="14"/>
                <w:szCs w:val="14"/>
                <w:color w:val="auto"/>
              </w:rPr>
            </w:pPr>
          </w:p>
        </w:tc>
        <w:tc>
          <w:tcPr>
            <w:tcW w:w="1260" w:type="dxa"/>
            <w:vAlign w:val="bottom"/>
          </w:tcPr>
          <w:p>
            <w:pPr>
              <w:jc w:val="center"/>
              <w:ind w:right="189"/>
              <w:spacing w:after="0"/>
              <w:rPr>
                <w:sz w:val="20"/>
                <w:szCs w:val="20"/>
                <w:color w:val="auto"/>
              </w:rPr>
            </w:pPr>
            <w:r>
              <w:rPr>
                <w:rFonts w:ascii="Courier New" w:cs="Courier New" w:eastAsia="Courier New" w:hAnsi="Courier New"/>
                <w:sz w:val="14"/>
                <w:szCs w:val="14"/>
                <w:color w:val="auto"/>
                <w:w w:val="99"/>
              </w:rPr>
              <w:t>DECEMBER 31,</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1260" w:type="dxa"/>
            <w:vAlign w:val="bottom"/>
          </w:tcPr>
          <w:p>
            <w:pPr>
              <w:jc w:val="center"/>
              <w:ind w:right="289"/>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260" w:type="dxa"/>
            <w:vAlign w:val="bottom"/>
          </w:tcPr>
          <w:p>
            <w:pPr>
              <w:jc w:val="center"/>
              <w:ind w:right="169"/>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18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71,986</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73,841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74,975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64,916</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520" w:type="dxa"/>
            <w:vAlign w:val="bottom"/>
          </w:tcPr>
          <w:p>
            <w:pPr>
              <w:spacing w:after="0"/>
              <w:rPr>
                <w:sz w:val="14"/>
                <w:szCs w:val="14"/>
                <w:color w:val="auto"/>
              </w:rPr>
            </w:pP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61,187</w:t>
            </w:r>
          </w:p>
        </w:tc>
        <w:tc>
          <w:tcPr>
            <w:tcW w:w="340" w:type="dxa"/>
            <w:vAlign w:val="bottom"/>
          </w:tcPr>
          <w:p>
            <w:pPr>
              <w:spacing w:after="0"/>
              <w:rPr>
                <w:sz w:val="14"/>
                <w:szCs w:val="14"/>
                <w:color w:val="auto"/>
              </w:rPr>
            </w:pPr>
          </w:p>
        </w:tc>
        <w:tc>
          <w:tcPr>
            <w:tcW w:w="12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61,614</w:t>
            </w:r>
          </w:p>
        </w:tc>
        <w:tc>
          <w:tcPr>
            <w:tcW w:w="300" w:type="dxa"/>
            <w:vAlign w:val="bottom"/>
          </w:tcPr>
          <w:p>
            <w:pPr>
              <w:spacing w:after="0"/>
              <w:rPr>
                <w:sz w:val="14"/>
                <w:szCs w:val="14"/>
                <w:color w:val="auto"/>
              </w:rPr>
            </w:pP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61,772</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(109,152)</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520" w:type="dxa"/>
            <w:vAlign w:val="bottom"/>
          </w:tcPr>
          <w:p>
            <w:pPr>
              <w:spacing w:after="0"/>
              <w:rPr>
                <w:sz w:val="14"/>
                <w:szCs w:val="14"/>
                <w:color w:val="auto"/>
              </w:rPr>
            </w:pPr>
          </w:p>
        </w:tc>
        <w:tc>
          <w:tcPr>
            <w:tcW w:w="13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(22,605)</w:t>
            </w:r>
          </w:p>
        </w:tc>
        <w:tc>
          <w:tcPr>
            <w:tcW w:w="340" w:type="dxa"/>
            <w:vAlign w:val="bottom"/>
          </w:tcPr>
          <w:p>
            <w:pPr>
              <w:spacing w:after="0"/>
              <w:rPr>
                <w:sz w:val="14"/>
                <w:szCs w:val="14"/>
                <w:color w:val="auto"/>
              </w:rPr>
            </w:pPr>
          </w:p>
        </w:tc>
        <w:tc>
          <w:tcPr>
            <w:tcW w:w="12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60,423</w:t>
            </w:r>
          </w:p>
        </w:tc>
        <w:tc>
          <w:tcPr>
            <w:tcW w:w="300" w:type="dxa"/>
            <w:vAlign w:val="bottom"/>
          </w:tcPr>
          <w:p>
            <w:pPr>
              <w:spacing w:after="0"/>
              <w:rPr>
                <w:sz w:val="14"/>
                <w:szCs w:val="14"/>
                <w:color w:val="auto"/>
              </w:rPr>
            </w:pP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48,145</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(139,339)</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income (loss) available to</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common shareholders</w:t>
            </w:r>
          </w:p>
        </w:tc>
        <w:tc>
          <w:tcPr>
            <w:tcW w:w="520" w:type="dxa"/>
            <w:vAlign w:val="bottom"/>
          </w:tcPr>
          <w:p>
            <w:pPr>
              <w:spacing w:after="0"/>
              <w:rPr>
                <w:sz w:val="20"/>
                <w:szCs w:val="20"/>
                <w:color w:val="auto"/>
              </w:rPr>
            </w:pPr>
          </w:p>
        </w:tc>
        <w:tc>
          <w:tcPr>
            <w:tcW w:w="13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(24,755)</w:t>
            </w:r>
          </w:p>
        </w:tc>
        <w:tc>
          <w:tcPr>
            <w:tcW w:w="340" w:type="dxa"/>
            <w:vAlign w:val="bottom"/>
          </w:tcPr>
          <w:p>
            <w:pPr>
              <w:spacing w:after="0"/>
              <w:rPr>
                <w:sz w:val="20"/>
                <w:szCs w:val="20"/>
                <w:color w:val="auto"/>
              </w:rPr>
            </w:pPr>
          </w:p>
        </w:tc>
        <w:tc>
          <w:tcPr>
            <w:tcW w:w="126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58,273</w:t>
            </w:r>
          </w:p>
        </w:tc>
        <w:tc>
          <w:tcPr>
            <w:tcW w:w="300" w:type="dxa"/>
            <w:vAlign w:val="bottom"/>
          </w:tcPr>
          <w:p>
            <w:pPr>
              <w:spacing w:after="0"/>
              <w:rPr>
                <w:sz w:val="20"/>
                <w:szCs w:val="20"/>
                <w:color w:val="auto"/>
              </w:rPr>
            </w:pPr>
          </w:p>
        </w:tc>
        <w:tc>
          <w:tcPr>
            <w:tcW w:w="13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45,995</w:t>
            </w:r>
          </w:p>
        </w:tc>
        <w:tc>
          <w:tcPr>
            <w:tcW w:w="26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(141,489)</w:t>
            </w:r>
          </w:p>
        </w:tc>
        <w:tc>
          <w:tcPr>
            <w:tcW w:w="0" w:type="dxa"/>
            <w:vAlign w:val="bottom"/>
          </w:tcPr>
          <w:p>
            <w:pPr>
              <w:spacing w:after="0"/>
              <w:rPr>
                <w:sz w:val="1"/>
                <w:szCs w:val="1"/>
                <w:color w:val="auto"/>
              </w:rPr>
            </w:pPr>
          </w:p>
        </w:tc>
      </w:tr>
      <w:tr>
        <w:trPr>
          <w:trHeight w:val="163"/>
        </w:trPr>
        <w:tc>
          <w:tcPr>
            <w:tcW w:w="262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 per common</w:t>
            </w:r>
          </w:p>
        </w:tc>
        <w:tc>
          <w:tcPr>
            <w:tcW w:w="5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(0.23)</w:t>
            </w:r>
          </w:p>
        </w:tc>
        <w:tc>
          <w:tcPr>
            <w:tcW w:w="340" w:type="dxa"/>
            <w:vAlign w:val="bottom"/>
          </w:tcPr>
          <w:p>
            <w:pPr>
              <w:spacing w:after="0"/>
              <w:rPr>
                <w:sz w:val="7"/>
                <w:szCs w:val="7"/>
                <w:color w:val="auto"/>
              </w:rPr>
            </w:pPr>
          </w:p>
        </w:tc>
        <w:tc>
          <w:tcPr>
            <w:tcW w:w="12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0.50</w:t>
            </w:r>
          </w:p>
        </w:tc>
        <w:tc>
          <w:tcPr>
            <w:tcW w:w="300" w:type="dxa"/>
            <w:vAlign w:val="bottom"/>
          </w:tcPr>
          <w:p>
            <w:pPr>
              <w:spacing w:after="0"/>
              <w:rPr>
                <w:sz w:val="7"/>
                <w:szCs w:val="7"/>
                <w:color w:val="auto"/>
              </w:rPr>
            </w:pPr>
          </w:p>
        </w:tc>
        <w:tc>
          <w:tcPr>
            <w:tcW w:w="13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0.39</w:t>
            </w:r>
          </w:p>
        </w:tc>
        <w:tc>
          <w:tcPr>
            <w:tcW w:w="260" w:type="dxa"/>
            <w:vAlign w:val="bottom"/>
          </w:tcPr>
          <w:p>
            <w:pPr>
              <w:spacing w:after="0"/>
              <w:rPr>
                <w:sz w:val="7"/>
                <w:szCs w:val="7"/>
                <w:color w:val="auto"/>
              </w:rPr>
            </w:pPr>
          </w:p>
        </w:tc>
        <w:tc>
          <w:tcPr>
            <w:tcW w:w="12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(1.20)</w:t>
            </w:r>
          </w:p>
        </w:tc>
        <w:tc>
          <w:tcPr>
            <w:tcW w:w="0" w:type="dxa"/>
            <w:vAlign w:val="bottom"/>
          </w:tcPr>
          <w:p>
            <w:pPr>
              <w:spacing w:after="0"/>
              <w:rPr>
                <w:sz w:val="1"/>
                <w:szCs w:val="1"/>
                <w:color w:val="auto"/>
              </w:rPr>
            </w:pPr>
          </w:p>
        </w:tc>
      </w:tr>
      <w:tr>
        <w:trPr>
          <w:trHeight w:val="163"/>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 - Basic</w:t>
            </w:r>
          </w:p>
        </w:tc>
        <w:tc>
          <w:tcPr>
            <w:tcW w:w="5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income (loss) per common</w:t>
            </w:r>
          </w:p>
        </w:tc>
        <w:tc>
          <w:tcPr>
            <w:tcW w:w="520" w:type="dxa"/>
            <w:vAlign w:val="bottom"/>
          </w:tcPr>
          <w:p>
            <w:pPr>
              <w:spacing w:after="0"/>
              <w:rPr>
                <w:sz w:val="14"/>
                <w:szCs w:val="14"/>
                <w:color w:val="auto"/>
              </w:rPr>
            </w:pPr>
          </w:p>
        </w:tc>
        <w:tc>
          <w:tcPr>
            <w:tcW w:w="13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(0.23)</w:t>
            </w:r>
          </w:p>
        </w:tc>
        <w:tc>
          <w:tcPr>
            <w:tcW w:w="340" w:type="dxa"/>
            <w:vAlign w:val="bottom"/>
          </w:tcPr>
          <w:p>
            <w:pPr>
              <w:spacing w:after="0"/>
              <w:rPr>
                <w:sz w:val="14"/>
                <w:szCs w:val="14"/>
                <w:color w:val="auto"/>
              </w:rPr>
            </w:pPr>
          </w:p>
        </w:tc>
        <w:tc>
          <w:tcPr>
            <w:tcW w:w="12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0.50</w:t>
            </w:r>
          </w:p>
        </w:tc>
        <w:tc>
          <w:tcPr>
            <w:tcW w:w="300" w:type="dxa"/>
            <w:vAlign w:val="bottom"/>
          </w:tcPr>
          <w:p>
            <w:pPr>
              <w:spacing w:after="0"/>
              <w:rPr>
                <w:sz w:val="14"/>
                <w:szCs w:val="14"/>
                <w:color w:val="auto"/>
              </w:rPr>
            </w:pPr>
          </w:p>
        </w:tc>
        <w:tc>
          <w:tcPr>
            <w:tcW w:w="13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0.39</w:t>
            </w:r>
          </w:p>
        </w:tc>
        <w:tc>
          <w:tcPr>
            <w:tcW w:w="260" w:type="dxa"/>
            <w:vAlign w:val="bottom"/>
          </w:tcPr>
          <w:p>
            <w:pPr>
              <w:spacing w:after="0"/>
              <w:rPr>
                <w:sz w:val="14"/>
                <w:szCs w:val="14"/>
                <w:color w:val="auto"/>
              </w:rPr>
            </w:pPr>
          </w:p>
        </w:tc>
        <w:tc>
          <w:tcPr>
            <w:tcW w:w="12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(1.20)</w:t>
            </w:r>
          </w:p>
        </w:tc>
        <w:tc>
          <w:tcPr>
            <w:tcW w:w="0" w:type="dxa"/>
            <w:vAlign w:val="bottom"/>
          </w:tcPr>
          <w:p>
            <w:pPr>
              <w:spacing w:after="0"/>
              <w:rPr>
                <w:sz w:val="1"/>
                <w:szCs w:val="1"/>
                <w:color w:val="auto"/>
              </w:rPr>
            </w:pPr>
          </w:p>
        </w:tc>
      </w:tr>
      <w:tr>
        <w:trPr>
          <w:trHeight w:val="238"/>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 - Diluted</w:t>
            </w:r>
          </w:p>
        </w:tc>
        <w:tc>
          <w:tcPr>
            <w:tcW w:w="52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41"/>
        </w:trPr>
        <w:tc>
          <w:tcPr>
            <w:tcW w:w="2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MARCH 31,</w:t>
            </w:r>
          </w:p>
        </w:tc>
        <w:tc>
          <w:tcPr>
            <w:tcW w:w="340" w:type="dxa"/>
            <w:vAlign w:val="bottom"/>
          </w:tcPr>
          <w:p>
            <w:pPr>
              <w:spacing w:after="0"/>
              <w:rPr>
                <w:sz w:val="24"/>
                <w:szCs w:val="24"/>
                <w:color w:val="auto"/>
              </w:rPr>
            </w:pPr>
          </w:p>
        </w:tc>
        <w:tc>
          <w:tcPr>
            <w:tcW w:w="1260" w:type="dxa"/>
            <w:vAlign w:val="bottom"/>
          </w:tcPr>
          <w:p>
            <w:pPr>
              <w:jc w:val="center"/>
              <w:ind w:right="269"/>
              <w:spacing w:after="0"/>
              <w:rPr>
                <w:sz w:val="20"/>
                <w:szCs w:val="20"/>
                <w:color w:val="auto"/>
              </w:rPr>
            </w:pPr>
            <w:r>
              <w:rPr>
                <w:rFonts w:ascii="Courier New" w:cs="Courier New" w:eastAsia="Courier New" w:hAnsi="Courier New"/>
                <w:sz w:val="14"/>
                <w:szCs w:val="14"/>
                <w:color w:val="auto"/>
              </w:rPr>
              <w:t>JUNE 30,</w:t>
            </w:r>
          </w:p>
        </w:tc>
        <w:tc>
          <w:tcPr>
            <w:tcW w:w="300" w:type="dxa"/>
            <w:vAlign w:val="bottom"/>
          </w:tcPr>
          <w:p>
            <w:pPr>
              <w:spacing w:after="0"/>
              <w:rPr>
                <w:sz w:val="24"/>
                <w:szCs w:val="24"/>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SEPTEMBER 30,</w:t>
            </w:r>
          </w:p>
        </w:tc>
        <w:tc>
          <w:tcPr>
            <w:tcW w:w="260" w:type="dxa"/>
            <w:vAlign w:val="bottom"/>
          </w:tcPr>
          <w:p>
            <w:pPr>
              <w:spacing w:after="0"/>
              <w:rPr>
                <w:sz w:val="24"/>
                <w:szCs w:val="24"/>
                <w:color w:val="auto"/>
              </w:rPr>
            </w:pPr>
          </w:p>
        </w:tc>
        <w:tc>
          <w:tcPr>
            <w:tcW w:w="1260" w:type="dxa"/>
            <w:vAlign w:val="bottom"/>
          </w:tcPr>
          <w:p>
            <w:pPr>
              <w:jc w:val="center"/>
              <w:ind w:right="189"/>
              <w:spacing w:after="0"/>
              <w:rPr>
                <w:sz w:val="20"/>
                <w:szCs w:val="20"/>
                <w:color w:val="auto"/>
              </w:rPr>
            </w:pPr>
            <w:r>
              <w:rPr>
                <w:rFonts w:ascii="Courier New" w:cs="Courier New" w:eastAsia="Courier New" w:hAnsi="Courier New"/>
                <w:sz w:val="14"/>
                <w:szCs w:val="14"/>
                <w:color w:val="auto"/>
                <w:w w:val="99"/>
              </w:rPr>
              <w:t>DECEMBER 31,</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1260" w:type="dxa"/>
            <w:vAlign w:val="bottom"/>
          </w:tcPr>
          <w:p>
            <w:pPr>
              <w:jc w:val="center"/>
              <w:ind w:right="289"/>
              <w:spacing w:after="0"/>
              <w:rPr>
                <w:sz w:val="20"/>
                <w:szCs w:val="20"/>
                <w:color w:val="auto"/>
              </w:rPr>
            </w:pPr>
            <w:r>
              <w:rPr>
                <w:rFonts w:ascii="Courier New" w:cs="Courier New" w:eastAsia="Courier New" w:hAnsi="Courier New"/>
                <w:sz w:val="14"/>
                <w:szCs w:val="14"/>
                <w:color w:val="auto"/>
              </w:rPr>
              <w:t>1998</w:t>
            </w:r>
          </w:p>
        </w:tc>
        <w:tc>
          <w:tcPr>
            <w:tcW w:w="300" w:type="dxa"/>
            <w:vAlign w:val="bottom"/>
          </w:tcPr>
          <w:p>
            <w:pPr>
              <w:spacing w:after="0"/>
              <w:rPr>
                <w:sz w:val="14"/>
                <w:szCs w:val="14"/>
                <w:color w:val="auto"/>
              </w:rPr>
            </w:pP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1260" w:type="dxa"/>
            <w:vAlign w:val="bottom"/>
          </w:tcPr>
          <w:p>
            <w:pPr>
              <w:jc w:val="center"/>
              <w:ind w:right="169"/>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18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141,298</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164,071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179,136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177,554</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520" w:type="dxa"/>
            <w:vAlign w:val="bottom"/>
          </w:tcPr>
          <w:p>
            <w:pPr>
              <w:spacing w:after="0"/>
              <w:rPr>
                <w:sz w:val="14"/>
                <w:szCs w:val="14"/>
                <w:color w:val="auto"/>
              </w:rPr>
            </w:pP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22,143</w:t>
            </w:r>
          </w:p>
        </w:tc>
        <w:tc>
          <w:tcPr>
            <w:tcW w:w="340" w:type="dxa"/>
            <w:vAlign w:val="bottom"/>
          </w:tcPr>
          <w:p>
            <w:pPr>
              <w:spacing w:after="0"/>
              <w:rPr>
                <w:sz w:val="14"/>
                <w:szCs w:val="14"/>
                <w:color w:val="auto"/>
              </w:rPr>
            </w:pPr>
          </w:p>
        </w:tc>
        <w:tc>
          <w:tcPr>
            <w:tcW w:w="12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26,198</w:t>
            </w:r>
          </w:p>
        </w:tc>
        <w:tc>
          <w:tcPr>
            <w:tcW w:w="300" w:type="dxa"/>
            <w:vAlign w:val="bottom"/>
          </w:tcPr>
          <w:p>
            <w:pPr>
              <w:spacing w:after="0"/>
              <w:rPr>
                <w:sz w:val="14"/>
                <w:szCs w:val="14"/>
                <w:color w:val="auto"/>
              </w:rPr>
            </w:pP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28,534</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(35,197)</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w w:val="99"/>
              </w:rPr>
              <w:t>Income (loss) before cumulative</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effect of accounting change</w:t>
            </w:r>
          </w:p>
        </w:tc>
        <w:tc>
          <w:tcPr>
            <w:tcW w:w="520" w:type="dxa"/>
            <w:vAlign w:val="bottom"/>
          </w:tcPr>
          <w:p>
            <w:pPr>
              <w:spacing w:after="0"/>
              <w:rPr>
                <w:sz w:val="20"/>
                <w:szCs w:val="20"/>
                <w:color w:val="auto"/>
              </w:rPr>
            </w:pPr>
          </w:p>
        </w:tc>
        <w:tc>
          <w:tcPr>
            <w:tcW w:w="13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18,443</w:t>
            </w:r>
          </w:p>
        </w:tc>
        <w:tc>
          <w:tcPr>
            <w:tcW w:w="340" w:type="dxa"/>
            <w:vAlign w:val="bottom"/>
          </w:tcPr>
          <w:p>
            <w:pPr>
              <w:spacing w:after="0"/>
              <w:rPr>
                <w:sz w:val="20"/>
                <w:szCs w:val="20"/>
                <w:color w:val="auto"/>
              </w:rPr>
            </w:pPr>
          </w:p>
        </w:tc>
        <w:tc>
          <w:tcPr>
            <w:tcW w:w="126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21,088</w:t>
            </w:r>
          </w:p>
        </w:tc>
        <w:tc>
          <w:tcPr>
            <w:tcW w:w="300" w:type="dxa"/>
            <w:vAlign w:val="bottom"/>
          </w:tcPr>
          <w:p>
            <w:pPr>
              <w:spacing w:after="0"/>
              <w:rPr>
                <w:sz w:val="20"/>
                <w:szCs w:val="20"/>
                <w:color w:val="auto"/>
              </w:rPr>
            </w:pPr>
          </w:p>
        </w:tc>
        <w:tc>
          <w:tcPr>
            <w:tcW w:w="13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21,102</w:t>
            </w:r>
          </w:p>
        </w:tc>
        <w:tc>
          <w:tcPr>
            <w:tcW w:w="26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(33,652)</w:t>
            </w:r>
          </w:p>
        </w:tc>
        <w:tc>
          <w:tcPr>
            <w:tcW w:w="0" w:type="dxa"/>
            <w:vAlign w:val="bottom"/>
          </w:tcPr>
          <w:p>
            <w:pPr>
              <w:spacing w:after="0"/>
              <w:rPr>
                <w:sz w:val="1"/>
                <w:szCs w:val="1"/>
                <w:color w:val="auto"/>
              </w:rPr>
            </w:pPr>
          </w:p>
        </w:tc>
      </w:tr>
      <w:tr>
        <w:trPr>
          <w:trHeight w:val="163"/>
        </w:trPr>
        <w:tc>
          <w:tcPr>
            <w:tcW w:w="2620" w:type="dxa"/>
            <w:vAlign w:val="bottom"/>
            <w:vMerge w:val="restart"/>
          </w:tcPr>
          <w:p>
            <w:pPr>
              <w:spacing w:after="0"/>
              <w:rPr>
                <w:sz w:val="20"/>
                <w:szCs w:val="20"/>
                <w:color w:val="auto"/>
              </w:rPr>
            </w:pPr>
            <w:r>
              <w:rPr>
                <w:rFonts w:ascii="Courier New" w:cs="Courier New" w:eastAsia="Courier New" w:hAnsi="Courier New"/>
                <w:sz w:val="14"/>
                <w:szCs w:val="14"/>
                <w:color w:val="auto"/>
                <w:w w:val="99"/>
              </w:rPr>
              <w:t>Cumulative effect of accounting</w:t>
            </w:r>
          </w:p>
        </w:tc>
        <w:tc>
          <w:tcPr>
            <w:tcW w:w="5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change, net of taxes</w:t>
            </w:r>
          </w:p>
        </w:tc>
        <w:tc>
          <w:tcPr>
            <w:tcW w:w="520" w:type="dxa"/>
            <w:vAlign w:val="bottom"/>
          </w:tcPr>
          <w:p>
            <w:pPr>
              <w:spacing w:after="0"/>
              <w:rPr>
                <w:sz w:val="20"/>
                <w:szCs w:val="20"/>
                <w:color w:val="auto"/>
              </w:rPr>
            </w:pPr>
          </w:p>
        </w:tc>
        <w:tc>
          <w:tcPr>
            <w:tcW w:w="13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0"/>
                <w:szCs w:val="20"/>
                <w:color w:val="auto"/>
              </w:rPr>
            </w:pPr>
          </w:p>
        </w:tc>
        <w:tc>
          <w:tcPr>
            <w:tcW w:w="126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0"/>
                <w:szCs w:val="20"/>
                <w:color w:val="auto"/>
              </w:rPr>
            </w:pPr>
          </w:p>
        </w:tc>
        <w:tc>
          <w:tcPr>
            <w:tcW w:w="13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0"/>
                <w:szCs w:val="20"/>
                <w:color w:val="auto"/>
              </w:rPr>
            </w:pPr>
          </w:p>
        </w:tc>
        <w:tc>
          <w:tcPr>
            <w:tcW w:w="12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16,145</w:t>
            </w:r>
          </w:p>
        </w:tc>
        <w:tc>
          <w:tcPr>
            <w:tcW w:w="0" w:type="dxa"/>
            <w:vAlign w:val="bottom"/>
          </w:tcPr>
          <w:p>
            <w:pPr>
              <w:spacing w:after="0"/>
              <w:rPr>
                <w:sz w:val="1"/>
                <w:szCs w:val="1"/>
                <w:color w:val="auto"/>
              </w:rPr>
            </w:pPr>
          </w:p>
        </w:tc>
      </w:tr>
      <w:tr>
        <w:trPr>
          <w:trHeight w:val="88"/>
        </w:trPr>
        <w:tc>
          <w:tcPr>
            <w:tcW w:w="262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w:t>
            </w:r>
          </w:p>
        </w:tc>
        <w:tc>
          <w:tcPr>
            <w:tcW w:w="5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6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18,443</w:t>
            </w:r>
          </w:p>
        </w:tc>
        <w:tc>
          <w:tcPr>
            <w:tcW w:w="340" w:type="dxa"/>
            <w:vAlign w:val="bottom"/>
          </w:tcPr>
          <w:p>
            <w:pPr>
              <w:spacing w:after="0"/>
              <w:rPr>
                <w:sz w:val="14"/>
                <w:szCs w:val="14"/>
                <w:color w:val="auto"/>
              </w:rPr>
            </w:pPr>
          </w:p>
        </w:tc>
        <w:tc>
          <w:tcPr>
            <w:tcW w:w="12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21,088</w:t>
            </w:r>
          </w:p>
        </w:tc>
        <w:tc>
          <w:tcPr>
            <w:tcW w:w="300" w:type="dxa"/>
            <w:vAlign w:val="bottom"/>
          </w:tcPr>
          <w:p>
            <w:pPr>
              <w:spacing w:after="0"/>
              <w:rPr>
                <w:sz w:val="14"/>
                <w:szCs w:val="14"/>
                <w:color w:val="auto"/>
              </w:rPr>
            </w:pP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21,102</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(49,797)</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income (loss) available to</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common shareholders</w:t>
            </w:r>
          </w:p>
        </w:tc>
        <w:tc>
          <w:tcPr>
            <w:tcW w:w="520" w:type="dxa"/>
            <w:vAlign w:val="bottom"/>
          </w:tcPr>
          <w:p>
            <w:pPr>
              <w:spacing w:after="0"/>
              <w:rPr>
                <w:sz w:val="20"/>
                <w:szCs w:val="20"/>
                <w:color w:val="auto"/>
              </w:rPr>
            </w:pPr>
          </w:p>
        </w:tc>
        <w:tc>
          <w:tcPr>
            <w:tcW w:w="13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18,443</w:t>
            </w:r>
          </w:p>
        </w:tc>
        <w:tc>
          <w:tcPr>
            <w:tcW w:w="340" w:type="dxa"/>
            <w:vAlign w:val="bottom"/>
          </w:tcPr>
          <w:p>
            <w:pPr>
              <w:spacing w:after="0"/>
              <w:rPr>
                <w:sz w:val="20"/>
                <w:szCs w:val="20"/>
                <w:color w:val="auto"/>
              </w:rPr>
            </w:pPr>
          </w:p>
        </w:tc>
        <w:tc>
          <w:tcPr>
            <w:tcW w:w="126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21,088</w:t>
            </w:r>
          </w:p>
        </w:tc>
        <w:tc>
          <w:tcPr>
            <w:tcW w:w="300" w:type="dxa"/>
            <w:vAlign w:val="bottom"/>
          </w:tcPr>
          <w:p>
            <w:pPr>
              <w:spacing w:after="0"/>
              <w:rPr>
                <w:sz w:val="20"/>
                <w:szCs w:val="20"/>
                <w:color w:val="auto"/>
              </w:rPr>
            </w:pPr>
          </w:p>
        </w:tc>
        <w:tc>
          <w:tcPr>
            <w:tcW w:w="13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21,102</w:t>
            </w:r>
          </w:p>
        </w:tc>
        <w:tc>
          <w:tcPr>
            <w:tcW w:w="26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(49,797)</w:t>
            </w:r>
          </w:p>
        </w:tc>
        <w:tc>
          <w:tcPr>
            <w:tcW w:w="0" w:type="dxa"/>
            <w:vAlign w:val="bottom"/>
          </w:tcPr>
          <w:p>
            <w:pPr>
              <w:spacing w:after="0"/>
              <w:rPr>
                <w:sz w:val="1"/>
                <w:szCs w:val="1"/>
                <w:color w:val="auto"/>
              </w:rPr>
            </w:pPr>
          </w:p>
        </w:tc>
      </w:tr>
      <w:tr>
        <w:trPr>
          <w:trHeight w:val="163"/>
        </w:trPr>
        <w:tc>
          <w:tcPr>
            <w:tcW w:w="262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 per common</w:t>
            </w:r>
          </w:p>
        </w:tc>
        <w:tc>
          <w:tcPr>
            <w:tcW w:w="5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2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0.27</w:t>
            </w:r>
          </w:p>
        </w:tc>
        <w:tc>
          <w:tcPr>
            <w:tcW w:w="340" w:type="dxa"/>
            <w:vAlign w:val="bottom"/>
          </w:tcPr>
          <w:p>
            <w:pPr>
              <w:spacing w:after="0"/>
              <w:rPr>
                <w:sz w:val="7"/>
                <w:szCs w:val="7"/>
                <w:color w:val="auto"/>
              </w:rPr>
            </w:pPr>
          </w:p>
        </w:tc>
        <w:tc>
          <w:tcPr>
            <w:tcW w:w="12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0.30</w:t>
            </w:r>
          </w:p>
        </w:tc>
        <w:tc>
          <w:tcPr>
            <w:tcW w:w="300" w:type="dxa"/>
            <w:vAlign w:val="bottom"/>
          </w:tcPr>
          <w:p>
            <w:pPr>
              <w:spacing w:after="0"/>
              <w:rPr>
                <w:sz w:val="7"/>
                <w:szCs w:val="7"/>
                <w:color w:val="auto"/>
              </w:rPr>
            </w:pPr>
          </w:p>
        </w:tc>
        <w:tc>
          <w:tcPr>
            <w:tcW w:w="13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0.30</w:t>
            </w:r>
          </w:p>
        </w:tc>
        <w:tc>
          <w:tcPr>
            <w:tcW w:w="260" w:type="dxa"/>
            <w:vAlign w:val="bottom"/>
          </w:tcPr>
          <w:p>
            <w:pPr>
              <w:spacing w:after="0"/>
              <w:rPr>
                <w:sz w:val="7"/>
                <w:szCs w:val="7"/>
                <w:color w:val="auto"/>
              </w:rPr>
            </w:pPr>
          </w:p>
        </w:tc>
        <w:tc>
          <w:tcPr>
            <w:tcW w:w="12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(.67)</w:t>
            </w:r>
          </w:p>
        </w:tc>
        <w:tc>
          <w:tcPr>
            <w:tcW w:w="0" w:type="dxa"/>
            <w:vAlign w:val="bottom"/>
          </w:tcPr>
          <w:p>
            <w:pPr>
              <w:spacing w:after="0"/>
              <w:rPr>
                <w:sz w:val="1"/>
                <w:szCs w:val="1"/>
                <w:color w:val="auto"/>
              </w:rPr>
            </w:pPr>
          </w:p>
        </w:tc>
      </w:tr>
      <w:tr>
        <w:trPr>
          <w:trHeight w:val="163"/>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 - Basic</w:t>
            </w:r>
          </w:p>
        </w:tc>
        <w:tc>
          <w:tcPr>
            <w:tcW w:w="5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income (loss) per common</w:t>
            </w:r>
          </w:p>
        </w:tc>
        <w:tc>
          <w:tcPr>
            <w:tcW w:w="520" w:type="dxa"/>
            <w:vAlign w:val="bottom"/>
          </w:tcPr>
          <w:p>
            <w:pPr>
              <w:spacing w:after="0"/>
              <w:rPr>
                <w:sz w:val="14"/>
                <w:szCs w:val="14"/>
                <w:color w:val="auto"/>
              </w:rPr>
            </w:pPr>
          </w:p>
        </w:tc>
        <w:tc>
          <w:tcPr>
            <w:tcW w:w="132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0.23</w:t>
            </w:r>
          </w:p>
        </w:tc>
        <w:tc>
          <w:tcPr>
            <w:tcW w:w="340" w:type="dxa"/>
            <w:vAlign w:val="bottom"/>
          </w:tcPr>
          <w:p>
            <w:pPr>
              <w:spacing w:after="0"/>
              <w:rPr>
                <w:sz w:val="14"/>
                <w:szCs w:val="14"/>
                <w:color w:val="auto"/>
              </w:rPr>
            </w:pPr>
          </w:p>
        </w:tc>
        <w:tc>
          <w:tcPr>
            <w:tcW w:w="12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0.27</w:t>
            </w:r>
          </w:p>
        </w:tc>
        <w:tc>
          <w:tcPr>
            <w:tcW w:w="300" w:type="dxa"/>
            <w:vAlign w:val="bottom"/>
          </w:tcPr>
          <w:p>
            <w:pPr>
              <w:spacing w:after="0"/>
              <w:rPr>
                <w:sz w:val="14"/>
                <w:szCs w:val="14"/>
                <w:color w:val="auto"/>
              </w:rPr>
            </w:pPr>
          </w:p>
        </w:tc>
        <w:tc>
          <w:tcPr>
            <w:tcW w:w="13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0.27</w:t>
            </w:r>
          </w:p>
        </w:tc>
        <w:tc>
          <w:tcPr>
            <w:tcW w:w="260" w:type="dxa"/>
            <w:vAlign w:val="bottom"/>
          </w:tcPr>
          <w:p>
            <w:pPr>
              <w:spacing w:after="0"/>
              <w:rPr>
                <w:sz w:val="14"/>
                <w:szCs w:val="14"/>
                <w:color w:val="auto"/>
              </w:rPr>
            </w:pPr>
          </w:p>
        </w:tc>
        <w:tc>
          <w:tcPr>
            <w:tcW w:w="12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(.67)</w:t>
            </w:r>
          </w:p>
        </w:tc>
        <w:tc>
          <w:tcPr>
            <w:tcW w:w="0" w:type="dxa"/>
            <w:vAlign w:val="bottom"/>
          </w:tcPr>
          <w:p>
            <w:pPr>
              <w:spacing w:after="0"/>
              <w:rPr>
                <w:sz w:val="1"/>
                <w:szCs w:val="1"/>
                <w:color w:val="auto"/>
              </w:rPr>
            </w:pPr>
          </w:p>
        </w:tc>
      </w:tr>
      <w:tr>
        <w:trPr>
          <w:trHeight w:val="238"/>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 - Diluted</w:t>
            </w:r>
          </w:p>
        </w:tc>
        <w:tc>
          <w:tcPr>
            <w:tcW w:w="52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52"/>
        </w:trPr>
        <w:tc>
          <w:tcPr>
            <w:tcW w:w="2620" w:type="dxa"/>
            <w:vAlign w:val="bottom"/>
          </w:tcPr>
          <w:p>
            <w:pPr>
              <w:spacing w:after="0"/>
              <w:rPr>
                <w:sz w:val="24"/>
                <w:szCs w:val="24"/>
                <w:color w:val="auto"/>
              </w:rPr>
            </w:pPr>
          </w:p>
        </w:tc>
        <w:tc>
          <w:tcPr>
            <w:tcW w:w="52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F-50</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2"/>
          </w:cols>
          <w:pgMar w:left="307" w:top="257" w:right="1440" w:bottom="1440" w:gutter="0" w:footer="0" w:header="0"/>
        </w:sectPr>
      </w:pPr>
    </w:p>
    <w:bookmarkStart w:id="170" w:name="page171"/>
    <w:bookmarkEnd w:id="170"/>
    <w:p>
      <w:pPr>
        <w:ind w:left="168"/>
        <w:spacing w:after="0"/>
        <w:rPr>
          <w:sz w:val="20"/>
          <w:szCs w:val="20"/>
          <w:color w:val="auto"/>
        </w:rPr>
      </w:pPr>
      <w:r>
        <w:rPr>
          <w:rFonts w:ascii="Courier New" w:cs="Courier New" w:eastAsia="Courier New" w:hAnsi="Courier New"/>
          <w:sz w:val="14"/>
          <w:szCs w:val="14"/>
          <w:color w:val="auto"/>
        </w:rPr>
        <w:t>169</w:t>
      </w:r>
    </w:p>
    <w:p>
      <w:pPr>
        <w:spacing w:after="0" w:line="30" w:lineRule="exact"/>
        <w:rPr>
          <w:sz w:val="20"/>
          <w:szCs w:val="20"/>
          <w:color w:val="auto"/>
        </w:rPr>
      </w:pPr>
    </w:p>
    <w:p>
      <w:pPr>
        <w:ind w:left="508" w:hanging="508"/>
        <w:spacing w:after="0"/>
        <w:tabs>
          <w:tab w:leader="none" w:pos="50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ALLIANCE</w:t>
      </w:r>
    </w:p>
    <w:p>
      <w:pPr>
        <w:spacing w:after="0" w:line="141" w:lineRule="exact"/>
        <w:rPr>
          <w:rFonts w:ascii="Courier New" w:cs="Courier New" w:eastAsia="Courier New" w:hAnsi="Courier New"/>
          <w:sz w:val="14"/>
          <w:szCs w:val="14"/>
          <w:color w:val="auto"/>
        </w:rPr>
      </w:pPr>
    </w:p>
    <w:p>
      <w:pPr>
        <w:ind w:left="508" w:right="335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Old CCA entered into an International Alliance (the "Alliance") with Sodexho to pursue prison management business outside the United States. In conjunction with the Alliance, Sodexho purchased an equity position in Old CCA by acquiring several instruments. In 1994, Old CCA sold Sodexho</w:t>
      </w:r>
    </w:p>
    <w:p>
      <w:pPr>
        <w:spacing w:after="0" w:line="1" w:lineRule="exact"/>
        <w:rPr>
          <w:rFonts w:ascii="Courier New" w:cs="Courier New" w:eastAsia="Courier New" w:hAnsi="Courier New"/>
          <w:sz w:val="14"/>
          <w:szCs w:val="14"/>
          <w:color w:val="auto"/>
        </w:rPr>
      </w:pPr>
    </w:p>
    <w:p>
      <w:pPr>
        <w:ind w:left="508" w:right="33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2.5 million shares of common stock at $4.29 per share and a $7.0 million convertible subordinated note bearing interest at 8.5%. Sodexho also received warrants that were exercised in 1998 for 3.9 million shares of common stock. In consideration of the placement of the aforementioned securities, Old CCA paid Sodexho $4.0 million over a four-year period ending in 1998. These fees include debt issuance costs and private placement equity fees. These fees have been allocated to the various instruments based on the estimated cost to Old CCA of raising the various components of capital and are charged to debt issuance costs or equity as the respective financings are completed.</w:t>
      </w:r>
    </w:p>
    <w:p>
      <w:pPr>
        <w:spacing w:after="0" w:line="82" w:lineRule="exact"/>
        <w:rPr>
          <w:rFonts w:ascii="Courier New" w:cs="Courier New" w:eastAsia="Courier New" w:hAnsi="Courier New"/>
          <w:sz w:val="14"/>
          <w:szCs w:val="14"/>
          <w:color w:val="auto"/>
        </w:rPr>
      </w:pPr>
    </w:p>
    <w:p>
      <w:pPr>
        <w:ind w:left="508" w:right="3619"/>
        <w:spacing w:after="0" w:line="26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1995, Old CCA and Sodexho entered into a forward contract whereby Sodexho would purchase up to $20.0 million of convertible subordinated notes at any time prior to December 1997. In 1997, Old CCA and Sodexho extended the expiration date of this contract to December 1999. As discussed in Note 12, on March 8, 1999, the Company issued the $20.0 million convertible, subordinated notes to Sodexho. The notes bore interest at LIBOR plus 1.35% and were convertible into shares of the Company's common stock at a conversion price of $7.80 per share.</w:t>
      </w:r>
    </w:p>
    <w:p>
      <w:pPr>
        <w:spacing w:after="0" w:line="77" w:lineRule="exact"/>
        <w:rPr>
          <w:rFonts w:ascii="Courier New" w:cs="Courier New" w:eastAsia="Courier New" w:hAnsi="Courier New"/>
          <w:sz w:val="14"/>
          <w:szCs w:val="14"/>
          <w:color w:val="auto"/>
        </w:rPr>
      </w:pPr>
    </w:p>
    <w:p>
      <w:pPr>
        <w:ind w:left="508" w:right="3359"/>
        <w:spacing w:after="0" w:line="28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1996, Old CCA sold $20.0 million of convertible notes to Sodexho pursuant to their contractual preemptive right. The notes had an interest rate of 7.5% and were convertible into common shares at a conversion price of $28.53 per share.</w:t>
      </w:r>
    </w:p>
    <w:p>
      <w:pPr>
        <w:spacing w:after="0" w:line="59" w:lineRule="exact"/>
        <w:rPr>
          <w:rFonts w:ascii="Courier New" w:cs="Courier New" w:eastAsia="Courier New" w:hAnsi="Courier New"/>
          <w:sz w:val="14"/>
          <w:szCs w:val="14"/>
          <w:color w:val="auto"/>
        </w:rPr>
      </w:pPr>
    </w:p>
    <w:p>
      <w:pPr>
        <w:ind w:left="508" w:right="335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discussed in Note 12, on March 8, 1999, Sodexho converted (i) the $7.0 million convertible subordinated note bearing interest at 8.5% into 1.7 million shares of the Company's common stock at a conversion price of $4.09 per share, (ii) the $20.0 million convertible subordinated note bearing interest at 7.5% into 700,000 shares of the Company's common stock at a conversion price of $28.53 per share and (iii) the $20.0 million convertible subordinated note bearing interest at LIBOR plus 1.35% into 2.6 million shares of the Company's common stock at a conversion price of $7.80 per share.</w:t>
      </w:r>
    </w:p>
    <w:p>
      <w:pPr>
        <w:spacing w:after="0" w:line="241" w:lineRule="exact"/>
        <w:rPr>
          <w:rFonts w:ascii="Courier New" w:cs="Courier New" w:eastAsia="Courier New" w:hAnsi="Courier New"/>
          <w:sz w:val="14"/>
          <w:szCs w:val="14"/>
          <w:color w:val="auto"/>
        </w:rPr>
      </w:pPr>
    </w:p>
    <w:p>
      <w:pPr>
        <w:ind w:left="508" w:hanging="508"/>
        <w:spacing w:after="0"/>
        <w:tabs>
          <w:tab w:leader="none" w:pos="50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67" w:lineRule="exact"/>
        <w:rPr>
          <w:rFonts w:ascii="Courier New" w:cs="Courier New" w:eastAsia="Courier New" w:hAnsi="Courier New"/>
          <w:sz w:val="14"/>
          <w:szCs w:val="14"/>
          <w:color w:val="auto"/>
        </w:rPr>
      </w:pPr>
    </w:p>
    <w:p>
      <w:pPr>
        <w:ind w:left="508" w:right="34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Old CCA paid legal fees to a law firm of which one of the partners is a stockholder of the Company and had been a member of the Old CCA Board of Directors. Legal fees, including fees related to Old CCA's mergers and acquisitions, paid to the law firm amounted to $3.0 million and $1.1 in 1998 and 1997, respectively. The Company paid $5.8 million to this law firm during 1999.</w:t>
      </w:r>
    </w:p>
    <w:p>
      <w:pPr>
        <w:spacing w:after="0" w:line="71" w:lineRule="exact"/>
        <w:rPr>
          <w:rFonts w:ascii="Courier New" w:cs="Courier New" w:eastAsia="Courier New" w:hAnsi="Courier New"/>
          <w:sz w:val="14"/>
          <w:szCs w:val="14"/>
          <w:color w:val="auto"/>
        </w:rPr>
      </w:pPr>
    </w:p>
    <w:p>
      <w:pPr>
        <w:ind w:left="508" w:right="3459"/>
        <w:spacing w:after="0" w:line="29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Old CCA paid $0.3 million and $0.4 million in 1998 and 1997, respectively, to a member of the Old CCA Board of Directors for consulting services related to various contractual relationships. The Company did not make any payments to this individual during 1999. Old CCA paid $1.3 million and $0.9 million in 1998 and 1997, respectively, to a company that is majority-owned by an individual that was a member of the Old CCA Board of Directors, for services rendered at one of its facilities. The Company did not make any payments to this individual during 1999.</w:t>
      </w:r>
    </w:p>
    <w:p>
      <w:pPr>
        <w:spacing w:after="0" w:line="220" w:lineRule="exact"/>
        <w:rPr>
          <w:sz w:val="20"/>
          <w:szCs w:val="20"/>
          <w:color w:val="auto"/>
        </w:rPr>
      </w:pPr>
    </w:p>
    <w:p>
      <w:pPr>
        <w:ind w:left="3128"/>
        <w:spacing w:after="0"/>
        <w:rPr>
          <w:sz w:val="20"/>
          <w:szCs w:val="20"/>
          <w:color w:val="auto"/>
        </w:rPr>
      </w:pPr>
      <w:r>
        <w:rPr>
          <w:rFonts w:ascii="Courier New" w:cs="Courier New" w:eastAsia="Courier New" w:hAnsi="Courier New"/>
          <w:sz w:val="14"/>
          <w:szCs w:val="14"/>
          <w:color w:val="auto"/>
        </w:rPr>
        <w:t>F-51</w:t>
      </w:r>
    </w:p>
    <w:p>
      <w:pPr>
        <w:sectPr>
          <w:pgSz w:w="11900" w:h="16838" w:orient="portrait"/>
          <w:cols w:equalWidth="0" w:num="1">
            <w:col w:w="10067"/>
          </w:cols>
          <w:pgMar w:left="392" w:top="257" w:right="1440" w:bottom="1440" w:gutter="0" w:footer="0" w:header="0"/>
        </w:sectPr>
      </w:pPr>
    </w:p>
    <w:bookmarkStart w:id="171" w:name="page172"/>
    <w:bookmarkEnd w:id="171"/>
    <w:p>
      <w:pPr>
        <w:ind w:left="168"/>
        <w:spacing w:after="0"/>
        <w:rPr>
          <w:sz w:val="20"/>
          <w:szCs w:val="20"/>
          <w:color w:val="auto"/>
        </w:rPr>
      </w:pPr>
      <w:r>
        <w:rPr>
          <w:rFonts w:ascii="Courier New" w:cs="Courier New" w:eastAsia="Courier New" w:hAnsi="Courier New"/>
          <w:sz w:val="14"/>
          <w:szCs w:val="14"/>
          <w:color w:val="auto"/>
        </w:rPr>
        <w:t>170</w:t>
      </w:r>
    </w:p>
    <w:p>
      <w:pPr>
        <w:spacing w:after="0" w:line="30" w:lineRule="exact"/>
        <w:rPr>
          <w:sz w:val="20"/>
          <w:szCs w:val="20"/>
          <w:color w:val="auto"/>
        </w:rPr>
      </w:pPr>
    </w:p>
    <w:p>
      <w:pPr>
        <w:ind w:left="508" w:right="3359"/>
        <w:spacing w:after="0" w:line="266" w:lineRule="auto"/>
        <w:rPr>
          <w:sz w:val="20"/>
          <w:szCs w:val="20"/>
          <w:color w:val="auto"/>
        </w:rPr>
      </w:pPr>
      <w:r>
        <w:rPr>
          <w:rFonts w:ascii="Courier New" w:cs="Courier New" w:eastAsia="Courier New" w:hAnsi="Courier New"/>
          <w:sz w:val="14"/>
          <w:szCs w:val="14"/>
          <w:color w:val="auto"/>
        </w:rPr>
        <w:t>During 1999, the Company paid $26.5 million to a construction company that is owned by a member of the Company's Board of Directors, for services rendered in the construction of facilities. During 1998, Old CCA paid $40.8 million and Old Prison Realty paid $8.7 million to this construction company.</w:t>
      </w:r>
    </w:p>
    <w:p>
      <w:pPr>
        <w:spacing w:after="0" w:line="74" w:lineRule="exact"/>
        <w:rPr>
          <w:sz w:val="20"/>
          <w:szCs w:val="20"/>
          <w:color w:val="auto"/>
        </w:rPr>
      </w:pPr>
    </w:p>
    <w:p>
      <w:pPr>
        <w:ind w:left="508" w:right="3459"/>
        <w:spacing w:after="0" w:line="276" w:lineRule="auto"/>
        <w:rPr>
          <w:sz w:val="20"/>
          <w:szCs w:val="20"/>
          <w:color w:val="auto"/>
        </w:rPr>
      </w:pPr>
      <w:r>
        <w:rPr>
          <w:rFonts w:ascii="Courier New" w:cs="Courier New" w:eastAsia="Courier New" w:hAnsi="Courier New"/>
          <w:sz w:val="14"/>
          <w:szCs w:val="14"/>
          <w:color w:val="auto"/>
        </w:rPr>
        <w:t>During 1998, the Company paid $3.0 million in 1998 to a member of the Company's Board of Directors for consulting services rendered in connection with the merger transactions discussed in Note 3. The Company did not make payments to this individual during 1999 other than Board of Director fees.</w:t>
      </w:r>
    </w:p>
    <w:p>
      <w:pPr>
        <w:spacing w:after="0" w:line="230" w:lineRule="exact"/>
        <w:rPr>
          <w:sz w:val="20"/>
          <w:szCs w:val="20"/>
          <w:color w:val="auto"/>
        </w:rPr>
      </w:pPr>
    </w:p>
    <w:p>
      <w:pPr>
        <w:ind w:left="508" w:right="7099" w:hanging="508"/>
        <w:spacing w:after="0" w:line="493" w:lineRule="auto"/>
        <w:tabs>
          <w:tab w:leader="none" w:pos="508"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LITIGATION</w:t>
      </w:r>
    </w:p>
    <w:p>
      <w:pPr>
        <w:ind w:left="508" w:right="33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1999 Merger, the Company became subject to a variety of legal proceedings outstanding as of December 31, 1998 against Old CCA arising in the ordinary course of Old CCA's business, including certain claims brought by and on behalf of inmates and employees of facilities managed and operated by Old CCA prior to the 1999 Merger. The Company does not believe that such litigation, if resolved against the Company, would have a material adverse effect upon its consolidated financial position, results of operations and cash flows. Also, as a result of the 1999 Merger, the Company became subject to certain legal proceedings outstanding as of January 1, 1999 against Old Prison Realty arising in the ordinary course of Old Prison Realty's business, including certain claims arising in connection with the construction and development of its facilities. The Company does not believe that such litigation, if resolved against the Company, would have a material adverse effect upon its consolidated financial position, results of operations and cash flows.</w:t>
      </w:r>
    </w:p>
    <w:p>
      <w:pPr>
        <w:spacing w:after="0" w:line="86" w:lineRule="exact"/>
        <w:rPr>
          <w:rFonts w:ascii="Courier New" w:cs="Courier New" w:eastAsia="Courier New" w:hAnsi="Courier New"/>
          <w:sz w:val="14"/>
          <w:szCs w:val="14"/>
          <w:color w:val="auto"/>
        </w:rPr>
      </w:pPr>
    </w:p>
    <w:p>
      <w:pPr>
        <w:ind w:left="508" w:right="3539"/>
        <w:spacing w:after="0" w:line="26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1998, Old CCA was a party to two inmate lawsuits at the Northeast Ohio Correctional Center for wrongful deaths. These lawsuits were assumed by the Company in the 1999 Merger. While the outcome of these lawsuits is not determinable, the Company does not believe that such litigation, if resolved against the Company, would have a material adverse effect upon its consolidated financial position, results of operations and cash flows.</w:t>
      </w:r>
    </w:p>
    <w:p>
      <w:pPr>
        <w:spacing w:after="0" w:line="74" w:lineRule="exact"/>
        <w:rPr>
          <w:rFonts w:ascii="Courier New" w:cs="Courier New" w:eastAsia="Courier New" w:hAnsi="Courier New"/>
          <w:sz w:val="14"/>
          <w:szCs w:val="14"/>
          <w:color w:val="auto"/>
        </w:rPr>
      </w:pPr>
    </w:p>
    <w:p>
      <w:pPr>
        <w:ind w:left="508" w:right="33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29, 1999, a purported class action lawsuit was filed on behalf of the shareholders of the Company in the Chancery Court for Davidson County, Tennessee. The lawsuit, captioned Bernstein v. Prison Realty Trust, et al., names as defendants the Company and its directors, as well as the investors in the prospective equity investment and related restructuring discussed in Note 23. The lawsuit alleges that the directors breached their fiduciary duties to the Company's shareholders by "effectively selling control" of the Company for inadequate consideration and without having adequately considered or explored all other alternatives to the prospective equity investment and related restructuring or having taken steps to maximize stockholder value. The plaintiffs seek an injunction preventing the completion of the equity investment and related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the Company and its directors, as well as the investors. The plaintiffs in these three actions have moved for consolidation.</w:t>
      </w:r>
    </w:p>
    <w:p>
      <w:pPr>
        <w:spacing w:after="0" w:line="244" w:lineRule="exact"/>
        <w:rPr>
          <w:sz w:val="20"/>
          <w:szCs w:val="20"/>
          <w:color w:val="auto"/>
        </w:rPr>
      </w:pPr>
    </w:p>
    <w:p>
      <w:pPr>
        <w:ind w:left="3128"/>
        <w:spacing w:after="0"/>
        <w:rPr>
          <w:sz w:val="20"/>
          <w:szCs w:val="20"/>
          <w:color w:val="auto"/>
        </w:rPr>
      </w:pPr>
      <w:r>
        <w:rPr>
          <w:rFonts w:ascii="Courier New" w:cs="Courier New" w:eastAsia="Courier New" w:hAnsi="Courier New"/>
          <w:sz w:val="14"/>
          <w:szCs w:val="14"/>
          <w:color w:val="auto"/>
        </w:rPr>
        <w:t>F-52</w:t>
      </w:r>
    </w:p>
    <w:p>
      <w:pPr>
        <w:sectPr>
          <w:pgSz w:w="11900" w:h="16838" w:orient="portrait"/>
          <w:cols w:equalWidth="0" w:num="1">
            <w:col w:w="10067"/>
          </w:cols>
          <w:pgMar w:left="392" w:top="257"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4"/>
          <w:szCs w:val="14"/>
          <w:color w:val="auto"/>
        </w:rPr>
        <w:t>171</w:t>
      </w:r>
    </w:p>
    <w:p>
      <w:pPr>
        <w:spacing w:after="0" w:line="30" w:lineRule="exact"/>
        <w:rPr>
          <w:sz w:val="20"/>
          <w:szCs w:val="20"/>
          <w:color w:val="auto"/>
        </w:rPr>
      </w:pPr>
    </w:p>
    <w:p>
      <w:pPr>
        <w:ind w:left="340" w:right="3359"/>
        <w:spacing w:after="0" w:line="249" w:lineRule="auto"/>
        <w:rPr>
          <w:sz w:val="20"/>
          <w:szCs w:val="20"/>
          <w:color w:val="auto"/>
        </w:rPr>
      </w:pPr>
      <w:r>
        <w:rPr>
          <w:rFonts w:ascii="Courier New" w:cs="Courier New" w:eastAsia="Courier New" w:hAnsi="Courier New"/>
          <w:sz w:val="14"/>
          <w:szCs w:val="14"/>
          <w:color w:val="auto"/>
        </w:rPr>
        <w:t>On December 30, 1999, a purported class action lawsuit was filed in federal court in the United States District Court for the Middle District of Tennessee, on behalf of the stockholders of the Company. The lawsuit, captioned Neiger v. Doctor Crants, et al., names as defendants the Company, Doctor R. Crants and D. Robert Crants, III. The lawsuit alleges violations of federal securities laws based on the allegation that the defendants knew or should have known that the Company would not make any further dividend payments on its common stock, including the Special Dividend prior to the date on which it was disclosed to the public and therefore certain statements made by them prior to that time were false and misleading. The plaintiffs seek an unspecified amount of monetary damages and costs and fees. On February 4, 2000, a nearly identical purported class action lawsuit was filed in the same court on behalf of different purported class representatives. The lawsuit, captioned Anderson v. Doctor Crants, et al., names as defendants the Company, Doctor R. Crants and D. Robert Crants, III. On February 24, 2000, a nearly identical complaint was filed in the same court on behalf of one plaintiff. The lawsuit, captioned Brody, et al. v. Prison Realty Trust, Inc. et al., names as defendants the Company, Doctor R. Crants, D. Robert Crants, III and Darrell K. Massengale. Additionally, on March 3, 2000, a similar lawsuit was filed on behalf of two plaintiffs in the Chancery Court for the State of Tennessee, Twentieth Judicial District. The lawsuit, captioned Buchanan v. Prison Realty Trust, Inc., et al., names as defendants the Company, Doctor R. Crants, D. Robert Crants, III and Darrell K. Massengale and alleges violations of state securities laws based on claims substantially identical to those enumerated above.</w:t>
      </w:r>
    </w:p>
    <w:p>
      <w:pPr>
        <w:spacing w:after="0" w:line="99" w:lineRule="exact"/>
        <w:rPr>
          <w:sz w:val="20"/>
          <w:szCs w:val="20"/>
          <w:color w:val="auto"/>
        </w:rPr>
      </w:pPr>
    </w:p>
    <w:p>
      <w:pPr>
        <w:ind w:left="340" w:right="3359"/>
        <w:spacing w:after="0" w:line="251" w:lineRule="auto"/>
        <w:rPr>
          <w:sz w:val="20"/>
          <w:szCs w:val="20"/>
          <w:color w:val="auto"/>
        </w:rPr>
      </w:pPr>
      <w:r>
        <w:rPr>
          <w:rFonts w:ascii="Courier New" w:cs="Courier New" w:eastAsia="Courier New" w:hAnsi="Courier New"/>
          <w:sz w:val="14"/>
          <w:szCs w:val="14"/>
          <w:color w:val="auto"/>
        </w:rPr>
        <w:t>The Company is also currently subject to two separate class actions filed in federal court in the United States District Court for the Middle District of Tennessee, alleging securities fraud in connection with the agreements entered into by the Company and New CCA in May 1999 to increase payments made by the Company to New CCA under the terms of certain agreements. The plaintiffs' class in In re Old CCA Securities Litigation consists of former shareholders of Old CCA who acquired shares of the Company as the result of the 1999 Merger. The plaintiffs' class in In re Prison Realty Securities Litigation consists of former shareholders of Old Prison Realty who acquired shares of the Company as the result of the 1999 Merger and all persons who acquired shares of the Company in the open market prior to May 17, 1999. Each of these actions alleges violations of federal securities laws based on the allegations that the Company and the individual defendants in the actions knew or should have known of the increased payments to New CCA prior to the date that they were disclosed to the public, and therefore certain public filings and representations made by the Company and certain of the defendants were false and misleading. These two actions represent the consolidation of sixteen complaints filed in May and June 1999. In addition, a purported stockholders' derivative complaint has been filed in the Chancery Court for Davidson County, Tennessee in Nashville, captioned Wanstrath v. Crants, et al., against the Company, New CCA and persons who were directors at the time the Company entered into the agreements regarding the increased payments to New CCA. The derivative action alleges, among other things, that the directors of the Company violated their fiduciary duties in approving the increased payments to New CCA. The plaintiffs in this action have also moved for a preliminary injunction to prevent the completion of the proposed equity investment and restructuring.</w:t>
      </w:r>
    </w:p>
    <w:p>
      <w:pPr>
        <w:spacing w:after="0" w:line="85" w:lineRule="exact"/>
        <w:rPr>
          <w:sz w:val="20"/>
          <w:szCs w:val="20"/>
          <w:color w:val="auto"/>
        </w:rPr>
      </w:pPr>
    </w:p>
    <w:p>
      <w:pPr>
        <w:ind w:left="340" w:right="3359"/>
        <w:spacing w:after="0" w:line="261" w:lineRule="auto"/>
        <w:rPr>
          <w:sz w:val="20"/>
          <w:szCs w:val="20"/>
          <w:color w:val="auto"/>
        </w:rPr>
      </w:pPr>
      <w:r>
        <w:rPr>
          <w:rFonts w:ascii="Courier New" w:cs="Courier New" w:eastAsia="Courier New" w:hAnsi="Courier New"/>
          <w:sz w:val="14"/>
          <w:szCs w:val="14"/>
          <w:color w:val="auto"/>
        </w:rPr>
        <w:t>The Company also is subject to a complaint filed in August 1998 in the Chancery Court for Davidson County, Tennessee, inherited from Old CCA in the 1999 Merger.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w:t>
      </w:r>
    </w:p>
    <w:p>
      <w:pPr>
        <w:spacing w:after="0" w:line="78" w:lineRule="exact"/>
        <w:rPr>
          <w:sz w:val="20"/>
          <w:szCs w:val="20"/>
          <w:color w:val="auto"/>
        </w:rPr>
      </w:pPr>
    </w:p>
    <w:p>
      <w:pPr>
        <w:ind w:left="340" w:right="3359"/>
        <w:spacing w:after="0" w:line="270" w:lineRule="auto"/>
        <w:rPr>
          <w:sz w:val="20"/>
          <w:szCs w:val="20"/>
          <w:color w:val="auto"/>
        </w:rPr>
      </w:pPr>
      <w:r>
        <w:rPr>
          <w:rFonts w:ascii="Courier New" w:cs="Courier New" w:eastAsia="Courier New" w:hAnsi="Courier New"/>
          <w:sz w:val="14"/>
          <w:szCs w:val="14"/>
          <w:color w:val="auto"/>
        </w:rPr>
        <w:t>The Company was the subject of a purported class action complaint filed in the Circuit Court for Davidson County, Tennessee, on January 28, 2000. The lawsuit, captioned White v. Prison Realty Trust, Inc., et al., alleged that the defendants engaged in unfair and deceptive practice of permitting telephone service providers exclusive service rights in return for illegal payments and kickbacks,</w:t>
      </w:r>
    </w:p>
    <w:p>
      <w:pPr>
        <w:spacing w:after="0" w:line="23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F-53</w:t>
      </w:r>
    </w:p>
    <w:p>
      <w:pPr>
        <w:sectPr>
          <w:pgSz w:w="11900" w:h="16838" w:orient="portrait"/>
          <w:cols w:equalWidth="0" w:num="1">
            <w:col w:w="9899"/>
          </w:cols>
          <w:pgMar w:left="560" w:top="257"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4"/>
          <w:szCs w:val="14"/>
          <w:color w:val="auto"/>
        </w:rPr>
        <w:t>172</w:t>
      </w:r>
    </w:p>
    <w:p>
      <w:pPr>
        <w:spacing w:after="0" w:line="30" w:lineRule="exact"/>
        <w:rPr>
          <w:sz w:val="20"/>
          <w:szCs w:val="20"/>
          <w:color w:val="auto"/>
        </w:rPr>
      </w:pPr>
    </w:p>
    <w:p>
      <w:pPr>
        <w:ind w:left="340" w:right="3359"/>
        <w:spacing w:after="0" w:line="254" w:lineRule="auto"/>
        <w:rPr>
          <w:sz w:val="20"/>
          <w:szCs w:val="20"/>
          <w:color w:val="auto"/>
        </w:rPr>
      </w:pPr>
      <w:r>
        <w:rPr>
          <w:rFonts w:ascii="Courier New" w:cs="Courier New" w:eastAsia="Courier New" w:hAnsi="Courier New"/>
          <w:sz w:val="14"/>
          <w:szCs w:val="14"/>
          <w:color w:val="auto"/>
        </w:rPr>
        <w:t>which exclusive agreements allow and require the providers to charge unconscionable fees for phone services. This complaint was subsequently dismissed by the Circuit Court on February 23, 2000. A similar complaint, captioned Hunt v. Prison Realty Trust, Inc., was filed on February 23, 2000 in the Circuit Court for Davidson County, Tennessee, naming as defendants the Company, New CCA, JJFMSI and PMSI. Plaintiffs are asking for unspecified treble damages pursuant to the Tennessee Consumer Protection Act plus restitution of the amounts collected by the defendants under such arrangements, as well as a permanent injunction restraining the defendants from engaging in such conduct, in addition to unspecified damages.</w:t>
      </w:r>
    </w:p>
    <w:p>
      <w:pPr>
        <w:spacing w:after="0" w:line="85" w:lineRule="exact"/>
        <w:rPr>
          <w:sz w:val="20"/>
          <w:szCs w:val="20"/>
          <w:color w:val="auto"/>
        </w:rPr>
      </w:pPr>
    </w:p>
    <w:p>
      <w:pPr>
        <w:ind w:left="340" w:right="3459"/>
        <w:spacing w:after="0" w:line="263" w:lineRule="auto"/>
        <w:rPr>
          <w:sz w:val="20"/>
          <w:szCs w:val="20"/>
          <w:color w:val="auto"/>
        </w:rPr>
      </w:pPr>
      <w:r>
        <w:rPr>
          <w:rFonts w:ascii="Courier New" w:cs="Courier New" w:eastAsia="Courier New" w:hAnsi="Courier New"/>
          <w:sz w:val="14"/>
          <w:szCs w:val="14"/>
          <w:color w:val="auto"/>
        </w:rPr>
        <w:t>The Company is defending vigorously its actions in each of the various shareholder or class action lawsuits. It is possible additional lawsuits will be filed in connection with the proposed equity investment and related restructuring. It is also possible that the Company's liability in regard to the shareholder or class action lawsuits will exceed the Company's insurance coverage limits and will have a material adverse impact on the Company's consolidated financial position, results of operations and cash flows.</w:t>
      </w:r>
    </w:p>
    <w:p>
      <w:pPr>
        <w:spacing w:after="0" w:line="77" w:lineRule="exact"/>
        <w:rPr>
          <w:sz w:val="20"/>
          <w:szCs w:val="20"/>
          <w:color w:val="auto"/>
        </w:rPr>
      </w:pPr>
    </w:p>
    <w:p>
      <w:pPr>
        <w:ind w:left="340" w:right="3359"/>
        <w:spacing w:after="0" w:line="266" w:lineRule="auto"/>
        <w:rPr>
          <w:sz w:val="20"/>
          <w:szCs w:val="20"/>
          <w:color w:val="auto"/>
        </w:rPr>
      </w:pPr>
      <w:r>
        <w:rPr>
          <w:rFonts w:ascii="Courier New" w:cs="Courier New" w:eastAsia="Courier New" w:hAnsi="Courier New"/>
          <w:sz w:val="14"/>
          <w:szCs w:val="14"/>
          <w:color w:val="auto"/>
        </w:rPr>
        <w:t>With the exception of the foregoing matters, the Company is not presently subject to any material litigation nor, to the Company's knowledge, is any litigation threatened against the Company, other than routine litigation arising in the ordinary course of business, some of which is expected to be covered by liability insurance, and all of which collectively is not expected to have a material adverse effect on the consolidated financial statements of the Company.</w:t>
      </w:r>
    </w:p>
    <w:p>
      <w:pPr>
        <w:spacing w:after="0" w:line="7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INCOME TAX CONTINGENCIES</w:t>
      </w:r>
    </w:p>
    <w:p>
      <w:pPr>
        <w:spacing w:after="0" w:line="168" w:lineRule="exact"/>
        <w:rPr>
          <w:sz w:val="20"/>
          <w:szCs w:val="20"/>
          <w:color w:val="auto"/>
        </w:rPr>
      </w:pPr>
    </w:p>
    <w:p>
      <w:pPr>
        <w:ind w:left="340" w:right="3359"/>
        <w:spacing w:after="0" w:line="249" w:lineRule="auto"/>
        <w:rPr>
          <w:sz w:val="20"/>
          <w:szCs w:val="20"/>
          <w:color w:val="auto"/>
        </w:rPr>
      </w:pPr>
      <w:r>
        <w:rPr>
          <w:rFonts w:ascii="Courier New" w:cs="Courier New" w:eastAsia="Courier New" w:hAnsi="Courier New"/>
          <w:sz w:val="14"/>
          <w:szCs w:val="14"/>
          <w:color w:val="auto"/>
        </w:rPr>
        <w:t>As required by its governing instruments, the Company currently intends to elect to be taxed as a REIT for the year ended December 31, 1999.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As discussed in Note 11, in order to qualify as a REIT, the Company is required to distribute 95% of its taxable income for 1999. Although dividends sufficient to distribute 95% of the Company's taxable income for 1999 have not been declared as of December 31, 1999, the Company intends to pay sufficient dividends either in cash or in securities to satisfy all distribution requirements for qualification as a REIT for 1999 and estimates that $143.7 million will be distributed in 2000 to meet this requirement. The Company is currently considering the exact timing and method of the payment of these required distributions. As of December 31, 1999, $2.2 million of distributions relating to the</w:t>
      </w:r>
    </w:p>
    <w:p>
      <w:pPr>
        <w:spacing w:after="0" w:line="3" w:lineRule="exact"/>
        <w:rPr>
          <w:sz w:val="20"/>
          <w:szCs w:val="20"/>
          <w:color w:val="auto"/>
        </w:rPr>
      </w:pPr>
    </w:p>
    <w:p>
      <w:pPr>
        <w:ind w:left="340" w:right="3459"/>
        <w:spacing w:after="0" w:line="254" w:lineRule="auto"/>
        <w:rPr>
          <w:sz w:val="20"/>
          <w:szCs w:val="20"/>
          <w:color w:val="auto"/>
        </w:rPr>
      </w:pPr>
      <w:r>
        <w:rPr>
          <w:rFonts w:ascii="Courier New" w:cs="Courier New" w:eastAsia="Courier New" w:hAnsi="Courier New"/>
          <w:sz w:val="14"/>
          <w:szCs w:val="14"/>
          <w:color w:val="auto"/>
        </w:rPr>
        <w:t>8.0% Series A Cumulative Preferred Shares have been declared and accrued in the accompanying consolidated balance sheets. The remaining $141.5 million of distributions that must be paid to shareholders in 2000 in order for the Company to maintain its status as a REIT have not been declared by the Board of Directors and, accordingly, have not been accrued in the accompanying consolidated balance sheets. It is likely that the Company's debt holders would be required to consent to the Company's payment of these distributions. The Company's failure to distribute 95% of its taxable income for 1999 or the failure of the Company to comply with other requirements for REIT qualification under the Code would have a material adverse impact on the Company's consolidated financial position, results of operations and cash flows.</w:t>
      </w:r>
    </w:p>
    <w:p>
      <w:pPr>
        <w:spacing w:after="0" w:line="80" w:lineRule="exact"/>
        <w:rPr>
          <w:sz w:val="20"/>
          <w:szCs w:val="20"/>
          <w:color w:val="auto"/>
        </w:rPr>
      </w:pPr>
    </w:p>
    <w:p>
      <w:pPr>
        <w:ind w:left="340" w:right="3359"/>
        <w:spacing w:after="0" w:line="263" w:lineRule="auto"/>
        <w:rPr>
          <w:sz w:val="20"/>
          <w:szCs w:val="20"/>
          <w:color w:val="auto"/>
        </w:rPr>
      </w:pPr>
      <w:r>
        <w:rPr>
          <w:rFonts w:ascii="Courier New" w:cs="Courier New" w:eastAsia="Courier New" w:hAnsi="Courier New"/>
          <w:sz w:val="14"/>
          <w:szCs w:val="14"/>
          <w:color w:val="auto"/>
        </w:rPr>
        <w:t>The Company's election of REIT status for the taxable year ended December 31, 1999 will be subject to review by the IRS for a period of three years from the date of filing of its 1999 tax return. Should the IRS review the Company's election to be taxed as a REIT for the 1999 taxable year and reach a conclusion requiring the Company to be treated as a taxable corporation for the 1999 taxable year, the Company would be subject to income taxes and interest on its 1999 taxable income and possibly subject to fines and/or penalties. In the event that the Company completes the</w:t>
      </w:r>
    </w:p>
    <w:p>
      <w:pPr>
        <w:spacing w:after="0" w:line="24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F-54</w:t>
      </w:r>
    </w:p>
    <w:p>
      <w:pPr>
        <w:sectPr>
          <w:pgSz w:w="11900" w:h="16838" w:orient="portrait"/>
          <w:cols w:equalWidth="0" w:num="1">
            <w:col w:w="9899"/>
          </w:cols>
          <w:pgMar w:left="560" w:top="257" w:right="1440" w:bottom="1440" w:gutter="0" w:footer="0" w:header="0"/>
        </w:sectPr>
      </w:pPr>
    </w:p>
    <w:bookmarkStart w:id="174" w:name="page175"/>
    <w:bookmarkEnd w:id="174"/>
    <w:p>
      <w:pPr>
        <w:ind w:left="253"/>
        <w:spacing w:after="0"/>
        <w:rPr>
          <w:sz w:val="20"/>
          <w:szCs w:val="20"/>
          <w:color w:val="auto"/>
        </w:rPr>
      </w:pPr>
      <w:r>
        <w:rPr>
          <w:rFonts w:ascii="Courier New" w:cs="Courier New" w:eastAsia="Courier New" w:hAnsi="Courier New"/>
          <w:sz w:val="14"/>
          <w:szCs w:val="14"/>
          <w:color w:val="auto"/>
        </w:rPr>
        <w:t>173</w:t>
      </w:r>
    </w:p>
    <w:p>
      <w:pPr>
        <w:spacing w:after="0" w:line="30" w:lineRule="exact"/>
        <w:rPr>
          <w:sz w:val="20"/>
          <w:szCs w:val="20"/>
          <w:color w:val="auto"/>
        </w:rPr>
      </w:pPr>
    </w:p>
    <w:p>
      <w:pPr>
        <w:ind w:left="593" w:right="3359"/>
        <w:spacing w:after="0" w:line="260" w:lineRule="auto"/>
        <w:rPr>
          <w:sz w:val="20"/>
          <w:szCs w:val="20"/>
          <w:color w:val="auto"/>
        </w:rPr>
      </w:pPr>
      <w:r>
        <w:rPr>
          <w:rFonts w:ascii="Courier New" w:cs="Courier New" w:eastAsia="Courier New" w:hAnsi="Courier New"/>
          <w:sz w:val="14"/>
          <w:szCs w:val="14"/>
          <w:color w:val="auto"/>
        </w:rPr>
        <w:t>Fortress/Blackstone Restructuring, as defined in Note 23, under its existing terms following required shareholder approval in 2000, the Company will be required to be taxed as a C corporation commencing with the taxable year ended December 31, 1999. Income taxes for the year ended December 31, 1999 could exceed $83.5 million, which would have an adverse impact on the Company's consolidated financial position, results of operations and cash flows.</w:t>
      </w:r>
    </w:p>
    <w:p>
      <w:pPr>
        <w:spacing w:after="0" w:line="76" w:lineRule="exact"/>
        <w:rPr>
          <w:sz w:val="20"/>
          <w:szCs w:val="20"/>
          <w:color w:val="auto"/>
        </w:rPr>
      </w:pPr>
    </w:p>
    <w:p>
      <w:pPr>
        <w:ind w:left="593" w:right="3359"/>
        <w:spacing w:after="0" w:line="254" w:lineRule="auto"/>
        <w:rPr>
          <w:sz w:val="20"/>
          <w:szCs w:val="20"/>
          <w:color w:val="auto"/>
        </w:rPr>
      </w:pPr>
      <w:r>
        <w:rPr>
          <w:rFonts w:ascii="Courier New" w:cs="Courier New" w:eastAsia="Courier New" w:hAnsi="Courier New"/>
          <w:sz w:val="14"/>
          <w:szCs w:val="14"/>
          <w:color w:val="auto"/>
        </w:rPr>
        <w:t>In connection with the 1999 Merger, the Company assumed any tax obligations of Old CCA resulting from disputes with federal and state taxing authorities related to tax returns filed by Old CCA in 1998 and prior taxable years. The IRS is currently conducting an audit of Old CCA's federal tax return for the taxable year ending December 31, 1997. The Company currently is unable to predict the ultimate outcome of the IRS's audit of Old CCA's 1997 federal tax return or the ultimate outcome of audits of other tax returns of the Company or Old CCA by the IRS or by other taxing authorities; however, it is possible that such audits will result in claims against the Company in excess of the reserves currently recorded by the Company. In addition, to the extent that IRS audit adjustments increase the Accumulated Earnings and Profits of Old CCA, the Company would be required to make timely distribution of the Accumulated Earnings and Profits of Old CCA to shareholders. Such results would have a material adverse impact on the Company's financial position, results of operations and cash flows.</w:t>
      </w:r>
    </w:p>
    <w:p>
      <w:pPr>
        <w:spacing w:after="0" w:line="87" w:lineRule="exact"/>
        <w:rPr>
          <w:sz w:val="20"/>
          <w:szCs w:val="20"/>
          <w:color w:val="auto"/>
        </w:rPr>
      </w:pPr>
    </w:p>
    <w:p>
      <w:pPr>
        <w:ind w:left="593"/>
        <w:spacing w:after="0"/>
        <w:rPr>
          <w:sz w:val="20"/>
          <w:szCs w:val="20"/>
          <w:color w:val="auto"/>
        </w:rPr>
      </w:pPr>
      <w:r>
        <w:rPr>
          <w:rFonts w:ascii="Courier New" w:cs="Courier New" w:eastAsia="Courier New" w:hAnsi="Courier New"/>
          <w:sz w:val="14"/>
          <w:szCs w:val="14"/>
          <w:color w:val="auto"/>
        </w:rPr>
        <w:t>GUARANTEES</w:t>
      </w:r>
    </w:p>
    <w:p>
      <w:pPr>
        <w:spacing w:after="0" w:line="168" w:lineRule="exact"/>
        <w:rPr>
          <w:sz w:val="20"/>
          <w:szCs w:val="20"/>
          <w:color w:val="auto"/>
        </w:rPr>
      </w:pPr>
    </w:p>
    <w:p>
      <w:pPr>
        <w:ind w:left="593" w:right="3359"/>
        <w:spacing w:after="0" w:line="263" w:lineRule="auto"/>
        <w:rPr>
          <w:sz w:val="20"/>
          <w:szCs w:val="20"/>
          <w:color w:val="auto"/>
        </w:rPr>
      </w:pPr>
      <w:r>
        <w:rPr>
          <w:rFonts w:ascii="Courier New" w:cs="Courier New" w:eastAsia="Courier New" w:hAnsi="Courier New"/>
          <w:sz w:val="14"/>
          <w:szCs w:val="14"/>
          <w:color w:val="auto"/>
        </w:rPr>
        <w:t>The Company has guaranteed the bond indebtedness (outstanding balance of $69.1 million at December 31, 1999) and forward purchase agreement (estimated obligation of $6.9 million at December 31, 1999) of a governmental entity for which PMSI currently provides management services at a 302-bed correctional facility. Under the terms of its guarantee agreements, the Company is required to maintain a restricted cash account (balance of $6.9 million at December 31, 1999) to collateralize the guarantee of the forward purchase agreement.</w:t>
      </w:r>
    </w:p>
    <w:p>
      <w:pPr>
        <w:spacing w:after="0" w:line="240" w:lineRule="exact"/>
        <w:rPr>
          <w:sz w:val="20"/>
          <w:szCs w:val="20"/>
          <w:color w:val="auto"/>
        </w:rPr>
      </w:pPr>
    </w:p>
    <w:p>
      <w:pPr>
        <w:ind w:left="593" w:right="4899" w:hanging="593"/>
        <w:spacing w:after="0" w:line="493" w:lineRule="auto"/>
        <w:tabs>
          <w:tab w:leader="none" w:pos="593"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PROSPECTIVE EQUITY INVESTMENT AND RELATED RESTRUCTURING RESTRUCTURING AND RELATED TRANSACTIONS</w:t>
      </w:r>
    </w:p>
    <w:p>
      <w:pPr>
        <w:ind w:left="593" w:right="3459"/>
        <w:spacing w:after="0" w:line="26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of 1999, the Company and New CCA retained Merrill Lynch &amp; Co. ("Merrill Lynch") as their financial advisor to assist them in completing a sale of equity and/or debt securities as required by the Amended Credit Facility in order to make the Special Dividend payment in cash. Following extensive analysis by Merrill Lynch concerning the Company's capital structure, liquidity, and potential investor candidates, the advisor recommended that the Board of Directors consider more comprehensive investment alternatives.</w:t>
      </w:r>
    </w:p>
    <w:p>
      <w:pPr>
        <w:spacing w:after="0" w:line="77" w:lineRule="exact"/>
        <w:rPr>
          <w:rFonts w:ascii="Courier New" w:cs="Courier New" w:eastAsia="Courier New" w:hAnsi="Courier New"/>
          <w:sz w:val="14"/>
          <w:szCs w:val="14"/>
          <w:color w:val="auto"/>
        </w:rPr>
      </w:pPr>
    </w:p>
    <w:p>
      <w:pPr>
        <w:ind w:left="593" w:right="3359"/>
        <w:spacing w:after="0" w:line="27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address the capital and liquidity constraints facing the Company and New CCA and concerns regarding the corporate structure and management of the Company, the Company intends to complete a comprehensive restructuring (the "Restructuring") pursuant to which it is currently anticipated that the Company will:</w:t>
      </w:r>
    </w:p>
    <w:p>
      <w:pPr>
        <w:spacing w:after="0" w:line="66" w:lineRule="exact"/>
        <w:rPr>
          <w:rFonts w:ascii="Courier New" w:cs="Courier New" w:eastAsia="Courier New" w:hAnsi="Courier New"/>
          <w:sz w:val="14"/>
          <w:szCs w:val="14"/>
          <w:color w:val="auto"/>
        </w:rPr>
      </w:pPr>
    </w:p>
    <w:p>
      <w:pPr>
        <w:ind w:left="853" w:right="3359" w:hanging="259"/>
        <w:spacing w:after="0" w:line="306" w:lineRule="auto"/>
        <w:tabs>
          <w:tab w:leader="none" w:pos="853"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with each of New CCA, PMSI and JJFMSI and operate under the name "Corrections Corporation of America" as a taxable corporation, rather than a REIT, for federal income tax purposes (the "Combination");</w:t>
      </w:r>
    </w:p>
    <w:p>
      <w:pPr>
        <w:spacing w:after="0" w:line="45" w:lineRule="exact"/>
        <w:rPr>
          <w:rFonts w:ascii="Courier New" w:cs="Courier New" w:eastAsia="Courier New" w:hAnsi="Courier New"/>
          <w:sz w:val="14"/>
          <w:szCs w:val="14"/>
          <w:color w:val="auto"/>
        </w:rPr>
      </w:pPr>
    </w:p>
    <w:p>
      <w:pPr>
        <w:ind w:left="853" w:hanging="259"/>
        <w:spacing w:after="0"/>
        <w:tabs>
          <w:tab w:leader="none" w:pos="853"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raise additional equity (the "Equity Investment");</w:t>
      </w:r>
    </w:p>
    <w:p>
      <w:pPr>
        <w:spacing w:after="0" w:line="331" w:lineRule="exact"/>
        <w:rPr>
          <w:sz w:val="20"/>
          <w:szCs w:val="20"/>
          <w:color w:val="auto"/>
        </w:rPr>
      </w:pPr>
    </w:p>
    <w:p>
      <w:pPr>
        <w:ind w:left="3213"/>
        <w:spacing w:after="0"/>
        <w:rPr>
          <w:sz w:val="20"/>
          <w:szCs w:val="20"/>
          <w:color w:val="auto"/>
        </w:rPr>
      </w:pPr>
      <w:r>
        <w:rPr>
          <w:rFonts w:ascii="Courier New" w:cs="Courier New" w:eastAsia="Courier New" w:hAnsi="Courier New"/>
          <w:sz w:val="14"/>
          <w:szCs w:val="14"/>
          <w:color w:val="auto"/>
        </w:rPr>
        <w:t>F-55</w:t>
      </w:r>
    </w:p>
    <w:p>
      <w:pPr>
        <w:sectPr>
          <w:pgSz w:w="11900" w:h="16838" w:orient="portrait"/>
          <w:cols w:equalWidth="0" w:num="1">
            <w:col w:w="10152"/>
          </w:cols>
          <w:pgMar w:left="307" w:top="257"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4"/>
          <w:szCs w:val="14"/>
          <w:color w:val="auto"/>
        </w:rPr>
        <w:t>174</w:t>
      </w:r>
    </w:p>
    <w:p>
      <w:pPr>
        <w:spacing w:after="0" w:line="30" w:lineRule="exact"/>
        <w:rPr>
          <w:sz w:val="20"/>
          <w:szCs w:val="20"/>
          <w:color w:val="auto"/>
        </w:rPr>
      </w:pPr>
    </w:p>
    <w:p>
      <w:pPr>
        <w:ind w:left="840" w:right="3459" w:hanging="499"/>
        <w:spacing w:after="0" w:line="327" w:lineRule="auto"/>
        <w:tabs>
          <w:tab w:leader="none" w:pos="8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refinance all or a portion of its existing indebtedness, including its existing $1.0 billion Amended Credit Facility; and</w:t>
      </w:r>
    </w:p>
    <w:p>
      <w:pPr>
        <w:spacing w:after="0" w:line="31" w:lineRule="exact"/>
        <w:rPr>
          <w:rFonts w:ascii="Courier New" w:cs="Courier New" w:eastAsia="Courier New" w:hAnsi="Courier New"/>
          <w:sz w:val="14"/>
          <w:szCs w:val="14"/>
          <w:color w:val="auto"/>
        </w:rPr>
      </w:pPr>
    </w:p>
    <w:p>
      <w:pPr>
        <w:ind w:left="840" w:hanging="499"/>
        <w:spacing w:after="0"/>
        <w:tabs>
          <w:tab w:leader="none" w:pos="8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 changes to existing executive management.</w:t>
      </w:r>
    </w:p>
    <w:p>
      <w:pPr>
        <w:spacing w:after="0" w:line="16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PROPOSED RESTRUCTURING LED BY AFFILIATES OF FORTRESS AND BLACKSTONE</w:t>
      </w:r>
    </w:p>
    <w:p>
      <w:pPr>
        <w:spacing w:after="0" w:line="168" w:lineRule="exact"/>
        <w:rPr>
          <w:sz w:val="20"/>
          <w:szCs w:val="20"/>
          <w:color w:val="auto"/>
        </w:rPr>
      </w:pPr>
    </w:p>
    <w:p>
      <w:pPr>
        <w:ind w:left="340" w:right="3359"/>
        <w:spacing w:after="0" w:line="266" w:lineRule="auto"/>
        <w:rPr>
          <w:sz w:val="20"/>
          <w:szCs w:val="20"/>
          <w:color w:val="auto"/>
        </w:rPr>
      </w:pPr>
      <w:r>
        <w:rPr>
          <w:rFonts w:ascii="Courier New" w:cs="Courier New" w:eastAsia="Courier New" w:hAnsi="Courier New"/>
          <w:sz w:val="14"/>
          <w:szCs w:val="14"/>
          <w:color w:val="auto"/>
        </w:rPr>
        <w:t>On December 26, 1999, the Company entered into a series of agreements concerning a proposed Restructuring led by a group of institutional investors (the "Fortress/Blackstone Investors") consisting of an affiliate of Fortress Investment Group LLC and affiliates of The Blackstone Group, together with an affiliate of Bank of America Corporation (the "Fortress/Blackstone Restructuring"). Under the terms of the Fortress/Blackstone Restructuring, the Company would:</w:t>
      </w:r>
    </w:p>
    <w:p>
      <w:pPr>
        <w:spacing w:after="0" w:line="74" w:lineRule="exact"/>
        <w:rPr>
          <w:sz w:val="20"/>
          <w:szCs w:val="20"/>
          <w:color w:val="auto"/>
        </w:rPr>
      </w:pPr>
    </w:p>
    <w:p>
      <w:pPr>
        <w:ind w:left="840" w:right="3879" w:hanging="499"/>
        <w:spacing w:after="0" w:line="366" w:lineRule="auto"/>
        <w:tabs>
          <w:tab w:leader="none" w:pos="8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the Combination and operate as a taxable corporation commencing with the Company's 1999 taxable year;</w:t>
      </w:r>
    </w:p>
    <w:p>
      <w:pPr>
        <w:spacing w:after="0" w:line="5" w:lineRule="exact"/>
        <w:rPr>
          <w:rFonts w:ascii="Courier New" w:cs="Courier New" w:eastAsia="Courier New" w:hAnsi="Courier New"/>
          <w:sz w:val="14"/>
          <w:szCs w:val="14"/>
          <w:color w:val="auto"/>
        </w:rPr>
      </w:pPr>
    </w:p>
    <w:p>
      <w:pPr>
        <w:ind w:left="840" w:right="3359" w:hanging="499"/>
        <w:spacing w:after="0" w:line="276" w:lineRule="auto"/>
        <w:tabs>
          <w:tab w:leader="none" w:pos="8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raise up to $350.0 million by selling shares of convertible preferred stock and warrants to purchase shares of common stock to the Fortress/Blackstone Investors in a private placement and to the Company's existing common stockholders in a $75.0 million rights offering;</w:t>
      </w:r>
    </w:p>
    <w:p>
      <w:pPr>
        <w:spacing w:after="0" w:line="66" w:lineRule="exact"/>
        <w:rPr>
          <w:rFonts w:ascii="Courier New" w:cs="Courier New" w:eastAsia="Courier New" w:hAnsi="Courier New"/>
          <w:sz w:val="14"/>
          <w:szCs w:val="14"/>
          <w:color w:val="auto"/>
        </w:rPr>
      </w:pPr>
    </w:p>
    <w:p>
      <w:pPr>
        <w:ind w:left="840" w:hanging="499"/>
        <w:spacing w:after="0"/>
        <w:tabs>
          <w:tab w:leader="none" w:pos="8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 new $1.2 billion credit facility;</w:t>
      </w:r>
    </w:p>
    <w:p>
      <w:pPr>
        <w:spacing w:after="0" w:line="167" w:lineRule="exact"/>
        <w:rPr>
          <w:rFonts w:ascii="Courier New" w:cs="Courier New" w:eastAsia="Courier New" w:hAnsi="Courier New"/>
          <w:sz w:val="14"/>
          <w:szCs w:val="14"/>
          <w:color w:val="auto"/>
        </w:rPr>
      </w:pPr>
    </w:p>
    <w:p>
      <w:pPr>
        <w:ind w:left="840" w:right="3539" w:hanging="499"/>
        <w:spacing w:after="0" w:line="366" w:lineRule="auto"/>
        <w:tabs>
          <w:tab w:leader="none" w:pos="8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 changes to existing management through a newly constituted Board of Directors and executive management team; and</w:t>
      </w:r>
    </w:p>
    <w:p>
      <w:pPr>
        <w:spacing w:after="0" w:line="5" w:lineRule="exact"/>
        <w:rPr>
          <w:rFonts w:ascii="Courier New" w:cs="Courier New" w:eastAsia="Courier New" w:hAnsi="Courier New"/>
          <w:sz w:val="14"/>
          <w:szCs w:val="14"/>
          <w:color w:val="auto"/>
        </w:rPr>
      </w:pPr>
    </w:p>
    <w:p>
      <w:pPr>
        <w:ind w:left="840" w:right="3459" w:hanging="499"/>
        <w:spacing w:after="0" w:line="366" w:lineRule="auto"/>
        <w:tabs>
          <w:tab w:leader="none" w:pos="8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the Company's existing charter and bylaws to accommodate the Fortress/Blackstone Restructuring.</w:t>
      </w:r>
    </w:p>
    <w:p>
      <w:pPr>
        <w:spacing w:after="0" w:line="6" w:lineRule="exact"/>
        <w:rPr>
          <w:sz w:val="20"/>
          <w:szCs w:val="20"/>
          <w:color w:val="auto"/>
        </w:rPr>
      </w:pPr>
    </w:p>
    <w:p>
      <w:pPr>
        <w:ind w:left="340" w:right="3359"/>
        <w:spacing w:after="0" w:line="270" w:lineRule="auto"/>
        <w:rPr>
          <w:sz w:val="20"/>
          <w:szCs w:val="20"/>
          <w:color w:val="auto"/>
        </w:rPr>
      </w:pPr>
      <w:r>
        <w:rPr>
          <w:rFonts w:ascii="Courier New" w:cs="Courier New" w:eastAsia="Courier New" w:hAnsi="Courier New"/>
          <w:sz w:val="14"/>
          <w:szCs w:val="14"/>
          <w:color w:val="auto"/>
        </w:rPr>
        <w:t>Approval of the holders of the Company's common stock will be required in order to complete the Fortress/Blackstone Restructuring and related transactions. In this regard, on February 17, 2000, the Company filed a preliminary proxy statement with the Securities and Exchange Commission to be used in connection with a special meeting of the Company's stockholders expected to be held during 2000.</w:t>
      </w:r>
    </w:p>
    <w:p>
      <w:pPr>
        <w:spacing w:after="0" w:line="71" w:lineRule="exact"/>
        <w:rPr>
          <w:sz w:val="20"/>
          <w:szCs w:val="20"/>
          <w:color w:val="auto"/>
        </w:rPr>
      </w:pPr>
    </w:p>
    <w:p>
      <w:pPr>
        <w:ind w:left="340" w:right="3359"/>
        <w:spacing w:after="0" w:line="257" w:lineRule="auto"/>
        <w:rPr>
          <w:sz w:val="20"/>
          <w:szCs w:val="20"/>
          <w:color w:val="auto"/>
        </w:rPr>
      </w:pPr>
      <w:r>
        <w:rPr>
          <w:rFonts w:ascii="Courier New" w:cs="Courier New" w:eastAsia="Courier New" w:hAnsi="Courier New"/>
          <w:sz w:val="14"/>
          <w:szCs w:val="14"/>
          <w:color w:val="auto"/>
        </w:rPr>
        <w:t>In connection with the Fortress/Blackstone Restructuring, through December 31, 1999, the Company has incurred a total of $6.4 million of costs and expenses. In addition to these costs and expenses already incurred, the Company will incur certain costs and expenses in 2000 related to the performance of various parties under contractual agreements. Regardless of whether or not the Fortress/Blackstone Restructuring is completed, the Company is presently obligated to pay to the Fortress/Blackstone Investors a $15.7 million transaction fee, which is payable upon the earlier of (i) the issuance of the convertible preferred stock and warrants to purchase shares of common stock described above, (ii) four months from December 26, 1999, or (iii) the completion of an alternative Restructuring.</w:t>
      </w:r>
    </w:p>
    <w:p>
      <w:pPr>
        <w:spacing w:after="0" w:line="82" w:lineRule="exact"/>
        <w:rPr>
          <w:sz w:val="20"/>
          <w:szCs w:val="20"/>
          <w:color w:val="auto"/>
        </w:rPr>
      </w:pPr>
    </w:p>
    <w:p>
      <w:pPr>
        <w:ind w:left="340" w:right="3359"/>
        <w:spacing w:after="0" w:line="263" w:lineRule="auto"/>
        <w:rPr>
          <w:sz w:val="20"/>
          <w:szCs w:val="20"/>
          <w:color w:val="auto"/>
        </w:rPr>
      </w:pPr>
      <w:r>
        <w:rPr>
          <w:rFonts w:ascii="Courier New" w:cs="Courier New" w:eastAsia="Courier New" w:hAnsi="Courier New"/>
          <w:sz w:val="14"/>
          <w:szCs w:val="14"/>
          <w:color w:val="auto"/>
        </w:rPr>
        <w:t>If the Fortress/Blackstone Restructuring is completed, the Company will bear all costs and expenses, including the fees and expenses of advisors, accountants, attorneys, consultants and other parties engaged by the Company and by the Fortress/Blackstone Investors in connection with the evaluation, negotiation and consummation of Fortress/Blackstone Restructuring. Under the terms of the Fortress/Blackstone Restructuring, these costs and expenses will include an annual monitoring fee of $1.5 million to be paid to the Fortress/Blackstone Investors until a newly</w:t>
      </w:r>
    </w:p>
    <w:p>
      <w:pPr>
        <w:spacing w:after="0" w:line="24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F-56</w:t>
      </w:r>
    </w:p>
    <w:p>
      <w:pPr>
        <w:sectPr>
          <w:pgSz w:w="11900" w:h="16838" w:orient="portrait"/>
          <w:cols w:equalWidth="0" w:num="1">
            <w:col w:w="9899"/>
          </w:cols>
          <w:pgMar w:left="560" w:top="257"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4"/>
          <w:szCs w:val="14"/>
          <w:color w:val="auto"/>
        </w:rPr>
        <w:t>175</w:t>
      </w:r>
    </w:p>
    <w:p>
      <w:pPr>
        <w:spacing w:after="0" w:line="30" w:lineRule="exact"/>
        <w:rPr>
          <w:sz w:val="20"/>
          <w:szCs w:val="20"/>
          <w:color w:val="auto"/>
        </w:rPr>
      </w:pPr>
    </w:p>
    <w:p>
      <w:pPr>
        <w:ind w:left="340" w:right="3359"/>
        <w:spacing w:after="0" w:line="286" w:lineRule="auto"/>
        <w:rPr>
          <w:sz w:val="20"/>
          <w:szCs w:val="20"/>
          <w:color w:val="auto"/>
        </w:rPr>
      </w:pPr>
      <w:r>
        <w:rPr>
          <w:rFonts w:ascii="Courier New" w:cs="Courier New" w:eastAsia="Courier New" w:hAnsi="Courier New"/>
          <w:sz w:val="14"/>
          <w:szCs w:val="14"/>
          <w:color w:val="auto"/>
        </w:rPr>
        <w:t>constituted executive management team, which has been approved by the Company's Board of Directors and the Fortress/Blackstone Investors, is in place.</w:t>
      </w:r>
    </w:p>
    <w:p>
      <w:pPr>
        <w:spacing w:after="0" w:line="59" w:lineRule="exact"/>
        <w:rPr>
          <w:sz w:val="20"/>
          <w:szCs w:val="20"/>
          <w:color w:val="auto"/>
        </w:rPr>
      </w:pPr>
    </w:p>
    <w:p>
      <w:pPr>
        <w:ind w:left="340" w:right="3359"/>
        <w:spacing w:after="0" w:line="260" w:lineRule="auto"/>
        <w:rPr>
          <w:sz w:val="20"/>
          <w:szCs w:val="20"/>
          <w:color w:val="auto"/>
        </w:rPr>
      </w:pPr>
      <w:r>
        <w:rPr>
          <w:rFonts w:ascii="Courier New" w:cs="Courier New" w:eastAsia="Courier New" w:hAnsi="Courier New"/>
          <w:sz w:val="14"/>
          <w:szCs w:val="14"/>
          <w:color w:val="auto"/>
        </w:rPr>
        <w:t>In addition, if prior to the consummation of the Fortress/Blackstone Restructuring or during a period of one year following any termination of the Fortress/Blackstone Restructuring, the Company, New CCA, PMSI or JJFMSI enters into any agreement with a third party without the consent of the Fortress/Blackstone Investors providing for the issuance of equity or convertible securities with proceeds in excess of $100.0 million or providing for any merger, consolidation, transfer of substantial assets, any tender or exchange offer, or similar transactions involving the Company, New CCA, PMSI or JJFMSI, then the Company must pay a $7.5 million break-up fee to the Fortress/Blackstone Investors.</w:t>
      </w:r>
    </w:p>
    <w:p>
      <w:pPr>
        <w:spacing w:after="0" w:line="7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PROPOSED RESTRUCTURING LED BY PACIFIC LIFE</w:t>
      </w:r>
    </w:p>
    <w:p>
      <w:pPr>
        <w:spacing w:after="0" w:line="168" w:lineRule="exact"/>
        <w:rPr>
          <w:sz w:val="20"/>
          <w:szCs w:val="20"/>
          <w:color w:val="auto"/>
        </w:rPr>
      </w:pPr>
    </w:p>
    <w:p>
      <w:pPr>
        <w:ind w:left="340" w:right="3359"/>
        <w:spacing w:after="0" w:line="260" w:lineRule="auto"/>
        <w:rPr>
          <w:sz w:val="20"/>
          <w:szCs w:val="20"/>
          <w:color w:val="auto"/>
        </w:rPr>
      </w:pPr>
      <w:r>
        <w:rPr>
          <w:rFonts w:ascii="Courier New" w:cs="Courier New" w:eastAsia="Courier New" w:hAnsi="Courier New"/>
          <w:sz w:val="14"/>
          <w:szCs w:val="14"/>
          <w:color w:val="auto"/>
        </w:rPr>
        <w:t>On February 23, 2000, the Board of Directors of the Company received an unsolicited proposal from Pacific Life Insurance Company ("Pacific Life") regarding a proposed Restructuring intending to serve as an alternative to the Fortress/Blackstone Restructuring (the "Pacific Life Restructuring"). In connection with the receipt of the unsolicited proposal regarding the Pacific Life Restructuring, the Company's Board of Directors determined, after reviewing the proposal with its financial and legal advisors, that it is appropriate for the Company and its financial advisors to commence negotiations with Pacific Life regarding a potential Restructuring led by Pacific Life.</w:t>
      </w:r>
    </w:p>
    <w:p>
      <w:pPr>
        <w:spacing w:after="0" w:line="7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TRANSACTIONS BETWEEN THE COMPANY AND NEW CCA</w:t>
      </w:r>
    </w:p>
    <w:p>
      <w:pPr>
        <w:spacing w:after="0" w:line="168" w:lineRule="exact"/>
        <w:rPr>
          <w:sz w:val="20"/>
          <w:szCs w:val="20"/>
          <w:color w:val="auto"/>
        </w:rPr>
      </w:pPr>
    </w:p>
    <w:p>
      <w:pPr>
        <w:ind w:left="340" w:right="3359"/>
        <w:spacing w:after="0" w:line="253" w:lineRule="auto"/>
        <w:rPr>
          <w:sz w:val="20"/>
          <w:szCs w:val="20"/>
          <w:color w:val="auto"/>
        </w:rPr>
      </w:pPr>
      <w:r>
        <w:rPr>
          <w:rFonts w:ascii="Courier New" w:cs="Courier New" w:eastAsia="Courier New" w:hAnsi="Courier New"/>
          <w:sz w:val="14"/>
          <w:szCs w:val="14"/>
          <w:color w:val="auto"/>
        </w:rPr>
        <w:t>As of December 31, 1999, approximately $24.9 million of December 1999 rents due from New CCA to the Company were unpaid. In an effort to address the liquidity needs of the Company and New CCA prior to the Restructuring, the Company and New CCA currently intend to amend the terms of the CCA Leases. Pursuant to this proposed amendment, rent will be payable on each June 30 and December 31, instead of monthly. In addition, the proposed amendment provides that New CCA is required to make certain scheduled monthly installment payments to the Company from January 1, 2000 through June 30, 2000. Approximately $12.9 million of the balance outstanding at December 31, 1999 was paid February 14, 2000, and the Company expects that the remaining $12.0 million of 1999 rents will be received during the second quarter of 2000. In regard to rent accruing from January 1, 2000 through June 30, 2000, the Company and New CCA are currently negotiating the scheduled monthly installment payments that are to occur during the second quarter of 2000. At the time these installment payments are made, New CCA will also be required to pay interest to the Company upon such payments at a rate equal to the then current interest rate under the Amended Credit Facility.</w:t>
      </w:r>
    </w:p>
    <w:p>
      <w:pPr>
        <w:spacing w:after="0" w:line="89" w:lineRule="exact"/>
        <w:rPr>
          <w:sz w:val="20"/>
          <w:szCs w:val="20"/>
          <w:color w:val="auto"/>
        </w:rPr>
      </w:pPr>
    </w:p>
    <w:p>
      <w:pPr>
        <w:ind w:left="340" w:right="3359"/>
        <w:spacing w:after="0" w:line="270" w:lineRule="auto"/>
        <w:rPr>
          <w:sz w:val="20"/>
          <w:szCs w:val="20"/>
          <w:color w:val="auto"/>
        </w:rPr>
      </w:pPr>
      <w:r>
        <w:rPr>
          <w:rFonts w:ascii="Courier New" w:cs="Courier New" w:eastAsia="Courier New" w:hAnsi="Courier New"/>
          <w:sz w:val="14"/>
          <w:szCs w:val="14"/>
          <w:color w:val="auto"/>
        </w:rPr>
        <w:t>The Company and New CCA also intend to amend the terms of certain other agreements between the Company and New CCA (the Business Development Agreement, the CCA Services Agreement, and the Amended and Restated Tenant Incentive Agreement) to provide for the deferral of the payment of all fees under these agreements by the Company to New CCA until September 30, 2000.</w:t>
      </w:r>
    </w:p>
    <w:p>
      <w:pPr>
        <w:spacing w:after="0" w:line="7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LENDER CONSENTS</w:t>
      </w:r>
    </w:p>
    <w:p>
      <w:pPr>
        <w:spacing w:after="0" w:line="168" w:lineRule="exact"/>
        <w:rPr>
          <w:sz w:val="20"/>
          <w:szCs w:val="20"/>
          <w:color w:val="auto"/>
        </w:rPr>
      </w:pPr>
    </w:p>
    <w:p>
      <w:pPr>
        <w:ind w:left="340" w:right="3359"/>
        <w:spacing w:after="0" w:line="276" w:lineRule="auto"/>
        <w:rPr>
          <w:sz w:val="20"/>
          <w:szCs w:val="20"/>
          <w:color w:val="auto"/>
        </w:rPr>
      </w:pPr>
      <w:r>
        <w:rPr>
          <w:rFonts w:ascii="Courier New" w:cs="Courier New" w:eastAsia="Courier New" w:hAnsi="Courier New"/>
          <w:sz w:val="14"/>
          <w:szCs w:val="14"/>
          <w:color w:val="auto"/>
        </w:rPr>
        <w:t>The proposed amendments to the contractual agreements between the Company and New CCA as described above are subject to the consent of the Company's and New CCA's lenders. The consummation of the Restructuring, absent a refinancing of the Company's debt, also is subject to the consent of the Company's and New CCA's lenders.</w:t>
      </w:r>
    </w:p>
    <w:p>
      <w:pPr>
        <w:spacing w:after="0" w:line="23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F-57</w:t>
      </w:r>
    </w:p>
    <w:p>
      <w:pPr>
        <w:sectPr>
          <w:pgSz w:w="11900" w:h="16838" w:orient="portrait"/>
          <w:cols w:equalWidth="0" w:num="1">
            <w:col w:w="9899"/>
          </w:cols>
          <w:pgMar w:left="560" w:top="257"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4"/>
          <w:szCs w:val="14"/>
          <w:color w:val="auto"/>
        </w:rPr>
        <w:t>176</w:t>
      </w:r>
    </w:p>
    <w:p>
      <w:pPr>
        <w:spacing w:after="0" w:line="30" w:lineRule="exact"/>
        <w:rPr>
          <w:sz w:val="20"/>
          <w:szCs w:val="20"/>
          <w:color w:val="auto"/>
        </w:rPr>
      </w:pPr>
    </w:p>
    <w:p>
      <w:pPr>
        <w:ind w:left="340" w:right="3359"/>
        <w:spacing w:after="0" w:line="254" w:lineRule="auto"/>
        <w:rPr>
          <w:sz w:val="20"/>
          <w:szCs w:val="20"/>
          <w:color w:val="auto"/>
        </w:rPr>
      </w:pPr>
      <w:r>
        <w:rPr>
          <w:rFonts w:ascii="Courier New" w:cs="Courier New" w:eastAsia="Courier New" w:hAnsi="Courier New"/>
          <w:sz w:val="14"/>
          <w:szCs w:val="14"/>
          <w:color w:val="auto"/>
        </w:rPr>
        <w:t>No assurance can be given that the Restructuring and related transactions will be consummated. In addition, no assurance can be given that the amendment of the various contractual agreements between the Company and New CCA and the various lenders' consent to such amendments will be obtained and be sufficient to address the liquidity needs of the Company and New CCA prior the Restructuring. The failure to consummate the Restructuring and/or the failure to amend the various contractual agreements between the Company and New CCA and to gain the various lenders' consent to such amendments could have a material adverse impact on the Company's consolidated financial position, results of operations and cash flows.</w:t>
      </w:r>
    </w:p>
    <w:p>
      <w:pPr>
        <w:spacing w:after="0" w:line="8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CURRENT STATUS</w:t>
      </w:r>
    </w:p>
    <w:p>
      <w:pPr>
        <w:spacing w:after="0" w:line="168" w:lineRule="exact"/>
        <w:rPr>
          <w:sz w:val="20"/>
          <w:szCs w:val="20"/>
          <w:color w:val="auto"/>
        </w:rPr>
      </w:pPr>
    </w:p>
    <w:p>
      <w:pPr>
        <w:ind w:left="340" w:right="3359"/>
        <w:spacing w:after="0" w:line="254" w:lineRule="auto"/>
        <w:rPr>
          <w:sz w:val="20"/>
          <w:szCs w:val="20"/>
          <w:color w:val="auto"/>
        </w:rPr>
      </w:pPr>
      <w:r>
        <w:rPr>
          <w:rFonts w:ascii="Courier New" w:cs="Courier New" w:eastAsia="Courier New" w:hAnsi="Courier New"/>
          <w:sz w:val="14"/>
          <w:szCs w:val="14"/>
          <w:color w:val="auto"/>
        </w:rPr>
        <w:t>The Company is currently in discussion with each of the Fortress/Blackstone Investors and representatives from Pacific Life with respect to the terms of the proposed Restructuring. In the event the Company is unable to reach an agreement with these parties or complete a Restructuring with another third party, the Company and New CCA will be forced to pursue certain standalone alternatives not involving a third party investor and such alternatives have significant drawbacks. In connection with such standalone alternatives, the Company will be forced to restructure or renegotiate its existing indebtedness which may not be possible or, if possible, obtained on significantly less favorable terms, given New CCA's recent operating performance and failure to meet its projected results. No assurance, however, can be given that any debt restructuring or renegotiation could be accomplished. Further, a standalone combination would not address the Company's capital needs with respect to the construction and expansion of correctional and detention facilities as well as its financial ability to expand its existing and perspective business opportunities.</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F-58</w:t>
      </w:r>
    </w:p>
    <w:p>
      <w:pPr>
        <w:sectPr>
          <w:pgSz w:w="11900" w:h="16838" w:orient="portrait"/>
          <w:cols w:equalWidth="0" w:num="1">
            <w:col w:w="9899"/>
          </w:cols>
          <w:pgMar w:left="560" w:top="256"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4"/>
          <w:szCs w:val="14"/>
          <w:color w:val="auto"/>
        </w:rPr>
        <w:t>177</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Corrections Corporation of America:</w:t>
      </w:r>
    </w:p>
    <w:p>
      <w:pPr>
        <w:spacing w:after="0" w:line="168"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We have audited the accompanying consolidated balance sheets of CORRECTIONS CORPORATION OF AMERICA (a Tennessee corporation and formerly Correctional Management Services Corporation) AND SUBSIDIARIES as of December 31, 1999 and 1998, the related consolidated statement of operations for the year ended December 31, 1999, and the related consolidated statements of stockholders' equity and cash flows for the year ended December 31, 1999 and for the period from September 11, 1998 (inception) through December 31, 1998. These consolidated financial statements are the responsibility of Corrections Corporation of America's management. Our responsibility is to express an opinion on these consolidated financial statements based on our audits.</w:t>
      </w:r>
    </w:p>
    <w:p>
      <w:pPr>
        <w:spacing w:after="0" w:line="76"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8" w:lineRule="exact"/>
        <w:rPr>
          <w:sz w:val="20"/>
          <w:szCs w:val="20"/>
          <w:color w:val="auto"/>
        </w:rPr>
      </w:pPr>
    </w:p>
    <w:p>
      <w:pPr>
        <w:ind w:right="3459"/>
        <w:spacing w:after="0" w:line="266"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Corrections Corporation of America and Subsidiaries as of December 31, 1999 and 1998, and the results of their operations for the year ended December 31, 1999, and their cash flows for the year ended December 31, 1999 and for the period from September 11, 1998 (inception) through December 31, 1998, in conformity with accounting principles generally accepted in the United States.</w:t>
      </w:r>
    </w:p>
    <w:p>
      <w:pPr>
        <w:spacing w:after="0" w:line="74" w:lineRule="exact"/>
        <w:rPr>
          <w:sz w:val="20"/>
          <w:szCs w:val="20"/>
          <w:color w:val="auto"/>
        </w:rPr>
      </w:pPr>
    </w:p>
    <w:p>
      <w:pPr>
        <w:ind w:right="3359"/>
        <w:spacing w:after="0" w:line="253" w:lineRule="auto"/>
        <w:rPr>
          <w:sz w:val="20"/>
          <w:szCs w:val="20"/>
          <w:color w:val="auto"/>
        </w:rPr>
      </w:pPr>
      <w:r>
        <w:rPr>
          <w:rFonts w:ascii="Courier New" w:cs="Courier New" w:eastAsia="Courier New" w:hAnsi="Courier New"/>
          <w:sz w:val="14"/>
          <w:szCs w:val="14"/>
          <w:color w:val="auto"/>
        </w:rPr>
        <w:t>The accompanying financial statements have been prepared assuming that Corrections Corporation of America will continue as a going concern. As discussed in Note 3 to the consolidated financial statements, Corrections Corporation of America and Subsidiaries have incurred significant net losses for the year ended December 31, 1999, are in default of their revolving credit facility, are in default under their promissory note with Prison Realty Trust, Inc., have not made certain required lease payments to Prison Realty Trust, Inc., and have a net working capital deficiency and a net capital deficiency at December 31, 1999, all of which raise substantial doubt about their ability to continue as a going concern. Management's plans in regard to these matters, including the Proposed Merger of Corrections Corporation of America with Prison Realty Trust, Inc., the possibility of obtaining waivers related to their revolving credit facility and the possibility of deferring certain payments to Prison Realty Trust, Inc., are also described in Note 3. The consolidated financial statements do not include any adjustments relating to the recoverability and classification of asset carrying amounts or the amount and classification of liabilities that might result should Corrections Corporation of America be unable to continue as a going concern.</w:t>
      </w:r>
    </w:p>
    <w:p>
      <w:pPr>
        <w:spacing w:after="0" w:line="89"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ARTHUR ANDERSEN LLP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2000</w:t>
      </w:r>
    </w:p>
    <w:p>
      <w:pPr>
        <w:spacing w:after="0" w:line="30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F-59</w:t>
      </w:r>
    </w:p>
    <w:p>
      <w:pPr>
        <w:sectPr>
          <w:pgSz w:w="11900" w:h="16838" w:orient="portrait"/>
          <w:cols w:equalWidth="0" w:num="1">
            <w:col w:w="10159"/>
          </w:cols>
          <w:pgMar w:left="300" w:top="257"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4"/>
          <w:szCs w:val="14"/>
          <w:color w:val="auto"/>
        </w:rPr>
        <w:t>178</w:t>
      </w:r>
    </w:p>
    <w:p>
      <w:pPr>
        <w:spacing w:after="0" w:line="30"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CONSOLIDATED BALANCE SHEETS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4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DECEMBER 31, 1999 AND 1998</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68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(IN THOUSANDS)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4680" w:type="dxa"/>
            <w:vAlign w:val="bottom"/>
          </w:tcPr>
          <w:p>
            <w:pPr>
              <w:ind w:left="2380"/>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420" w:type="dxa"/>
            <w:vAlign w:val="bottom"/>
          </w:tcPr>
          <w:p>
            <w:pPr>
              <w:spacing w:after="0"/>
              <w:rPr>
                <w:sz w:val="24"/>
                <w:szCs w:val="24"/>
                <w:color w:val="auto"/>
              </w:rPr>
            </w:pPr>
          </w:p>
        </w:tc>
        <w:tc>
          <w:tcPr>
            <w:tcW w:w="7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14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46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10,725</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19,059</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 of allowances</w:t>
            </w:r>
          </w:p>
        </w:tc>
        <w:tc>
          <w:tcPr>
            <w:tcW w:w="340" w:type="dxa"/>
            <w:vAlign w:val="bottom"/>
          </w:tcPr>
          <w:p>
            <w:pPr>
              <w:spacing w:after="0"/>
              <w:rPr>
                <w:sz w:val="14"/>
                <w:szCs w:val="14"/>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66,414</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64,077</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w:t>
            </w:r>
          </w:p>
        </w:tc>
        <w:tc>
          <w:tcPr>
            <w:tcW w:w="340" w:type="dxa"/>
            <w:vAlign w:val="bottom"/>
          </w:tcPr>
          <w:p>
            <w:pPr>
              <w:spacing w:after="0"/>
              <w:rPr>
                <w:sz w:val="14"/>
                <w:szCs w:val="14"/>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3,733</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4,602</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340" w:type="dxa"/>
            <w:vAlign w:val="bottom"/>
          </w:tcPr>
          <w:p>
            <w:pPr>
              <w:spacing w:after="0"/>
              <w:rPr>
                <w:sz w:val="14"/>
                <w:szCs w:val="14"/>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7,775</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7,103</w:t>
            </w:r>
          </w:p>
        </w:tc>
        <w:tc>
          <w:tcPr>
            <w:tcW w:w="0" w:type="dxa"/>
            <w:vAlign w:val="bottom"/>
          </w:tcPr>
          <w:p>
            <w:pPr>
              <w:spacing w:after="0"/>
              <w:rPr>
                <w:sz w:val="1"/>
                <w:szCs w:val="1"/>
                <w:color w:val="auto"/>
              </w:rPr>
            </w:pPr>
          </w:p>
        </w:tc>
      </w:tr>
      <w:tr>
        <w:trPr>
          <w:trHeight w:val="163"/>
        </w:trPr>
        <w:tc>
          <w:tcPr>
            <w:tcW w:w="468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Total current assets</w:t>
            </w:r>
          </w:p>
        </w:tc>
        <w:tc>
          <w:tcPr>
            <w:tcW w:w="14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46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88,647</w:t>
            </w:r>
          </w:p>
        </w:tc>
        <w:tc>
          <w:tcPr>
            <w:tcW w:w="420" w:type="dxa"/>
            <w:vAlign w:val="bottom"/>
          </w:tcPr>
          <w:p>
            <w:pPr>
              <w:spacing w:after="0"/>
              <w:rPr>
                <w:sz w:val="20"/>
                <w:szCs w:val="20"/>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94,841</w:t>
            </w:r>
          </w:p>
        </w:tc>
        <w:tc>
          <w:tcPr>
            <w:tcW w:w="0" w:type="dxa"/>
            <w:vAlign w:val="bottom"/>
          </w:tcPr>
          <w:p>
            <w:pPr>
              <w:spacing w:after="0"/>
              <w:rPr>
                <w:sz w:val="1"/>
                <w:szCs w:val="1"/>
                <w:color w:val="auto"/>
              </w:rPr>
            </w:pPr>
          </w:p>
        </w:tc>
      </w:tr>
      <w:tr>
        <w:trPr>
          <w:trHeight w:val="326"/>
        </w:trPr>
        <w:tc>
          <w:tcPr>
            <w:tcW w:w="468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340" w:type="dxa"/>
            <w:vAlign w:val="bottom"/>
          </w:tcPr>
          <w:p>
            <w:pPr>
              <w:spacing w:after="0"/>
              <w:rPr>
                <w:sz w:val="24"/>
                <w:szCs w:val="24"/>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19,959</w:t>
            </w:r>
          </w:p>
        </w:tc>
        <w:tc>
          <w:tcPr>
            <w:tcW w:w="420" w:type="dxa"/>
            <w:vAlign w:val="bottom"/>
          </w:tcPr>
          <w:p>
            <w:pPr>
              <w:spacing w:after="0"/>
              <w:rPr>
                <w:sz w:val="24"/>
                <w:szCs w:val="2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24,668</w:t>
            </w:r>
          </w:p>
        </w:tc>
        <w:tc>
          <w:tcPr>
            <w:tcW w:w="0" w:type="dxa"/>
            <w:vAlign w:val="bottom"/>
          </w:tcPr>
          <w:p>
            <w:pPr>
              <w:spacing w:after="0"/>
              <w:rPr>
                <w:sz w:val="1"/>
                <w:szCs w:val="1"/>
                <w:color w:val="auto"/>
              </w:rPr>
            </w:pPr>
          </w:p>
        </w:tc>
      </w:tr>
      <w:tr>
        <w:trPr>
          <w:trHeight w:val="252"/>
        </w:trPr>
        <w:tc>
          <w:tcPr>
            <w:tcW w:w="46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21"/>
                <w:szCs w:val="21"/>
                <w:color w:val="auto"/>
              </w:rPr>
            </w:pPr>
          </w:p>
        </w:tc>
        <w:tc>
          <w:tcPr>
            <w:tcW w:w="10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67,363</w:t>
            </w:r>
          </w:p>
        </w:tc>
        <w:tc>
          <w:tcPr>
            <w:tcW w:w="420" w:type="dxa"/>
            <w:vAlign w:val="bottom"/>
          </w:tcPr>
          <w:p>
            <w:pPr>
              <w:spacing w:after="0"/>
              <w:rPr>
                <w:sz w:val="21"/>
                <w:szCs w:val="21"/>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67,795</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Investment in contracts</w:t>
            </w: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8,732</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8,977</w:t>
            </w:r>
          </w:p>
        </w:tc>
        <w:tc>
          <w:tcPr>
            <w:tcW w:w="0" w:type="dxa"/>
            <w:vAlign w:val="bottom"/>
          </w:tcPr>
          <w:p>
            <w:pPr>
              <w:spacing w:after="0"/>
              <w:rPr>
                <w:sz w:val="1"/>
                <w:szCs w:val="1"/>
                <w:color w:val="auto"/>
              </w:rPr>
            </w:pPr>
          </w:p>
        </w:tc>
      </w:tr>
      <w:tr>
        <w:trPr>
          <w:trHeight w:val="163"/>
        </w:trPr>
        <w:tc>
          <w:tcPr>
            <w:tcW w:w="468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Total assets</w:t>
            </w:r>
          </w:p>
        </w:tc>
        <w:tc>
          <w:tcPr>
            <w:tcW w:w="14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vMerge w:val="continue"/>
          </w:tcPr>
          <w:p>
            <w:pPr>
              <w:spacing w:after="0"/>
              <w:rPr>
                <w:sz w:val="14"/>
                <w:szCs w:val="14"/>
                <w:color w:val="auto"/>
              </w:rPr>
            </w:pPr>
          </w:p>
        </w:tc>
        <w:tc>
          <w:tcPr>
            <w:tcW w:w="14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$ 184,701</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$ 196,281</w:t>
            </w: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14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468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LIABILITIES AND STOCKHOLDERS' EQUITY</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6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28,938</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15,766</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3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Lease and trade name use payables to Prison</w:t>
            </w:r>
          </w:p>
        </w:tc>
        <w:tc>
          <w:tcPr>
            <w:tcW w:w="340" w:type="dxa"/>
            <w:vAlign w:val="bottom"/>
          </w:tcPr>
          <w:p>
            <w:pPr>
              <w:spacing w:after="0"/>
              <w:rPr>
                <w:sz w:val="14"/>
                <w:szCs w:val="14"/>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27,080</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Realty</w:t>
            </w:r>
          </w:p>
        </w:tc>
        <w:tc>
          <w:tcPr>
            <w:tcW w:w="340" w:type="dxa"/>
            <w:vAlign w:val="bottom"/>
          </w:tcPr>
          <w:p>
            <w:pPr>
              <w:spacing w:after="0"/>
              <w:rPr>
                <w:sz w:val="14"/>
                <w:szCs w:val="14"/>
                <w:color w:val="auto"/>
              </w:rPr>
            </w:pPr>
          </w:p>
        </w:tc>
        <w:tc>
          <w:tcPr>
            <w:tcW w:w="10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5,842</w:t>
            </w:r>
          </w:p>
        </w:tc>
        <w:tc>
          <w:tcPr>
            <w:tcW w:w="42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4,419</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Accrued salaries and wages</w:t>
            </w: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Accrued property taxes</w:t>
            </w:r>
          </w:p>
        </w:tc>
        <w:tc>
          <w:tcPr>
            <w:tcW w:w="340" w:type="dxa"/>
            <w:vAlign w:val="bottom"/>
          </w:tcPr>
          <w:p>
            <w:pPr>
              <w:spacing w:after="0"/>
              <w:rPr>
                <w:sz w:val="14"/>
                <w:szCs w:val="14"/>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9,393</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4,301</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Accrued interest to Prison Realty</w:t>
            </w:r>
          </w:p>
        </w:tc>
        <w:tc>
          <w:tcPr>
            <w:tcW w:w="340" w:type="dxa"/>
            <w:vAlign w:val="bottom"/>
          </w:tcPr>
          <w:p>
            <w:pPr>
              <w:spacing w:after="0"/>
              <w:rPr>
                <w:sz w:val="14"/>
                <w:szCs w:val="14"/>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16,440</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Other accrued expenses</w:t>
            </w:r>
          </w:p>
        </w:tc>
        <w:tc>
          <w:tcPr>
            <w:tcW w:w="340" w:type="dxa"/>
            <w:vAlign w:val="bottom"/>
          </w:tcPr>
          <w:p>
            <w:pPr>
              <w:spacing w:after="0"/>
              <w:rPr>
                <w:sz w:val="14"/>
                <w:szCs w:val="14"/>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17,514</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13,444</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Short-term debt</w:t>
            </w:r>
          </w:p>
        </w:tc>
        <w:tc>
          <w:tcPr>
            <w:tcW w:w="340" w:type="dxa"/>
            <w:vAlign w:val="bottom"/>
          </w:tcPr>
          <w:p>
            <w:pPr>
              <w:spacing w:after="0"/>
              <w:rPr>
                <w:sz w:val="14"/>
                <w:szCs w:val="14"/>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16,214</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Promissory note to Prison Realty</w:t>
            </w:r>
          </w:p>
        </w:tc>
        <w:tc>
          <w:tcPr>
            <w:tcW w:w="340" w:type="dxa"/>
            <w:vAlign w:val="bottom"/>
          </w:tcPr>
          <w:p>
            <w:pPr>
              <w:spacing w:after="0"/>
              <w:rPr>
                <w:sz w:val="14"/>
                <w:szCs w:val="14"/>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137,000</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Total current liabilities</w:t>
            </w:r>
          </w:p>
        </w:tc>
        <w:tc>
          <w:tcPr>
            <w:tcW w:w="14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46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258,421</w:t>
            </w:r>
          </w:p>
        </w:tc>
        <w:tc>
          <w:tcPr>
            <w:tcW w:w="420" w:type="dxa"/>
            <w:vAlign w:val="bottom"/>
          </w:tcPr>
          <w:p>
            <w:pPr>
              <w:spacing w:after="0"/>
              <w:rPr>
                <w:sz w:val="20"/>
                <w:szCs w:val="20"/>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37,930</w:t>
            </w:r>
          </w:p>
        </w:tc>
        <w:tc>
          <w:tcPr>
            <w:tcW w:w="0" w:type="dxa"/>
            <w:vAlign w:val="bottom"/>
          </w:tcPr>
          <w:p>
            <w:pPr>
              <w:spacing w:after="0"/>
              <w:rPr>
                <w:sz w:val="1"/>
                <w:szCs w:val="1"/>
                <w:color w:val="auto"/>
              </w:rPr>
            </w:pPr>
          </w:p>
        </w:tc>
      </w:tr>
      <w:tr>
        <w:trPr>
          <w:trHeight w:val="326"/>
        </w:trPr>
        <w:tc>
          <w:tcPr>
            <w:tcW w:w="4680" w:type="dxa"/>
            <w:vAlign w:val="bottom"/>
          </w:tcPr>
          <w:p>
            <w:pPr>
              <w:spacing w:after="0"/>
              <w:rPr>
                <w:sz w:val="20"/>
                <w:szCs w:val="20"/>
                <w:color w:val="auto"/>
              </w:rPr>
            </w:pPr>
            <w:r>
              <w:rPr>
                <w:rFonts w:ascii="Courier New" w:cs="Courier New" w:eastAsia="Courier New" w:hAnsi="Courier New"/>
                <w:sz w:val="14"/>
                <w:szCs w:val="14"/>
                <w:color w:val="auto"/>
              </w:rPr>
              <w:t>PROMISSORY NOTE TO PRISON REALTY</w:t>
            </w:r>
          </w:p>
        </w:tc>
        <w:tc>
          <w:tcPr>
            <w:tcW w:w="340" w:type="dxa"/>
            <w:vAlign w:val="bottom"/>
          </w:tcPr>
          <w:p>
            <w:pPr>
              <w:spacing w:after="0"/>
              <w:rPr>
                <w:sz w:val="24"/>
                <w:szCs w:val="24"/>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24"/>
                <w:szCs w:val="2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137,000</w:t>
            </w:r>
          </w:p>
        </w:tc>
        <w:tc>
          <w:tcPr>
            <w:tcW w:w="0" w:type="dxa"/>
            <w:vAlign w:val="bottom"/>
          </w:tcPr>
          <w:p>
            <w:pPr>
              <w:spacing w:after="0"/>
              <w:rPr>
                <w:sz w:val="1"/>
                <w:szCs w:val="1"/>
                <w:color w:val="auto"/>
              </w:rPr>
            </w:pPr>
          </w:p>
        </w:tc>
      </w:tr>
      <w:tr>
        <w:trPr>
          <w:trHeight w:val="252"/>
        </w:trPr>
        <w:tc>
          <w:tcPr>
            <w:tcW w:w="4680" w:type="dxa"/>
            <w:vAlign w:val="bottom"/>
          </w:tcPr>
          <w:p>
            <w:pPr>
              <w:spacing w:after="0"/>
              <w:rPr>
                <w:sz w:val="20"/>
                <w:szCs w:val="20"/>
                <w:color w:val="auto"/>
              </w:rPr>
            </w:pPr>
            <w:r>
              <w:rPr>
                <w:rFonts w:ascii="Courier New" w:cs="Courier New" w:eastAsia="Courier New" w:hAnsi="Courier New"/>
                <w:sz w:val="14"/>
                <w:szCs w:val="14"/>
                <w:color w:val="auto"/>
              </w:rPr>
              <w:t>DEFERRED LEASE INCENTIVES AND SERVICE FEES RECEIVED</w:t>
            </w:r>
          </w:p>
        </w:tc>
        <w:tc>
          <w:tcPr>
            <w:tcW w:w="340" w:type="dxa"/>
            <w:vAlign w:val="bottom"/>
          </w:tcPr>
          <w:p>
            <w:pPr>
              <w:spacing w:after="0"/>
              <w:rPr>
                <w:sz w:val="21"/>
                <w:szCs w:val="21"/>
                <w:color w:val="auto"/>
              </w:rPr>
            </w:pPr>
          </w:p>
        </w:tc>
        <w:tc>
          <w:tcPr>
            <w:tcW w:w="10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107,070</w:t>
            </w:r>
          </w:p>
        </w:tc>
        <w:tc>
          <w:tcPr>
            <w:tcW w:w="420" w:type="dxa"/>
            <w:vAlign w:val="bottom"/>
          </w:tcPr>
          <w:p>
            <w:pPr>
              <w:spacing w:after="0"/>
              <w:rPr>
                <w:sz w:val="21"/>
                <w:szCs w:val="21"/>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FROM PRISON REALTY</w:t>
            </w: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Total liabilities</w:t>
            </w:r>
          </w:p>
        </w:tc>
        <w:tc>
          <w:tcPr>
            <w:tcW w:w="14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365,491</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174,930</w:t>
            </w: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14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6"/>
        </w:trPr>
        <w:tc>
          <w:tcPr>
            <w:tcW w:w="468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6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Common stock - Class A - $0.01 (one cent) par</w:t>
            </w:r>
          </w:p>
        </w:tc>
        <w:tc>
          <w:tcPr>
            <w:tcW w:w="340" w:type="dxa"/>
            <w:vAlign w:val="bottom"/>
          </w:tcPr>
          <w:p>
            <w:pPr>
              <w:spacing w:after="0"/>
              <w:rPr>
                <w:sz w:val="14"/>
                <w:szCs w:val="14"/>
                <w:color w:val="auto"/>
              </w:rPr>
            </w:pPr>
          </w:p>
        </w:tc>
        <w:tc>
          <w:tcPr>
            <w:tcW w:w="10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93</w:t>
            </w:r>
          </w:p>
        </w:tc>
        <w:tc>
          <w:tcPr>
            <w:tcW w:w="42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93</w:t>
            </w:r>
          </w:p>
        </w:tc>
        <w:tc>
          <w:tcPr>
            <w:tcW w:w="0" w:type="dxa"/>
            <w:vAlign w:val="bottom"/>
          </w:tcPr>
          <w:p>
            <w:pPr>
              <w:spacing w:after="0"/>
              <w:rPr>
                <w:sz w:val="1"/>
                <w:szCs w:val="1"/>
                <w:color w:val="auto"/>
              </w:rPr>
            </w:pPr>
          </w:p>
        </w:tc>
      </w:tr>
      <w:tr>
        <w:trPr>
          <w:trHeight w:val="163"/>
        </w:trPr>
        <w:tc>
          <w:tcPr>
            <w:tcW w:w="4680" w:type="dxa"/>
            <w:vAlign w:val="bottom"/>
          </w:tcPr>
          <w:p>
            <w:pPr>
              <w:ind w:left="440"/>
              <w:spacing w:after="0"/>
              <w:rPr>
                <w:sz w:val="20"/>
                <w:szCs w:val="20"/>
                <w:color w:val="auto"/>
              </w:rPr>
            </w:pPr>
            <w:r>
              <w:rPr>
                <w:rFonts w:ascii="Courier New" w:cs="Courier New" w:eastAsia="Courier New" w:hAnsi="Courier New"/>
                <w:sz w:val="14"/>
                <w:szCs w:val="14"/>
                <w:color w:val="auto"/>
              </w:rPr>
              <w:t>value; 100,000 shares authorized, 9,349 shares</w:t>
            </w: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Common stock - Class B - $0.01 (one cent) par</w:t>
            </w:r>
          </w:p>
        </w:tc>
        <w:tc>
          <w:tcPr>
            <w:tcW w:w="340" w:type="dxa"/>
            <w:vAlign w:val="bottom"/>
          </w:tcPr>
          <w:p>
            <w:pPr>
              <w:spacing w:after="0"/>
              <w:rPr>
                <w:sz w:val="14"/>
                <w:szCs w:val="14"/>
                <w:color w:val="auto"/>
              </w:rPr>
            </w:pPr>
          </w:p>
        </w:tc>
        <w:tc>
          <w:tcPr>
            <w:tcW w:w="10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10</w:t>
            </w:r>
          </w:p>
        </w:tc>
        <w:tc>
          <w:tcPr>
            <w:tcW w:w="42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3"/>
        </w:trPr>
        <w:tc>
          <w:tcPr>
            <w:tcW w:w="4680" w:type="dxa"/>
            <w:vAlign w:val="bottom"/>
          </w:tcPr>
          <w:p>
            <w:pPr>
              <w:ind w:left="440"/>
              <w:spacing w:after="0"/>
              <w:rPr>
                <w:sz w:val="20"/>
                <w:szCs w:val="20"/>
                <w:color w:val="auto"/>
              </w:rPr>
            </w:pPr>
            <w:r>
              <w:rPr>
                <w:rFonts w:ascii="Courier New" w:cs="Courier New" w:eastAsia="Courier New" w:hAnsi="Courier New"/>
                <w:sz w:val="14"/>
                <w:szCs w:val="14"/>
                <w:color w:val="auto"/>
              </w:rPr>
              <w:t>value; 100,000 shares authorized, 981 shares</w:t>
            </w: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w:t>
            </w:r>
          </w:p>
        </w:tc>
        <w:tc>
          <w:tcPr>
            <w:tcW w:w="340" w:type="dxa"/>
            <w:vAlign w:val="bottom"/>
          </w:tcPr>
          <w:p>
            <w:pPr>
              <w:spacing w:after="0"/>
              <w:rPr>
                <w:sz w:val="14"/>
                <w:szCs w:val="14"/>
                <w:color w:val="auto"/>
              </w:rPr>
            </w:pPr>
          </w:p>
        </w:tc>
        <w:tc>
          <w:tcPr>
            <w:tcW w:w="10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25,133</w:t>
            </w:r>
          </w:p>
        </w:tc>
        <w:tc>
          <w:tcPr>
            <w:tcW w:w="42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25,133</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Deferred compensation</w:t>
            </w:r>
          </w:p>
        </w:tc>
        <w:tc>
          <w:tcPr>
            <w:tcW w:w="3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(3,108)</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(3,885)</w:t>
            </w:r>
          </w:p>
        </w:tc>
        <w:tc>
          <w:tcPr>
            <w:tcW w:w="0" w:type="dxa"/>
            <w:vAlign w:val="bottom"/>
          </w:tcPr>
          <w:p>
            <w:pPr>
              <w:spacing w:after="0"/>
              <w:rPr>
                <w:sz w:val="1"/>
                <w:szCs w:val="1"/>
                <w:color w:val="auto"/>
              </w:rPr>
            </w:pPr>
          </w:p>
        </w:tc>
      </w:tr>
      <w:tr>
        <w:trPr>
          <w:trHeight w:val="163"/>
        </w:trPr>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Retained deficit</w:t>
            </w:r>
          </w:p>
        </w:tc>
        <w:tc>
          <w:tcPr>
            <w:tcW w:w="3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7"/>
              </w:rPr>
              <w:t>(202,918)</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Total stockholders' equity</w:t>
            </w:r>
          </w:p>
        </w:tc>
        <w:tc>
          <w:tcPr>
            <w:tcW w:w="14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7"/>
              </w:rPr>
              <w:t>(180,790)</w:t>
            </w:r>
          </w:p>
        </w:tc>
        <w:tc>
          <w:tcPr>
            <w:tcW w:w="4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21,351</w:t>
            </w:r>
          </w:p>
        </w:tc>
        <w:tc>
          <w:tcPr>
            <w:tcW w:w="0" w:type="dxa"/>
            <w:vAlign w:val="bottom"/>
          </w:tcPr>
          <w:p>
            <w:pPr>
              <w:spacing w:after="0"/>
              <w:rPr>
                <w:sz w:val="1"/>
                <w:szCs w:val="1"/>
                <w:color w:val="auto"/>
              </w:rPr>
            </w:pPr>
          </w:p>
        </w:tc>
      </w:tr>
      <w:tr>
        <w:trPr>
          <w:trHeight w:val="163"/>
        </w:trPr>
        <w:tc>
          <w:tcPr>
            <w:tcW w:w="468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4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vMerge w:val="continue"/>
          </w:tcPr>
          <w:p>
            <w:pPr>
              <w:spacing w:after="0"/>
              <w:rPr>
                <w:sz w:val="14"/>
                <w:szCs w:val="14"/>
                <w:color w:val="auto"/>
              </w:rPr>
            </w:pPr>
          </w:p>
        </w:tc>
        <w:tc>
          <w:tcPr>
            <w:tcW w:w="14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$ 184,701</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$ 196,281</w:t>
            </w: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14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F-60</w:t>
      </w:r>
    </w:p>
    <w:p>
      <w:pPr>
        <w:sectPr>
          <w:pgSz w:w="11900" w:h="16838" w:orient="portrait"/>
          <w:cols w:equalWidth="0" w:num="1">
            <w:col w:w="10159"/>
          </w:cols>
          <w:pgMar w:left="300" w:top="257"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4"/>
          <w:szCs w:val="14"/>
          <w:color w:val="auto"/>
        </w:rPr>
        <w:t>179</w:t>
      </w:r>
    </w:p>
    <w:p>
      <w:pPr>
        <w:spacing w:after="0" w:line="30"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142"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CONSOLIDATED STATEMENT OF OPERATIONS</w:t>
      </w:r>
    </w:p>
    <w:p>
      <w:pPr>
        <w:spacing w:after="0" w:line="168"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FOR THE YEAR ENDED DECEMBER 31, 1999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3940" w:type="dxa"/>
            <w:vAlign w:val="bottom"/>
          </w:tcPr>
          <w:p>
            <w:pPr>
              <w:jc w:val="right"/>
              <w:ind w:right="2629"/>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578"/>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499,292</w:t>
            </w:r>
          </w:p>
        </w:tc>
        <w:tc>
          <w:tcPr>
            <w:tcW w:w="0" w:type="dxa"/>
            <w:vAlign w:val="bottom"/>
          </w:tcPr>
          <w:p>
            <w:pPr>
              <w:spacing w:after="0"/>
              <w:rPr>
                <w:sz w:val="1"/>
                <w:szCs w:val="1"/>
                <w:color w:val="auto"/>
              </w:rPr>
            </w:pPr>
          </w:p>
        </w:tc>
      </w:tr>
      <w:tr>
        <w:trPr>
          <w:trHeight w:val="238"/>
        </w:trPr>
        <w:tc>
          <w:tcPr>
            <w:tcW w:w="2760" w:type="dxa"/>
            <w:vAlign w:val="bottom"/>
            <w:vMerge w:val="restart"/>
          </w:tcPr>
          <w:p>
            <w:pPr>
              <w:spacing w:after="0"/>
              <w:rPr>
                <w:sz w:val="20"/>
                <w:szCs w:val="20"/>
                <w:color w:val="auto"/>
              </w:rPr>
            </w:pPr>
            <w:r>
              <w:rPr>
                <w:rFonts w:ascii="Courier New" w:cs="Courier New" w:eastAsia="Courier New" w:hAnsi="Courier New"/>
                <w:sz w:val="14"/>
                <w:szCs w:val="14"/>
                <w:color w:val="auto"/>
              </w:rPr>
              <w:t>EXPENSES:</w:t>
            </w:r>
          </w:p>
        </w:tc>
        <w:tc>
          <w:tcPr>
            <w:tcW w:w="3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2760" w:type="dxa"/>
            <w:vAlign w:val="bottom"/>
            <w:vMerge w:val="continue"/>
          </w:tcPr>
          <w:p>
            <w:pPr>
              <w:spacing w:after="0"/>
              <w:rPr>
                <w:sz w:val="7"/>
                <w:szCs w:val="7"/>
                <w:color w:val="auto"/>
              </w:rPr>
            </w:pPr>
          </w:p>
        </w:tc>
        <w:tc>
          <w:tcPr>
            <w:tcW w:w="39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376,724</w:t>
            </w:r>
          </w:p>
        </w:tc>
        <w:tc>
          <w:tcPr>
            <w:tcW w:w="0" w:type="dxa"/>
            <w:vAlign w:val="bottom"/>
          </w:tcPr>
          <w:p>
            <w:pPr>
              <w:spacing w:after="0"/>
              <w:rPr>
                <w:sz w:val="1"/>
                <w:szCs w:val="1"/>
                <w:color w:val="auto"/>
              </w:rPr>
            </w:pPr>
          </w:p>
        </w:tc>
      </w:tr>
      <w:tr>
        <w:trPr>
          <w:trHeight w:val="163"/>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Operating</w:t>
            </w:r>
          </w:p>
        </w:tc>
        <w:tc>
          <w:tcPr>
            <w:tcW w:w="3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Trade name use agreement</w:t>
            </w:r>
          </w:p>
        </w:tc>
        <w:tc>
          <w:tcPr>
            <w:tcW w:w="3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8,699</w:t>
            </w:r>
          </w:p>
        </w:tc>
        <w:tc>
          <w:tcPr>
            <w:tcW w:w="0" w:type="dxa"/>
            <w:vAlign w:val="bottom"/>
          </w:tcPr>
          <w:p>
            <w:pPr>
              <w:spacing w:after="0"/>
              <w:rPr>
                <w:sz w:val="1"/>
                <w:szCs w:val="1"/>
                <w:color w:val="auto"/>
              </w:rPr>
            </w:pPr>
          </w:p>
        </w:tc>
      </w:tr>
      <w:tr>
        <w:trPr>
          <w:trHeight w:val="163"/>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Lease</w:t>
            </w:r>
          </w:p>
        </w:tc>
        <w:tc>
          <w:tcPr>
            <w:tcW w:w="3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261,546</w:t>
            </w:r>
          </w:p>
        </w:tc>
        <w:tc>
          <w:tcPr>
            <w:tcW w:w="0" w:type="dxa"/>
            <w:vAlign w:val="bottom"/>
          </w:tcPr>
          <w:p>
            <w:pPr>
              <w:spacing w:after="0"/>
              <w:rPr>
                <w:sz w:val="1"/>
                <w:szCs w:val="1"/>
                <w:color w:val="auto"/>
              </w:rPr>
            </w:pPr>
          </w:p>
        </w:tc>
      </w:tr>
      <w:tr>
        <w:trPr>
          <w:trHeight w:val="163"/>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General and administrative</w:t>
            </w:r>
          </w:p>
        </w:tc>
        <w:tc>
          <w:tcPr>
            <w:tcW w:w="3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26,166</w:t>
            </w:r>
          </w:p>
        </w:tc>
        <w:tc>
          <w:tcPr>
            <w:tcW w:w="0" w:type="dxa"/>
            <w:vAlign w:val="bottom"/>
          </w:tcPr>
          <w:p>
            <w:pPr>
              <w:spacing w:after="0"/>
              <w:rPr>
                <w:sz w:val="1"/>
                <w:szCs w:val="1"/>
                <w:color w:val="auto"/>
              </w:rPr>
            </w:pPr>
          </w:p>
        </w:tc>
      </w:tr>
      <w:tr>
        <w:trPr>
          <w:trHeight w:val="163"/>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3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8,601</w:t>
            </w:r>
          </w:p>
        </w:tc>
        <w:tc>
          <w:tcPr>
            <w:tcW w:w="0" w:type="dxa"/>
            <w:vAlign w:val="bottom"/>
          </w:tcPr>
          <w:p>
            <w:pPr>
              <w:spacing w:after="0"/>
              <w:rPr>
                <w:sz w:val="1"/>
                <w:szCs w:val="1"/>
                <w:color w:val="auto"/>
              </w:rPr>
            </w:pPr>
          </w:p>
        </w:tc>
      </w:tr>
      <w:tr>
        <w:trPr>
          <w:trHeight w:val="163"/>
        </w:trPr>
        <w:tc>
          <w:tcPr>
            <w:tcW w:w="2760" w:type="dxa"/>
            <w:vAlign w:val="bottom"/>
          </w:tcPr>
          <w:p>
            <w:pPr>
              <w:spacing w:after="0"/>
              <w:rPr>
                <w:sz w:val="14"/>
                <w:szCs w:val="14"/>
                <w:color w:val="auto"/>
              </w:rPr>
            </w:pPr>
          </w:p>
        </w:tc>
        <w:tc>
          <w:tcPr>
            <w:tcW w:w="3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760" w:type="dxa"/>
            <w:vAlign w:val="bottom"/>
          </w:tcPr>
          <w:p>
            <w:pPr>
              <w:spacing w:after="0"/>
              <w:rPr>
                <w:sz w:val="14"/>
                <w:szCs w:val="14"/>
                <w:color w:val="auto"/>
              </w:rPr>
            </w:pPr>
          </w:p>
        </w:tc>
        <w:tc>
          <w:tcPr>
            <w:tcW w:w="3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681,736</w:t>
            </w:r>
          </w:p>
        </w:tc>
        <w:tc>
          <w:tcPr>
            <w:tcW w:w="0" w:type="dxa"/>
            <w:vAlign w:val="bottom"/>
          </w:tcPr>
          <w:p>
            <w:pPr>
              <w:spacing w:after="0"/>
              <w:rPr>
                <w:sz w:val="1"/>
                <w:szCs w:val="1"/>
                <w:color w:val="auto"/>
              </w:rPr>
            </w:pPr>
          </w:p>
        </w:tc>
      </w:tr>
      <w:tr>
        <w:trPr>
          <w:trHeight w:val="163"/>
        </w:trPr>
        <w:tc>
          <w:tcPr>
            <w:tcW w:w="276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LOSS</w:t>
            </w:r>
          </w:p>
        </w:tc>
        <w:tc>
          <w:tcPr>
            <w:tcW w:w="3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2760" w:type="dxa"/>
            <w:vAlign w:val="bottom"/>
            <w:vMerge w:val="continue"/>
          </w:tcPr>
          <w:p>
            <w:pPr>
              <w:spacing w:after="0"/>
              <w:rPr>
                <w:sz w:val="20"/>
                <w:szCs w:val="20"/>
                <w:color w:val="auto"/>
              </w:rPr>
            </w:pPr>
          </w:p>
        </w:tc>
        <w:tc>
          <w:tcPr>
            <w:tcW w:w="3940" w:type="dxa"/>
            <w:vAlign w:val="bottom"/>
          </w:tcPr>
          <w:p>
            <w:pPr>
              <w:jc w:val="right"/>
              <w:spacing w:after="0"/>
              <w:rPr>
                <w:sz w:val="20"/>
                <w:szCs w:val="20"/>
                <w:color w:val="auto"/>
              </w:rPr>
            </w:pPr>
            <w:r>
              <w:rPr>
                <w:rFonts w:ascii="Courier New" w:cs="Courier New" w:eastAsia="Courier New" w:hAnsi="Courier New"/>
                <w:sz w:val="14"/>
                <w:szCs w:val="14"/>
                <w:color w:val="auto"/>
              </w:rPr>
              <w:t>(182,444)</w:t>
            </w: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3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20,474</w:t>
            </w:r>
          </w:p>
        </w:tc>
        <w:tc>
          <w:tcPr>
            <w:tcW w:w="0" w:type="dxa"/>
            <w:vAlign w:val="bottom"/>
          </w:tcPr>
          <w:p>
            <w:pPr>
              <w:spacing w:after="0"/>
              <w:rPr>
                <w:sz w:val="1"/>
                <w:szCs w:val="1"/>
                <w:color w:val="auto"/>
              </w:rPr>
            </w:pPr>
          </w:p>
        </w:tc>
      </w:tr>
      <w:tr>
        <w:trPr>
          <w:trHeight w:val="163"/>
        </w:trPr>
        <w:tc>
          <w:tcPr>
            <w:tcW w:w="2760" w:type="dxa"/>
            <w:vAlign w:val="bottom"/>
            <w:vMerge w:val="restart"/>
          </w:tcPr>
          <w:p>
            <w:pPr>
              <w:spacing w:after="0"/>
              <w:rPr>
                <w:sz w:val="20"/>
                <w:szCs w:val="20"/>
                <w:color w:val="auto"/>
              </w:rPr>
            </w:pPr>
            <w:r>
              <w:rPr>
                <w:rFonts w:ascii="Courier New" w:cs="Courier New" w:eastAsia="Courier New" w:hAnsi="Courier New"/>
                <w:sz w:val="14"/>
                <w:szCs w:val="14"/>
                <w:color w:val="auto"/>
              </w:rPr>
              <w:t>NET LOSS</w:t>
            </w:r>
          </w:p>
        </w:tc>
        <w:tc>
          <w:tcPr>
            <w:tcW w:w="3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760" w:type="dxa"/>
            <w:vAlign w:val="bottom"/>
            <w:vMerge w:val="continue"/>
          </w:tcPr>
          <w:p>
            <w:pPr>
              <w:spacing w:after="0"/>
              <w:rPr>
                <w:sz w:val="14"/>
                <w:szCs w:val="14"/>
                <w:color w:val="auto"/>
              </w:rPr>
            </w:pPr>
          </w:p>
        </w:tc>
        <w:tc>
          <w:tcPr>
            <w:tcW w:w="3940" w:type="dxa"/>
            <w:vAlign w:val="bottom"/>
          </w:tcPr>
          <w:p>
            <w:pPr>
              <w:jc w:val="right"/>
              <w:spacing w:after="0"/>
              <w:rPr>
                <w:sz w:val="20"/>
                <w:szCs w:val="20"/>
                <w:color w:val="auto"/>
              </w:rPr>
            </w:pPr>
            <w:r>
              <w:rPr>
                <w:rFonts w:ascii="Courier New" w:cs="Courier New" w:eastAsia="Courier New" w:hAnsi="Courier New"/>
                <w:sz w:val="14"/>
                <w:szCs w:val="14"/>
                <w:color w:val="auto"/>
              </w:rPr>
              <w:t>$ (202,918)</w:t>
            </w:r>
          </w:p>
        </w:tc>
        <w:tc>
          <w:tcPr>
            <w:tcW w:w="0" w:type="dxa"/>
            <w:vAlign w:val="bottom"/>
          </w:tcPr>
          <w:p>
            <w:pPr>
              <w:spacing w:after="0"/>
              <w:rPr>
                <w:sz w:val="1"/>
                <w:szCs w:val="1"/>
                <w:color w:val="auto"/>
              </w:rPr>
            </w:pPr>
          </w:p>
        </w:tc>
      </w:tr>
      <w:tr>
        <w:trPr>
          <w:trHeight w:val="238"/>
        </w:trPr>
        <w:tc>
          <w:tcPr>
            <w:tcW w:w="2760" w:type="dxa"/>
            <w:vAlign w:val="bottom"/>
          </w:tcPr>
          <w:p>
            <w:pPr>
              <w:spacing w:after="0"/>
              <w:rPr>
                <w:sz w:val="20"/>
                <w:szCs w:val="20"/>
                <w:color w:val="auto"/>
              </w:rPr>
            </w:pPr>
          </w:p>
        </w:tc>
        <w:tc>
          <w:tcPr>
            <w:tcW w:w="3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The accompanying notes are an integral part of this consolidated statement.</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F-61</w:t>
      </w:r>
    </w:p>
    <w:p>
      <w:pPr>
        <w:sectPr>
          <w:pgSz w:w="11900" w:h="16838" w:orient="portrait"/>
          <w:cols w:equalWidth="0" w:num="1">
            <w:col w:w="10159"/>
          </w:cols>
          <w:pgMar w:left="300" w:top="256"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4"/>
          <w:szCs w:val="14"/>
          <w:color w:val="auto"/>
        </w:rPr>
        <w:t>180</w:t>
      </w:r>
    </w:p>
    <w:p>
      <w:pPr>
        <w:spacing w:after="0" w:line="30"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142"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168" w:lineRule="exact"/>
        <w:rPr>
          <w:sz w:val="20"/>
          <w:szCs w:val="20"/>
          <w:color w:val="auto"/>
        </w:rPr>
      </w:pPr>
    </w:p>
    <w:p>
      <w:pPr>
        <w:jc w:val="center"/>
        <w:ind w:right="4840"/>
        <w:spacing w:after="0"/>
        <w:rPr>
          <w:sz w:val="20"/>
          <w:szCs w:val="20"/>
          <w:color w:val="auto"/>
        </w:rPr>
      </w:pPr>
      <w:r>
        <w:rPr>
          <w:rFonts w:ascii="Courier New" w:cs="Courier New" w:eastAsia="Courier New" w:hAnsi="Courier New"/>
          <w:sz w:val="14"/>
          <w:szCs w:val="14"/>
          <w:color w:val="auto"/>
        </w:rPr>
        <w:t>FOR THE YEAR ENDED DECEMBER 31, 1999 AND FOR THE PERIOD FROM</w:t>
      </w:r>
    </w:p>
    <w:p>
      <w:pPr>
        <w:spacing w:after="0" w:line="30" w:lineRule="exact"/>
        <w:rPr>
          <w:sz w:val="20"/>
          <w:szCs w:val="20"/>
          <w:color w:val="auto"/>
        </w:rPr>
      </w:pPr>
    </w:p>
    <w:p>
      <w:pPr>
        <w:jc w:val="center"/>
        <w:ind w:right="4840"/>
        <w:spacing w:after="0"/>
        <w:rPr>
          <w:sz w:val="20"/>
          <w:szCs w:val="20"/>
          <w:color w:val="auto"/>
        </w:rPr>
      </w:pPr>
      <w:r>
        <w:rPr>
          <w:rFonts w:ascii="Courier New" w:cs="Courier New" w:eastAsia="Courier New" w:hAnsi="Courier New"/>
          <w:sz w:val="14"/>
          <w:szCs w:val="14"/>
          <w:color w:val="auto"/>
        </w:rPr>
        <w:t>SEPTEMBER 11, 1998 (INCEPTION) THROUGH DECEMBER 31, 1998</w:t>
      </w:r>
    </w:p>
    <w:p>
      <w:pPr>
        <w:spacing w:after="0" w:line="142"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2"/>
          </w:tcPr>
          <w:p>
            <w:pPr>
              <w:jc w:val="right"/>
              <w:ind w:right="249"/>
              <w:spacing w:after="0"/>
              <w:rPr>
                <w:sz w:val="20"/>
                <w:szCs w:val="20"/>
                <w:color w:val="auto"/>
              </w:rPr>
            </w:pPr>
            <w:r>
              <w:rPr>
                <w:rFonts w:ascii="Courier New" w:cs="Courier New" w:eastAsia="Courier New" w:hAnsi="Courier New"/>
                <w:sz w:val="14"/>
                <w:szCs w:val="14"/>
                <w:color w:val="auto"/>
              </w:rPr>
              <w:t>COMMON STOCK</w:t>
            </w:r>
          </w:p>
        </w:tc>
        <w:tc>
          <w:tcPr>
            <w:tcW w:w="86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ADDITIONAL</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3560" w:type="dxa"/>
            <w:vAlign w:val="bottom"/>
            <w:gridSpan w:val="4"/>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PAID-IN</w:t>
            </w:r>
          </w:p>
        </w:tc>
        <w:tc>
          <w:tcPr>
            <w:tcW w:w="13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DEFERRED</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RETAINED</w:t>
            </w:r>
          </w:p>
        </w:tc>
        <w:tc>
          <w:tcPr>
            <w:tcW w:w="3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STOCKHOLDERS'</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182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CLASS A</w:t>
            </w:r>
          </w:p>
        </w:tc>
        <w:tc>
          <w:tcPr>
            <w:tcW w:w="17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CLASS B</w:t>
            </w:r>
          </w:p>
        </w:tc>
        <w:tc>
          <w:tcPr>
            <w:tcW w:w="11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1180" w:type="dxa"/>
            <w:vAlign w:val="bottom"/>
            <w:vMerge w:val="restart"/>
          </w:tcPr>
          <w:p>
            <w:pPr>
              <w:ind w:left="160"/>
              <w:spacing w:after="0"/>
              <w:rPr>
                <w:sz w:val="20"/>
                <w:szCs w:val="20"/>
                <w:color w:val="auto"/>
              </w:rPr>
            </w:pPr>
            <w:r>
              <w:rPr>
                <w:rFonts w:ascii="Courier New" w:cs="Courier New" w:eastAsia="Courier New" w:hAnsi="Courier New"/>
                <w:sz w:val="9"/>
                <w:szCs w:val="9"/>
                <w:color w:val="auto"/>
                <w:w w:val="76"/>
              </w:rPr>
              <w:t>------------------</w:t>
            </w:r>
            <w:r>
              <w:rPr>
                <w:rFonts w:ascii="Courier New" w:cs="Courier New" w:eastAsia="Courier New" w:hAnsi="Courier New"/>
                <w:sz w:val="14"/>
                <w:szCs w:val="14"/>
                <w:color w:val="auto"/>
                <w:w w:val="76"/>
                <w:vertAlign w:val="subscript"/>
              </w:rPr>
              <w:t>SHARES</w:t>
            </w:r>
          </w:p>
        </w:tc>
        <w:tc>
          <w:tcPr>
            <w:tcW w:w="6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9"/>
              </w:rPr>
              <w:t>AMOUNT</w:t>
            </w:r>
          </w:p>
        </w:tc>
        <w:tc>
          <w:tcPr>
            <w:tcW w:w="17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CAPITAL</w:t>
            </w:r>
          </w:p>
        </w:tc>
        <w:tc>
          <w:tcPr>
            <w:tcW w:w="13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COMPENSATION</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DEFICIT</w:t>
            </w:r>
          </w:p>
        </w:tc>
        <w:tc>
          <w:tcPr>
            <w:tcW w:w="380" w:type="dxa"/>
            <w:vAlign w:val="bottom"/>
          </w:tcPr>
          <w:p>
            <w:pPr>
              <w:spacing w:after="0"/>
              <w:rPr>
                <w:sz w:val="14"/>
                <w:szCs w:val="14"/>
                <w:color w:val="auto"/>
              </w:rPr>
            </w:pPr>
          </w:p>
        </w:tc>
        <w:tc>
          <w:tcPr>
            <w:tcW w:w="1240" w:type="dxa"/>
            <w:vAlign w:val="bottom"/>
            <w:vMerge w:val="restart"/>
          </w:tcPr>
          <w:p>
            <w:pPr>
              <w:ind w:left="380"/>
              <w:spacing w:after="0"/>
              <w:rPr>
                <w:sz w:val="20"/>
                <w:szCs w:val="20"/>
                <w:color w:val="auto"/>
              </w:rPr>
            </w:pPr>
            <w:r>
              <w:rPr>
                <w:rFonts w:ascii="Courier New" w:cs="Courier New" w:eastAsia="Courier New" w:hAnsi="Courier New"/>
                <w:sz w:val="14"/>
                <w:szCs w:val="14"/>
                <w:color w:val="auto"/>
              </w:rPr>
              <w:t>EQUITY</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AMOUNT</w:t>
            </w:r>
          </w:p>
        </w:tc>
        <w:tc>
          <w:tcPr>
            <w:tcW w:w="11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w:t>
            </w:r>
          </w:p>
        </w:tc>
        <w:tc>
          <w:tcPr>
            <w:tcW w:w="8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1"/>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Issuance of common stock</w:t>
            </w:r>
          </w:p>
        </w:tc>
        <w:tc>
          <w:tcPr>
            <w:tcW w:w="11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9,349</w:t>
            </w: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$93</w:t>
            </w: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981</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$24,532</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$(3,885)</w:t>
            </w:r>
          </w:p>
        </w:tc>
        <w:tc>
          <w:tcPr>
            <w:tcW w:w="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20,750</w:t>
            </w:r>
          </w:p>
        </w:tc>
        <w:tc>
          <w:tcPr>
            <w:tcW w:w="0" w:type="dxa"/>
            <w:vAlign w:val="bottom"/>
          </w:tcPr>
          <w:p>
            <w:pPr>
              <w:spacing w:after="0"/>
              <w:rPr>
                <w:sz w:val="1"/>
                <w:szCs w:val="1"/>
                <w:color w:val="auto"/>
              </w:rPr>
            </w:pPr>
          </w:p>
        </w:tc>
      </w:tr>
      <w:tr>
        <w:trPr>
          <w:trHeight w:val="163"/>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Issuance of stock warrants</w:t>
            </w:r>
          </w:p>
        </w:tc>
        <w:tc>
          <w:tcPr>
            <w:tcW w:w="11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601</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3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601</w:t>
            </w:r>
          </w:p>
        </w:tc>
        <w:tc>
          <w:tcPr>
            <w:tcW w:w="0" w:type="dxa"/>
            <w:vAlign w:val="bottom"/>
          </w:tcPr>
          <w:p>
            <w:pPr>
              <w:spacing w:after="0"/>
              <w:rPr>
                <w:sz w:val="1"/>
                <w:szCs w:val="1"/>
                <w:color w:val="auto"/>
              </w:rPr>
            </w:pPr>
          </w:p>
        </w:tc>
      </w:tr>
      <w:tr>
        <w:trPr>
          <w:trHeight w:val="163"/>
        </w:trPr>
        <w:tc>
          <w:tcPr>
            <w:tcW w:w="26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BALANCE, DECEMBER 31, 1998</w:t>
            </w:r>
          </w:p>
        </w:tc>
        <w:tc>
          <w:tcPr>
            <w:tcW w:w="11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2640" w:type="dxa"/>
            <w:vAlign w:val="bottom"/>
            <w:vMerge w:val="continue"/>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9,349</w:t>
            </w: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93</w:t>
            </w: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981</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25,133</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(3,885)</w:t>
            </w:r>
          </w:p>
        </w:tc>
        <w:tc>
          <w:tcPr>
            <w:tcW w:w="880" w:type="dxa"/>
            <w:vAlign w:val="bottom"/>
          </w:tcPr>
          <w:p>
            <w:pPr>
              <w:spacing w:after="0"/>
              <w:rPr>
                <w:sz w:val="20"/>
                <w:szCs w:val="20"/>
                <w:color w:val="auto"/>
              </w:rPr>
            </w:pPr>
          </w:p>
        </w:tc>
        <w:tc>
          <w:tcPr>
            <w:tcW w:w="3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21,351</w:t>
            </w:r>
          </w:p>
        </w:tc>
        <w:tc>
          <w:tcPr>
            <w:tcW w:w="0" w:type="dxa"/>
            <w:vAlign w:val="bottom"/>
          </w:tcPr>
          <w:p>
            <w:pPr>
              <w:spacing w:after="0"/>
              <w:rPr>
                <w:sz w:val="1"/>
                <w:szCs w:val="1"/>
                <w:color w:val="auto"/>
              </w:rPr>
            </w:pPr>
          </w:p>
        </w:tc>
      </w:tr>
      <w:tr>
        <w:trPr>
          <w:trHeight w:val="252"/>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Net loss</w:t>
            </w:r>
          </w:p>
        </w:tc>
        <w:tc>
          <w:tcPr>
            <w:tcW w:w="11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(202,918)</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(202,918)</w:t>
            </w:r>
          </w:p>
        </w:tc>
        <w:tc>
          <w:tcPr>
            <w:tcW w:w="0" w:type="dxa"/>
            <w:vAlign w:val="bottom"/>
          </w:tcPr>
          <w:p>
            <w:pPr>
              <w:spacing w:after="0"/>
              <w:rPr>
                <w:sz w:val="1"/>
                <w:szCs w:val="1"/>
                <w:color w:val="auto"/>
              </w:rPr>
            </w:pPr>
          </w:p>
        </w:tc>
      </w:tr>
      <w:tr>
        <w:trPr>
          <w:trHeight w:val="163"/>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w:t>
            </w:r>
          </w:p>
        </w:tc>
        <w:tc>
          <w:tcPr>
            <w:tcW w:w="1180" w:type="dxa"/>
            <w:vAlign w:val="bottom"/>
            <w:vMerge w:val="restart"/>
          </w:tcPr>
          <w:p>
            <w:pPr>
              <w:jc w:val="right"/>
              <w:ind w:right="431"/>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777</w:t>
            </w:r>
          </w:p>
        </w:tc>
        <w:tc>
          <w:tcPr>
            <w:tcW w:w="880" w:type="dxa"/>
            <w:vAlign w:val="bottom"/>
          </w:tcPr>
          <w:p>
            <w:pPr>
              <w:spacing w:after="0"/>
              <w:rPr>
                <w:sz w:val="14"/>
                <w:szCs w:val="14"/>
                <w:color w:val="auto"/>
              </w:rPr>
            </w:pPr>
          </w:p>
        </w:tc>
        <w:tc>
          <w:tcPr>
            <w:tcW w:w="3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777</w:t>
            </w:r>
          </w:p>
        </w:tc>
        <w:tc>
          <w:tcPr>
            <w:tcW w:w="0" w:type="dxa"/>
            <w:vAlign w:val="bottom"/>
          </w:tcPr>
          <w:p>
            <w:pPr>
              <w:spacing w:after="0"/>
              <w:rPr>
                <w:sz w:val="1"/>
                <w:szCs w:val="1"/>
                <w:color w:val="auto"/>
              </w:rPr>
            </w:pPr>
          </w:p>
        </w:tc>
      </w:tr>
      <w:tr>
        <w:trPr>
          <w:trHeight w:val="163"/>
        </w:trPr>
        <w:tc>
          <w:tcPr>
            <w:tcW w:w="26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deferred compensation</w:t>
            </w:r>
          </w:p>
        </w:tc>
        <w:tc>
          <w:tcPr>
            <w:tcW w:w="1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BALANCE, DECEMBER 31, 1999</w:t>
            </w:r>
          </w:p>
        </w:tc>
        <w:tc>
          <w:tcPr>
            <w:tcW w:w="11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vMerge w:val="continue"/>
          </w:tcPr>
          <w:p>
            <w:pPr>
              <w:spacing w:after="0"/>
              <w:rPr>
                <w:sz w:val="14"/>
                <w:szCs w:val="14"/>
                <w:color w:val="auto"/>
              </w:rPr>
            </w:pPr>
          </w:p>
        </w:tc>
        <w:tc>
          <w:tcPr>
            <w:tcW w:w="11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9,349</w:t>
            </w: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$93</w:t>
            </w: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981</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$25,133</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$(3,108)</w:t>
            </w:r>
          </w:p>
        </w:tc>
        <w:tc>
          <w:tcPr>
            <w:tcW w:w="12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$(202,918)</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$(180,790)</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F-62</w:t>
      </w:r>
    </w:p>
    <w:p>
      <w:pPr>
        <w:sectPr>
          <w:pgSz w:w="11900" w:h="16838" w:orient="portrait"/>
          <w:cols w:equalWidth="0" w:num="1">
            <w:col w:w="11120"/>
          </w:cols>
          <w:pgMar w:left="300" w:top="257" w:right="479"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4"/>
          <w:szCs w:val="14"/>
          <w:color w:val="auto"/>
        </w:rPr>
        <w:t>181</w:t>
      </w:r>
    </w:p>
    <w:p>
      <w:pPr>
        <w:spacing w:after="0" w:line="30"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30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FOR THE YEAR ENDED DECEMBER 31, 1999 AND FOR THE PERIOD FROM SEPTEMBER</w:t>
      </w:r>
    </w:p>
    <w:p>
      <w:pPr>
        <w:spacing w:after="0" w:line="30"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11, 1998 (INCEPTION) THROUGH DECEMBER 31, 1998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ind w:left="2800"/>
              <w:spacing w:after="0"/>
              <w:rPr>
                <w:sz w:val="20"/>
                <w:szCs w:val="20"/>
                <w:color w:val="auto"/>
              </w:rPr>
            </w:pPr>
            <w:r>
              <w:rPr>
                <w:rFonts w:ascii="Courier New" w:cs="Courier New" w:eastAsia="Courier New" w:hAnsi="Courier New"/>
                <w:sz w:val="14"/>
                <w:szCs w:val="14"/>
                <w:color w:val="auto"/>
              </w:rPr>
              <w:t>(IN THOUSANDS)</w:t>
            </w: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8"/>
        </w:trPr>
        <w:tc>
          <w:tcPr>
            <w:tcW w:w="6080" w:type="dxa"/>
            <w:vAlign w:val="bottom"/>
          </w:tcPr>
          <w:p>
            <w:pPr>
              <w:spacing w:after="0"/>
              <w:rPr>
                <w:sz w:val="24"/>
                <w:szCs w:val="24"/>
                <w:color w:val="auto"/>
              </w:rPr>
            </w:pPr>
          </w:p>
        </w:tc>
        <w:tc>
          <w:tcPr>
            <w:tcW w:w="14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24"/>
                <w:szCs w:val="24"/>
                <w:color w:val="auto"/>
              </w:rPr>
            </w:pPr>
          </w:p>
        </w:tc>
        <w:tc>
          <w:tcPr>
            <w:tcW w:w="50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5"/>
              </w:rPr>
              <w:t>1998</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4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$(202,918)</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340"/>
              <w:spacing w:after="0"/>
              <w:rPr>
                <w:sz w:val="20"/>
                <w:szCs w:val="20"/>
                <w:color w:val="auto"/>
              </w:rPr>
            </w:pPr>
            <w:r>
              <w:rPr>
                <w:rFonts w:ascii="Courier New" w:cs="Courier New" w:eastAsia="Courier New" w:hAnsi="Courier New"/>
                <w:sz w:val="14"/>
                <w:szCs w:val="14"/>
                <w:color w:val="auto"/>
              </w:rPr>
              <w:t>Net loss</w:t>
            </w:r>
          </w:p>
        </w:tc>
        <w:tc>
          <w:tcPr>
            <w:tcW w:w="14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340"/>
              <w:spacing w:after="0"/>
              <w:rPr>
                <w:sz w:val="20"/>
                <w:szCs w:val="20"/>
                <w:color w:val="auto"/>
              </w:rPr>
            </w:pPr>
            <w:r>
              <w:rPr>
                <w:rFonts w:ascii="Courier New" w:cs="Courier New" w:eastAsia="Courier New" w:hAnsi="Courier New"/>
                <w:sz w:val="14"/>
                <w:szCs w:val="14"/>
                <w:color w:val="auto"/>
              </w:rPr>
              <w:t>Adjustments to reconcile net loss to net cash used in operating</w:t>
            </w: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600"/>
              <w:spacing w:after="0"/>
              <w:rPr>
                <w:sz w:val="20"/>
                <w:szCs w:val="20"/>
                <w:color w:val="auto"/>
              </w:rPr>
            </w:pPr>
            <w:r>
              <w:rPr>
                <w:rFonts w:ascii="Courier New" w:cs="Courier New" w:eastAsia="Courier New" w:hAnsi="Courier New"/>
                <w:sz w:val="14"/>
                <w:szCs w:val="14"/>
                <w:color w:val="auto"/>
              </w:rPr>
              <w:t>activities:</w:t>
            </w:r>
          </w:p>
        </w:tc>
        <w:tc>
          <w:tcPr>
            <w:tcW w:w="14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8,601</w:t>
            </w: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Depreciation and amortization</w:t>
            </w: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Lease incentives and service fees received from Prison</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340"/>
              <w:spacing w:after="0"/>
              <w:rPr>
                <w:sz w:val="20"/>
                <w:szCs w:val="20"/>
                <w:color w:val="auto"/>
              </w:rPr>
            </w:pPr>
            <w:r>
              <w:rPr>
                <w:rFonts w:ascii="Courier New" w:cs="Courier New" w:eastAsia="Courier New" w:hAnsi="Courier New"/>
                <w:sz w:val="14"/>
                <w:szCs w:val="14"/>
                <w:color w:val="auto"/>
              </w:rPr>
              <w:t>Realty</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109,349</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Amortization of lease incentives and service fees received</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340"/>
              <w:spacing w:after="0"/>
              <w:rPr>
                <w:sz w:val="20"/>
                <w:szCs w:val="20"/>
                <w:color w:val="auto"/>
              </w:rPr>
            </w:pPr>
            <w:r>
              <w:rPr>
                <w:rFonts w:ascii="Courier New" w:cs="Courier New" w:eastAsia="Courier New" w:hAnsi="Courier New"/>
                <w:sz w:val="14"/>
                <w:szCs w:val="14"/>
                <w:color w:val="auto"/>
              </w:rPr>
              <w:t>from Prison Realty</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(4,427)</w:t>
            </w: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Other noncash items</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2,861</w:t>
            </w: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Write-off of debt issuance costs</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2,706</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Gain on sale of assets</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Changes in assets and liabilities, net:</w:t>
            </w:r>
          </w:p>
        </w:tc>
        <w:tc>
          <w:tcPr>
            <w:tcW w:w="14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(654)</w:t>
            </w: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1200"/>
              <w:spacing w:after="0"/>
              <w:rPr>
                <w:sz w:val="20"/>
                <w:szCs w:val="20"/>
                <w:color w:val="auto"/>
              </w:rPr>
            </w:pPr>
            <w:r>
              <w:rPr>
                <w:rFonts w:ascii="Courier New" w:cs="Courier New" w:eastAsia="Courier New" w:hAnsi="Courier New"/>
                <w:sz w:val="14"/>
                <w:szCs w:val="14"/>
                <w:color w:val="auto"/>
              </w:rPr>
              <w:t>Accounts receivable</w:t>
            </w: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1200"/>
              <w:spacing w:after="0"/>
              <w:rPr>
                <w:sz w:val="20"/>
                <w:szCs w:val="20"/>
                <w:color w:val="auto"/>
              </w:rPr>
            </w:pPr>
            <w:r>
              <w:rPr>
                <w:rFonts w:ascii="Courier New" w:cs="Courier New" w:eastAsia="Courier New" w:hAnsi="Courier New"/>
                <w:sz w:val="14"/>
                <w:szCs w:val="14"/>
                <w:color w:val="auto"/>
              </w:rPr>
              <w:t>Prepaid expenses</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869</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1200"/>
              <w:spacing w:after="0"/>
              <w:rPr>
                <w:sz w:val="20"/>
                <w:szCs w:val="20"/>
                <w:color w:val="auto"/>
              </w:rPr>
            </w:pPr>
            <w:r>
              <w:rPr>
                <w:rFonts w:ascii="Courier New" w:cs="Courier New" w:eastAsia="Courier New" w:hAnsi="Courier New"/>
                <w:sz w:val="14"/>
                <w:szCs w:val="14"/>
                <w:color w:val="auto"/>
              </w:rPr>
              <w:t>Other current assets</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(2,062)</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1200"/>
              <w:spacing w:after="0"/>
              <w:rPr>
                <w:sz w:val="20"/>
                <w:szCs w:val="20"/>
                <w:color w:val="auto"/>
              </w:rPr>
            </w:pPr>
            <w:r>
              <w:rPr>
                <w:rFonts w:ascii="Courier New" w:cs="Courier New" w:eastAsia="Courier New" w:hAnsi="Courier New"/>
                <w:sz w:val="14"/>
                <w:szCs w:val="14"/>
                <w:color w:val="auto"/>
              </w:rPr>
              <w:t>Other assets</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1,541</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1200"/>
              <w:spacing w:after="0"/>
              <w:rPr>
                <w:sz w:val="20"/>
                <w:szCs w:val="20"/>
                <w:color w:val="auto"/>
              </w:rPr>
            </w:pPr>
            <w:r>
              <w:rPr>
                <w:rFonts w:ascii="Courier New" w:cs="Courier New" w:eastAsia="Courier New" w:hAnsi="Courier New"/>
                <w:sz w:val="14"/>
                <w:szCs w:val="14"/>
                <w:color w:val="auto"/>
              </w:rPr>
              <w:t>Accounts payable</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14,375</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1200"/>
              <w:spacing w:after="0"/>
              <w:rPr>
                <w:sz w:val="20"/>
                <w:szCs w:val="20"/>
                <w:color w:val="auto"/>
              </w:rPr>
            </w:pPr>
            <w:r>
              <w:rPr>
                <w:rFonts w:ascii="Courier New" w:cs="Courier New" w:eastAsia="Courier New" w:hAnsi="Courier New"/>
                <w:sz w:val="14"/>
                <w:szCs w:val="14"/>
                <w:color w:val="auto"/>
              </w:rPr>
              <w:t>Lease and trade name use payables to Prison Realty</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27,080</w:t>
            </w: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1200"/>
              <w:spacing w:after="0"/>
              <w:rPr>
                <w:sz w:val="20"/>
                <w:szCs w:val="20"/>
                <w:color w:val="auto"/>
              </w:rPr>
            </w:pPr>
            <w:r>
              <w:rPr>
                <w:rFonts w:ascii="Courier New" w:cs="Courier New" w:eastAsia="Courier New" w:hAnsi="Courier New"/>
                <w:sz w:val="14"/>
                <w:szCs w:val="14"/>
                <w:color w:val="auto"/>
              </w:rPr>
              <w:t>Accrued salaries and wages</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1,423</w:t>
            </w: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1200"/>
              <w:spacing w:after="0"/>
              <w:rPr>
                <w:sz w:val="20"/>
                <w:szCs w:val="20"/>
                <w:color w:val="auto"/>
              </w:rPr>
            </w:pPr>
            <w:r>
              <w:rPr>
                <w:rFonts w:ascii="Courier New" w:cs="Courier New" w:eastAsia="Courier New" w:hAnsi="Courier New"/>
                <w:sz w:val="14"/>
                <w:szCs w:val="14"/>
                <w:color w:val="auto"/>
              </w:rPr>
              <w:t>Accrued property taxes</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5,092</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1200"/>
              <w:spacing w:after="0"/>
              <w:rPr>
                <w:sz w:val="20"/>
                <w:szCs w:val="20"/>
                <w:color w:val="auto"/>
              </w:rPr>
            </w:pPr>
            <w:r>
              <w:rPr>
                <w:rFonts w:ascii="Courier New" w:cs="Courier New" w:eastAsia="Courier New" w:hAnsi="Courier New"/>
                <w:sz w:val="14"/>
                <w:szCs w:val="14"/>
                <w:color w:val="auto"/>
              </w:rPr>
              <w:t>Accrued interest to Prison Realty</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16,440</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1200"/>
              <w:spacing w:after="0"/>
              <w:rPr>
                <w:sz w:val="20"/>
                <w:szCs w:val="20"/>
                <w:color w:val="auto"/>
              </w:rPr>
            </w:pPr>
            <w:r>
              <w:rPr>
                <w:rFonts w:ascii="Courier New" w:cs="Courier New" w:eastAsia="Courier New" w:hAnsi="Courier New"/>
                <w:sz w:val="14"/>
                <w:szCs w:val="14"/>
                <w:color w:val="auto"/>
              </w:rPr>
              <w:t>Other accrued expenses</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3,414</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vMerge w:val="restart"/>
          </w:tcPr>
          <w:p>
            <w:pPr>
              <w:ind w:left="1440"/>
              <w:spacing w:after="0"/>
              <w:rPr>
                <w:sz w:val="20"/>
                <w:szCs w:val="20"/>
                <w:color w:val="auto"/>
              </w:rPr>
            </w:pPr>
            <w:r>
              <w:rPr>
                <w:rFonts w:ascii="Courier New" w:cs="Courier New" w:eastAsia="Courier New" w:hAnsi="Courier New"/>
                <w:sz w:val="14"/>
                <w:szCs w:val="14"/>
                <w:color w:val="auto"/>
              </w:rPr>
              <w:t>Net cash used in operating activities</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vMerge w:val="continue"/>
          </w:tcPr>
          <w:p>
            <w:pPr>
              <w:spacing w:after="0"/>
              <w:rPr>
                <w:sz w:val="14"/>
                <w:szCs w:val="14"/>
                <w:color w:val="auto"/>
              </w:rPr>
            </w:pP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(16,332)</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4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657</w:t>
            </w:r>
          </w:p>
        </w:tc>
        <w:tc>
          <w:tcPr>
            <w:tcW w:w="380" w:type="dxa"/>
            <w:vAlign w:val="bottom"/>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340"/>
              <w:spacing w:after="0"/>
              <w:rPr>
                <w:sz w:val="20"/>
                <w:szCs w:val="20"/>
                <w:color w:val="auto"/>
              </w:rPr>
            </w:pPr>
            <w:r>
              <w:rPr>
                <w:rFonts w:ascii="Courier New" w:cs="Courier New" w:eastAsia="Courier New" w:hAnsi="Courier New"/>
                <w:sz w:val="14"/>
                <w:szCs w:val="14"/>
                <w:color w:val="auto"/>
              </w:rPr>
              <w:t>Proceeds from sale of assets</w:t>
            </w: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340"/>
              <w:spacing w:after="0"/>
              <w:rPr>
                <w:sz w:val="20"/>
                <w:szCs w:val="20"/>
                <w:color w:val="auto"/>
              </w:rPr>
            </w:pPr>
            <w:r>
              <w:rPr>
                <w:rFonts w:ascii="Courier New" w:cs="Courier New" w:eastAsia="Courier New" w:hAnsi="Courier New"/>
                <w:sz w:val="14"/>
                <w:szCs w:val="14"/>
                <w:color w:val="auto"/>
              </w:rPr>
              <w:t>Property and equipment additions, net</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(2,748)</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340"/>
              <w:spacing w:after="0"/>
              <w:rPr>
                <w:sz w:val="20"/>
                <w:szCs w:val="20"/>
                <w:color w:val="auto"/>
              </w:rPr>
            </w:pPr>
            <w:r>
              <w:rPr>
                <w:rFonts w:ascii="Courier New" w:cs="Courier New" w:eastAsia="Courier New" w:hAnsi="Courier New"/>
                <w:sz w:val="14"/>
                <w:szCs w:val="14"/>
                <w:color w:val="auto"/>
              </w:rPr>
              <w:t>Cash acquired in purchase of contracts and related net assets</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3,059</w:t>
            </w:r>
          </w:p>
        </w:tc>
        <w:tc>
          <w:tcPr>
            <w:tcW w:w="0" w:type="dxa"/>
            <w:vAlign w:val="bottom"/>
          </w:tcPr>
          <w:p>
            <w:pPr>
              <w:spacing w:after="0"/>
              <w:rPr>
                <w:sz w:val="1"/>
                <w:szCs w:val="1"/>
                <w:color w:val="auto"/>
              </w:rPr>
            </w:pPr>
          </w:p>
        </w:tc>
      </w:tr>
      <w:tr>
        <w:trPr>
          <w:trHeight w:val="163"/>
        </w:trPr>
        <w:tc>
          <w:tcPr>
            <w:tcW w:w="6080" w:type="dxa"/>
            <w:vAlign w:val="bottom"/>
            <w:vMerge w:val="restart"/>
          </w:tcPr>
          <w:p>
            <w:pPr>
              <w:ind w:left="1440"/>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vMerge w:val="continue"/>
          </w:tcPr>
          <w:p>
            <w:pPr>
              <w:spacing w:after="0"/>
              <w:rPr>
                <w:sz w:val="14"/>
                <w:szCs w:val="14"/>
                <w:color w:val="auto"/>
              </w:rPr>
            </w:pP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(2,091)</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3,059</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1"/>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4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16,214</w:t>
            </w:r>
          </w:p>
        </w:tc>
        <w:tc>
          <w:tcPr>
            <w:tcW w:w="380" w:type="dxa"/>
            <w:vAlign w:val="bottom"/>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340"/>
              <w:spacing w:after="0"/>
              <w:rPr>
                <w:sz w:val="20"/>
                <w:szCs w:val="20"/>
                <w:color w:val="auto"/>
              </w:rPr>
            </w:pPr>
            <w:r>
              <w:rPr>
                <w:rFonts w:ascii="Courier New" w:cs="Courier New" w:eastAsia="Courier New" w:hAnsi="Courier New"/>
                <w:sz w:val="14"/>
                <w:szCs w:val="14"/>
                <w:color w:val="auto"/>
              </w:rPr>
              <w:t>Proceeds from borrowings on short-term debt, net</w:t>
            </w: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340"/>
              <w:spacing w:after="0"/>
              <w:rPr>
                <w:sz w:val="20"/>
                <w:szCs w:val="20"/>
                <w:color w:val="auto"/>
              </w:rPr>
            </w:pPr>
            <w:r>
              <w:rPr>
                <w:rFonts w:ascii="Courier New" w:cs="Courier New" w:eastAsia="Courier New" w:hAnsi="Courier New"/>
                <w:sz w:val="14"/>
                <w:szCs w:val="14"/>
                <w:color w:val="auto"/>
              </w:rPr>
              <w:t>Payment of debt issuance costs</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(6,125)</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340"/>
              <w:spacing w:after="0"/>
              <w:rPr>
                <w:sz w:val="20"/>
                <w:szCs w:val="20"/>
                <w:color w:val="auto"/>
              </w:rPr>
            </w:pPr>
            <w:r>
              <w:rPr>
                <w:rFonts w:ascii="Courier New" w:cs="Courier New" w:eastAsia="Courier New" w:hAnsi="Courier New"/>
                <w:sz w:val="14"/>
                <w:szCs w:val="14"/>
                <w:color w:val="auto"/>
              </w:rPr>
              <w:t>Proceeds from issuance of common stock</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16,000</w:t>
            </w:r>
          </w:p>
        </w:tc>
        <w:tc>
          <w:tcPr>
            <w:tcW w:w="0" w:type="dxa"/>
            <w:vAlign w:val="bottom"/>
          </w:tcPr>
          <w:p>
            <w:pPr>
              <w:spacing w:after="0"/>
              <w:rPr>
                <w:sz w:val="1"/>
                <w:szCs w:val="1"/>
                <w:color w:val="auto"/>
              </w:rPr>
            </w:pPr>
          </w:p>
        </w:tc>
      </w:tr>
      <w:tr>
        <w:trPr>
          <w:trHeight w:val="163"/>
        </w:trPr>
        <w:tc>
          <w:tcPr>
            <w:tcW w:w="6080" w:type="dxa"/>
            <w:vAlign w:val="bottom"/>
            <w:vMerge w:val="restart"/>
          </w:tcPr>
          <w:p>
            <w:pPr>
              <w:ind w:left="144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vMerge w:val="continue"/>
          </w:tcPr>
          <w:p>
            <w:pPr>
              <w:spacing w:after="0"/>
              <w:rPr>
                <w:sz w:val="14"/>
                <w:szCs w:val="14"/>
                <w:color w:val="auto"/>
              </w:rPr>
            </w:pP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10,089</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16,000</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(Continued)</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F-63</w:t>
      </w:r>
    </w:p>
    <w:p>
      <w:pPr>
        <w:sectPr>
          <w:pgSz w:w="11900" w:h="16838" w:orient="portrait"/>
          <w:cols w:equalWidth="0" w:num="1">
            <w:col w:w="10159"/>
          </w:cols>
          <w:pgMar w:left="300" w:top="257"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4"/>
          <w:szCs w:val="14"/>
          <w:color w:val="auto"/>
        </w:rPr>
        <w:t>182</w:t>
      </w:r>
    </w:p>
    <w:p>
      <w:pPr>
        <w:spacing w:after="0" w:line="30"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305"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68"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FOR THE YEAR ENDED DECEMBER 31, 1999 AND FOR THE</w:t>
      </w:r>
    </w:p>
    <w:p>
      <w:pPr>
        <w:spacing w:after="0" w:line="30"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PERIOD FROM SEPTEMBER 11, 1998 (INCEPTION)</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THROUGH DECEMBER 31, 1998</w:t>
      </w:r>
    </w:p>
    <w:p>
      <w:pPr>
        <w:spacing w:after="0" w:line="14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ind w:left="2980"/>
              <w:spacing w:after="0"/>
              <w:rPr>
                <w:sz w:val="20"/>
                <w:szCs w:val="20"/>
                <w:color w:val="auto"/>
              </w:rPr>
            </w:pPr>
            <w:r>
              <w:rPr>
                <w:rFonts w:ascii="Courier New" w:cs="Courier New" w:eastAsia="Courier New" w:hAnsi="Courier New"/>
                <w:sz w:val="14"/>
                <w:szCs w:val="14"/>
                <w:color w:val="auto"/>
              </w:rPr>
              <w:t>(Continued)</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1"/>
        </w:trPr>
        <w:tc>
          <w:tcPr>
            <w:tcW w:w="6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24"/>
                <w:szCs w:val="24"/>
                <w:color w:val="auto"/>
              </w:rPr>
            </w:pPr>
          </w:p>
        </w:tc>
        <w:tc>
          <w:tcPr>
            <w:tcW w:w="7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3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89"/>
        </w:trPr>
        <w:tc>
          <w:tcPr>
            <w:tcW w:w="608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134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 (8,334)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19,059</w:t>
            </w:r>
          </w:p>
        </w:tc>
        <w:tc>
          <w:tcPr>
            <w:tcW w:w="0" w:type="dxa"/>
            <w:vAlign w:val="bottom"/>
          </w:tcPr>
          <w:p>
            <w:pPr>
              <w:spacing w:after="0"/>
              <w:rPr>
                <w:sz w:val="1"/>
                <w:szCs w:val="1"/>
                <w:color w:val="auto"/>
              </w:rPr>
            </w:pPr>
          </w:p>
        </w:tc>
      </w:tr>
      <w:tr>
        <w:trPr>
          <w:trHeight w:val="252"/>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PERIOD</w:t>
            </w:r>
          </w:p>
        </w:tc>
        <w:tc>
          <w:tcPr>
            <w:tcW w:w="420" w:type="dxa"/>
            <w:vAlign w:val="bottom"/>
          </w:tcPr>
          <w:p>
            <w:pPr>
              <w:spacing w:after="0"/>
              <w:rPr>
                <w:sz w:val="21"/>
                <w:szCs w:val="21"/>
                <w:color w:val="auto"/>
              </w:rPr>
            </w:pP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19,059</w:t>
            </w:r>
          </w:p>
        </w:tc>
        <w:tc>
          <w:tcPr>
            <w:tcW w:w="440" w:type="dxa"/>
            <w:vAlign w:val="bottom"/>
          </w:tcPr>
          <w:p>
            <w:pPr>
              <w:spacing w:after="0"/>
              <w:rPr>
                <w:sz w:val="21"/>
                <w:szCs w:val="21"/>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vMerge w:val="restart"/>
          </w:tcPr>
          <w:p>
            <w:pPr>
              <w:spacing w:after="0"/>
              <w:rPr>
                <w:sz w:val="20"/>
                <w:szCs w:val="20"/>
                <w:color w:val="auto"/>
              </w:rPr>
            </w:pPr>
            <w:r>
              <w:rPr>
                <w:rFonts w:ascii="Courier New" w:cs="Courier New" w:eastAsia="Courier New" w:hAnsi="Courier New"/>
                <w:sz w:val="14"/>
                <w:szCs w:val="14"/>
                <w:color w:val="auto"/>
              </w:rPr>
              <w:t>CASH AND CASH EQUIVALENTS, END OF PERIOD</w:t>
            </w:r>
          </w:p>
        </w:tc>
        <w:tc>
          <w:tcPr>
            <w:tcW w:w="13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vMerge w:val="continue"/>
          </w:tcPr>
          <w:p>
            <w:pPr>
              <w:spacing w:after="0"/>
              <w:rPr>
                <w:sz w:val="14"/>
                <w:szCs w:val="14"/>
                <w:color w:val="auto"/>
              </w:rPr>
            </w:pPr>
          </w:p>
        </w:tc>
        <w:tc>
          <w:tcPr>
            <w:tcW w:w="13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$ 10,725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19,059</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3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6"/>
        </w:trPr>
        <w:tc>
          <w:tcPr>
            <w:tcW w:w="6080" w:type="dxa"/>
            <w:vAlign w:val="bottom"/>
          </w:tcPr>
          <w:p>
            <w:pPr>
              <w:spacing w:after="0"/>
              <w:rPr>
                <w:sz w:val="20"/>
                <w:szCs w:val="20"/>
                <w:color w:val="auto"/>
              </w:rPr>
            </w:pPr>
            <w:r>
              <w:rPr>
                <w:rFonts w:ascii="Courier New" w:cs="Courier New" w:eastAsia="Courier New" w:hAnsi="Courier New"/>
                <w:sz w:val="14"/>
                <w:szCs w:val="14"/>
                <w:color w:val="auto"/>
              </w:rPr>
              <w:t>SUPPLEMENTAL DISCLOSURES OF CASH FLOW INFORMATION:</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080" w:type="dxa"/>
            <w:vAlign w:val="bottom"/>
          </w:tcPr>
          <w:p>
            <w:pPr>
              <w:ind w:left="600"/>
              <w:spacing w:after="0"/>
              <w:rPr>
                <w:sz w:val="20"/>
                <w:szCs w:val="20"/>
                <w:color w:val="auto"/>
              </w:rPr>
            </w:pPr>
            <w:r>
              <w:rPr>
                <w:rFonts w:ascii="Courier New" w:cs="Courier New" w:eastAsia="Courier New" w:hAnsi="Courier New"/>
                <w:sz w:val="14"/>
                <w:szCs w:val="14"/>
                <w:color w:val="auto"/>
              </w:rPr>
              <w:t>Cash paid during the period for:</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1,111</w:t>
            </w:r>
          </w:p>
        </w:tc>
        <w:tc>
          <w:tcPr>
            <w:tcW w:w="4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Interest</w:t>
            </w:r>
          </w:p>
        </w:tc>
        <w:tc>
          <w:tcPr>
            <w:tcW w:w="4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vMerge w:val="restart"/>
          </w:tcPr>
          <w:p>
            <w:pPr>
              <w:ind w:left="860"/>
              <w:spacing w:after="0"/>
              <w:rPr>
                <w:sz w:val="20"/>
                <w:szCs w:val="20"/>
                <w:color w:val="auto"/>
              </w:rPr>
            </w:pPr>
            <w:r>
              <w:rPr>
                <w:rFonts w:ascii="Courier New" w:cs="Courier New" w:eastAsia="Courier New" w:hAnsi="Courier New"/>
                <w:sz w:val="14"/>
                <w:szCs w:val="14"/>
                <w:color w:val="auto"/>
              </w:rPr>
              <w:t>Income taxes</w:t>
            </w:r>
          </w:p>
        </w:tc>
        <w:tc>
          <w:tcPr>
            <w:tcW w:w="13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3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6080" w:type="dxa"/>
            <w:vAlign w:val="bottom"/>
          </w:tcPr>
          <w:p>
            <w:pPr>
              <w:spacing w:after="0"/>
              <w:rPr>
                <w:sz w:val="20"/>
                <w:szCs w:val="20"/>
                <w:color w:val="auto"/>
              </w:rPr>
            </w:pPr>
            <w:r>
              <w:rPr>
                <w:rFonts w:ascii="Courier New" w:cs="Courier New" w:eastAsia="Courier New" w:hAnsi="Courier New"/>
                <w:sz w:val="14"/>
                <w:szCs w:val="14"/>
                <w:color w:val="auto"/>
              </w:rPr>
              <w:t>SUPPLEMENTAL SCHEDULE OF NONCASH INVESTING AND FINANCING ACTIVITIES:</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600"/>
              <w:spacing w:after="0"/>
              <w:rPr>
                <w:sz w:val="20"/>
                <w:szCs w:val="20"/>
                <w:color w:val="auto"/>
              </w:rPr>
            </w:pPr>
            <w:r>
              <w:rPr>
                <w:rFonts w:ascii="Courier New" w:cs="Courier New" w:eastAsia="Courier New" w:hAnsi="Courier New"/>
                <w:sz w:val="14"/>
                <w:szCs w:val="14"/>
                <w:color w:val="auto"/>
              </w:rPr>
              <w:t>Purchase of management contracts and related net assets</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340"/>
              <w:spacing w:after="0"/>
              <w:rPr>
                <w:sz w:val="20"/>
                <w:szCs w:val="20"/>
                <w:color w:val="auto"/>
              </w:rPr>
            </w:pPr>
            <w:r>
              <w:rPr>
                <w:rFonts w:ascii="Courier New" w:cs="Courier New" w:eastAsia="Courier New" w:hAnsi="Courier New"/>
                <w:sz w:val="14"/>
                <w:szCs w:val="14"/>
                <w:color w:val="auto"/>
              </w:rPr>
              <w:t>through issuance of the promissory note and common stock</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940"/>
              <w:spacing w:after="0"/>
              <w:rPr>
                <w:sz w:val="20"/>
                <w:szCs w:val="20"/>
                <w:color w:val="auto"/>
              </w:rPr>
            </w:pPr>
            <w:r>
              <w:rPr>
                <w:rFonts w:ascii="Courier New" w:cs="Courier New" w:eastAsia="Courier New" w:hAnsi="Courier New"/>
                <w:sz w:val="14"/>
                <w:szCs w:val="14"/>
                <w:color w:val="auto"/>
              </w:rPr>
              <w:t>to Prison Realty:</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 (64,077)</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Accounts receivable, net of allowances</w:t>
            </w:r>
          </w:p>
        </w:tc>
        <w:tc>
          <w:tcPr>
            <w:tcW w:w="4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Prepaid expenses</w:t>
            </w:r>
          </w:p>
        </w:tc>
        <w:tc>
          <w:tcPr>
            <w:tcW w:w="42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(4,602)</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Other current assets</w:t>
            </w:r>
          </w:p>
        </w:tc>
        <w:tc>
          <w:tcPr>
            <w:tcW w:w="42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(7,103)</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Property and equipment</w:t>
            </w:r>
          </w:p>
        </w:tc>
        <w:tc>
          <w:tcPr>
            <w:tcW w:w="42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(24,668)</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Investment in contracts</w:t>
            </w:r>
          </w:p>
        </w:tc>
        <w:tc>
          <w:tcPr>
            <w:tcW w:w="42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(70,854)</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Other assets</w:t>
            </w:r>
          </w:p>
        </w:tc>
        <w:tc>
          <w:tcPr>
            <w:tcW w:w="42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(8,376)</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Accounts payable</w:t>
            </w:r>
          </w:p>
        </w:tc>
        <w:tc>
          <w:tcPr>
            <w:tcW w:w="42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15,766</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Accrued salaries and wages</w:t>
            </w:r>
          </w:p>
        </w:tc>
        <w:tc>
          <w:tcPr>
            <w:tcW w:w="42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4,419</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Accrued property taxes</w:t>
            </w:r>
          </w:p>
        </w:tc>
        <w:tc>
          <w:tcPr>
            <w:tcW w:w="42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4,301</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Other accrued expenses</w:t>
            </w:r>
          </w:p>
        </w:tc>
        <w:tc>
          <w:tcPr>
            <w:tcW w:w="42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13,444</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Promissory note to Prison Realty</w:t>
            </w:r>
          </w:p>
        </w:tc>
        <w:tc>
          <w:tcPr>
            <w:tcW w:w="42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137,000</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Common stock</w:t>
            </w:r>
          </w:p>
        </w:tc>
        <w:tc>
          <w:tcPr>
            <w:tcW w:w="42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4,750</w:t>
            </w:r>
          </w:p>
        </w:tc>
        <w:tc>
          <w:tcPr>
            <w:tcW w:w="0" w:type="dxa"/>
            <w:vAlign w:val="bottom"/>
          </w:tcPr>
          <w:p>
            <w:pPr>
              <w:spacing w:after="0"/>
              <w:rPr>
                <w:sz w:val="1"/>
                <w:szCs w:val="1"/>
                <w:color w:val="auto"/>
              </w:rPr>
            </w:pPr>
          </w:p>
        </w:tc>
      </w:tr>
      <w:tr>
        <w:trPr>
          <w:trHeight w:val="163"/>
        </w:trPr>
        <w:tc>
          <w:tcPr>
            <w:tcW w:w="6080" w:type="dxa"/>
            <w:vAlign w:val="bottom"/>
          </w:tcPr>
          <w:p>
            <w:pPr>
              <w:spacing w:after="0"/>
              <w:rPr>
                <w:sz w:val="14"/>
                <w:szCs w:val="14"/>
                <w:color w:val="auto"/>
              </w:rPr>
            </w:pPr>
          </w:p>
        </w:tc>
        <w:tc>
          <w:tcPr>
            <w:tcW w:w="13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3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6080" w:type="dxa"/>
            <w:vAlign w:val="bottom"/>
          </w:tcPr>
          <w:p>
            <w:pPr>
              <w:ind w:left="600"/>
              <w:spacing w:after="0"/>
              <w:rPr>
                <w:sz w:val="20"/>
                <w:szCs w:val="20"/>
                <w:color w:val="auto"/>
              </w:rPr>
            </w:pPr>
            <w:r>
              <w:rPr>
                <w:rFonts w:ascii="Courier New" w:cs="Courier New" w:eastAsia="Courier New" w:hAnsi="Courier New"/>
                <w:sz w:val="14"/>
                <w:szCs w:val="14"/>
                <w:color w:val="auto"/>
              </w:rPr>
              <w:t>Issuance of stock warrants for financing services:</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601</w:t>
            </w: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Other assets</w:t>
            </w:r>
          </w:p>
        </w:tc>
        <w:tc>
          <w:tcPr>
            <w:tcW w:w="4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860"/>
              <w:spacing w:after="0"/>
              <w:rPr>
                <w:sz w:val="20"/>
                <w:szCs w:val="20"/>
                <w:color w:val="auto"/>
              </w:rPr>
            </w:pPr>
            <w:r>
              <w:rPr>
                <w:rFonts w:ascii="Courier New" w:cs="Courier New" w:eastAsia="Courier New" w:hAnsi="Courier New"/>
                <w:sz w:val="14"/>
                <w:szCs w:val="14"/>
                <w:color w:val="auto"/>
              </w:rPr>
              <w:t>Additional paid-in capital</w:t>
            </w:r>
          </w:p>
        </w:tc>
        <w:tc>
          <w:tcPr>
            <w:tcW w:w="42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(601)</w:t>
            </w:r>
          </w:p>
        </w:tc>
        <w:tc>
          <w:tcPr>
            <w:tcW w:w="0" w:type="dxa"/>
            <w:vAlign w:val="bottom"/>
          </w:tcPr>
          <w:p>
            <w:pPr>
              <w:spacing w:after="0"/>
              <w:rPr>
                <w:sz w:val="1"/>
                <w:szCs w:val="1"/>
                <w:color w:val="auto"/>
              </w:rPr>
            </w:pPr>
          </w:p>
        </w:tc>
      </w:tr>
      <w:tr>
        <w:trPr>
          <w:trHeight w:val="163"/>
        </w:trPr>
        <w:tc>
          <w:tcPr>
            <w:tcW w:w="6080" w:type="dxa"/>
            <w:vAlign w:val="bottom"/>
          </w:tcPr>
          <w:p>
            <w:pPr>
              <w:spacing w:after="0"/>
              <w:rPr>
                <w:sz w:val="14"/>
                <w:szCs w:val="14"/>
                <w:color w:val="auto"/>
              </w:rPr>
            </w:pPr>
          </w:p>
        </w:tc>
        <w:tc>
          <w:tcPr>
            <w:tcW w:w="13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3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F-64</w:t>
      </w:r>
    </w:p>
    <w:p>
      <w:pPr>
        <w:sectPr>
          <w:pgSz w:w="11900" w:h="16838" w:orient="portrait"/>
          <w:cols w:equalWidth="0" w:num="1">
            <w:col w:w="10159"/>
          </w:cols>
          <w:pgMar w:left="300" w:top="257"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4"/>
          <w:szCs w:val="14"/>
          <w:color w:val="auto"/>
        </w:rPr>
        <w:t>183</w:t>
      </w:r>
    </w:p>
    <w:p>
      <w:pPr>
        <w:spacing w:after="0" w:line="30"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14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6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DECEMBER 31, 1999 AND 1998</w:t>
      </w:r>
    </w:p>
    <w:p>
      <w:pPr>
        <w:spacing w:after="0" w:line="200" w:lineRule="exact"/>
        <w:rPr>
          <w:sz w:val="20"/>
          <w:szCs w:val="20"/>
          <w:color w:val="auto"/>
        </w:rPr>
      </w:pPr>
    </w:p>
    <w:p>
      <w:pPr>
        <w:spacing w:after="0" w:line="294" w:lineRule="exact"/>
        <w:rPr>
          <w:sz w:val="20"/>
          <w:szCs w:val="20"/>
          <w:color w:val="auto"/>
        </w:rPr>
      </w:pPr>
    </w:p>
    <w:p>
      <w:pPr>
        <w:ind w:left="340" w:hanging="333"/>
        <w:spacing w:after="0"/>
        <w:tabs>
          <w:tab w:leader="none" w:pos="3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FORMATION TRANSACTIONS</w:t>
      </w:r>
    </w:p>
    <w:p>
      <w:pPr>
        <w:spacing w:after="0" w:line="167" w:lineRule="exact"/>
        <w:rPr>
          <w:rFonts w:ascii="Courier New" w:cs="Courier New" w:eastAsia="Courier New" w:hAnsi="Courier New"/>
          <w:sz w:val="14"/>
          <w:szCs w:val="14"/>
          <w:color w:val="auto"/>
        </w:rPr>
      </w:pPr>
    </w:p>
    <w:p>
      <w:pPr>
        <w:ind w:left="340" w:right="33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Correctional Management Services Corporation, a Tennessee corporation, was formed on September 11, 1998, and changed its name to Corrections Corporation of America (the "Company") in 1999. The Company was formed in anticipation of the expected merger transactions (the "1999 Merger") between Corrections Corporation of America ("Old CCA"), CCA Prison Realty Trust ("Old Prison Realty") and Prison Realty Trust, Inc. ("Prison Realty", formerly Prison Realty Corporation). On September 22, 1998, the Company issued 5.0 million shares of Class A voting common stock to certain founding shareholders at par value. Additionally, on September 22, 1998, the Company issued 0.8 million restricted shares of Class A voting common stock to certain wardens of Old CCA facilities at the implied fair value of $3.9 million. Immediately prior to the acquisition of management contracts discussed in Note 2, the Company issued 3.5 million shares of Class A voting common stock to outside investors in consideration of cash proceeds totaling $16.0 million. The Company operates and manages prisons and other correctional facilities and provides prisoner transportation services for governmental agencies. In addition, the Chief Executive Officer of the Company is also the Chief Executive Officer of Prison Realty.</w:t>
      </w:r>
    </w:p>
    <w:p>
      <w:pPr>
        <w:spacing w:after="0" w:line="252" w:lineRule="exact"/>
        <w:rPr>
          <w:rFonts w:ascii="Courier New" w:cs="Courier New" w:eastAsia="Courier New" w:hAnsi="Courier New"/>
          <w:sz w:val="14"/>
          <w:szCs w:val="14"/>
          <w:color w:val="auto"/>
        </w:rPr>
      </w:pPr>
    </w:p>
    <w:p>
      <w:pPr>
        <w:ind w:left="340" w:right="3799" w:hanging="333"/>
        <w:spacing w:after="0" w:line="366" w:lineRule="auto"/>
        <w:tabs>
          <w:tab w:leader="none" w:pos="3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MANAGEMENT CONTRACTS AND OTHER RELATIONSHIPS WITH PRISON REALTY</w:t>
      </w:r>
    </w:p>
    <w:p>
      <w:pPr>
        <w:spacing w:after="0" w:line="5" w:lineRule="exact"/>
        <w:rPr>
          <w:rFonts w:ascii="Courier New" w:cs="Courier New" w:eastAsia="Courier New" w:hAnsi="Courier New"/>
          <w:sz w:val="14"/>
          <w:szCs w:val="14"/>
          <w:color w:val="auto"/>
        </w:rPr>
      </w:pPr>
    </w:p>
    <w:p>
      <w:pPr>
        <w:ind w:left="340" w:right="335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issuance of the Class A voting common stock discussed in Note 1, on December 31, 1998, the Company acquired all of the issued and outstanding capital stock of certain wholly-owned corporate subsidiaries of Old CCA, certain management contracts and certain other related assets and liabilities of Old CCA, and entered into a trade name use agreement with Old CCA, as described below. In exchange, the Company issued an installment promissory note in the principal amount of $137.0 million that bears interest at 12% per annum and is payable over 10 years (the "Promissory Note") and 1.0 million shares of the Company's Class B non-voting common stock, which represents 9.5% of the Company's outstanding stock. The Class B non-voting common stock was valued at the implied fair market value of $4.75 million.</w:t>
      </w:r>
    </w:p>
    <w:p>
      <w:pPr>
        <w:spacing w:after="0" w:line="82" w:lineRule="exact"/>
        <w:rPr>
          <w:rFonts w:ascii="Courier New" w:cs="Courier New" w:eastAsia="Courier New" w:hAnsi="Courier New"/>
          <w:sz w:val="14"/>
          <w:szCs w:val="14"/>
          <w:color w:val="auto"/>
        </w:rPr>
      </w:pPr>
    </w:p>
    <w:p>
      <w:pPr>
        <w:ind w:left="340" w:right="345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of the capital stock, the management contracts and related assets and liabilities was accounted for as a purchase transaction in accordance with Accounting Principles Board Opinion No. 16 "Business Combinations," and the aggregate purchase price of $141.8 million was allocated to the assets and liabilities acquired based on management's estimates of the fair value of the assets and liabilities acquired. An amount of $67.8 million was initially assigned to the value of the management contracts acquired and is being amortized over a fifteen-year period, which represents the average remaining lives of the contracts acquired plus any contractual renewal options. During 1999, the Company continued to evaluate the values assigned to the management contracts and the assets and liabilities acquired. As a result, the Company increased the value of the management contracts by approximately $4.4 million.</w:t>
      </w:r>
    </w:p>
    <w:p>
      <w:pPr>
        <w:spacing w:after="0" w:line="24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F-65</w:t>
      </w:r>
    </w:p>
    <w:p>
      <w:pPr>
        <w:sectPr>
          <w:pgSz w:w="11900" w:h="16838" w:orient="portrait"/>
          <w:cols w:equalWidth="0" w:num="1">
            <w:col w:w="10159"/>
          </w:cols>
          <w:pgMar w:left="300" w:top="257"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4"/>
          <w:szCs w:val="14"/>
          <w:color w:val="auto"/>
        </w:rPr>
        <w:t>184</w:t>
      </w:r>
    </w:p>
    <w:p>
      <w:pPr>
        <w:spacing w:after="0" w:line="3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TRADE NAME USE AGREEMENT</w:t>
      </w:r>
    </w:p>
    <w:p>
      <w:pPr>
        <w:spacing w:after="0" w:line="142" w:lineRule="exact"/>
        <w:rPr>
          <w:sz w:val="20"/>
          <w:szCs w:val="20"/>
          <w:color w:val="auto"/>
        </w:rPr>
      </w:pPr>
    </w:p>
    <w:p>
      <w:pPr>
        <w:ind w:left="80" w:right="3359"/>
        <w:spacing w:after="0" w:line="253" w:lineRule="auto"/>
        <w:rPr>
          <w:sz w:val="20"/>
          <w:szCs w:val="20"/>
          <w:color w:val="auto"/>
        </w:rPr>
      </w:pPr>
      <w:r>
        <w:rPr>
          <w:rFonts w:ascii="Courier New" w:cs="Courier New" w:eastAsia="Courier New" w:hAnsi="Courier New"/>
          <w:sz w:val="14"/>
          <w:szCs w:val="14"/>
          <w:color w:val="auto"/>
        </w:rPr>
        <w:t>On December 31, 1998, immediately prior to the 1999 Merger and in connection with the transactions described above, the Company entered into a trade name use agreement with Old CCA (the "Trade Name Use Agreement"). Under the Trade Name Use Agreement, which has a term of ten years, the Company obtained the right to use the name, "Corrections Corporation of America" and derivatives thereof, subject to specified terms and conditions therein. In consideration for such right, the Company agreed to pay a fee equal to (i) 2.75% of the Company's gross revenues for the first three years of the Trade Name Use Agreement, (ii) 3.25% of the Company's gross revenues for the following two years of the Trade Name Use Agreement, and (iii) 3.625% of the Company's gross revenues for the remaining term of the Trade Name Use Agreement, provided that the amount of such fee may not exceed (a) 2.75% of the gross revenues of Prison Realty for the first three years of the Trade Name Use Agreement, (b) 3.5% of Prison Realty's gross revenues for the following two years of the Trade Name Use Agreement, and (c) 3.875% of Prison Realty's gross revenues for the remaining term of the Trade Name Use Agreement. The Company incurred $8.7 million of operating expenses under the Trade Name Use Agreement for the year ended December 31, 1999, of which $6.5 million had been paid as of December 31, 1999.</w:t>
      </w:r>
    </w:p>
    <w:p>
      <w:pPr>
        <w:spacing w:after="0" w:line="8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CCA LEASES</w:t>
      </w:r>
    </w:p>
    <w:p>
      <w:pPr>
        <w:spacing w:after="0" w:line="168" w:lineRule="exact"/>
        <w:rPr>
          <w:sz w:val="20"/>
          <w:szCs w:val="20"/>
          <w:color w:val="auto"/>
        </w:rPr>
      </w:pPr>
    </w:p>
    <w:p>
      <w:pPr>
        <w:ind w:left="80" w:right="3359"/>
        <w:spacing w:after="0" w:line="263" w:lineRule="auto"/>
        <w:rPr>
          <w:sz w:val="20"/>
          <w:szCs w:val="20"/>
          <w:color w:val="auto"/>
        </w:rPr>
      </w:pPr>
      <w:r>
        <w:rPr>
          <w:rFonts w:ascii="Courier New" w:cs="Courier New" w:eastAsia="Courier New" w:hAnsi="Courier New"/>
          <w:sz w:val="14"/>
          <w:szCs w:val="14"/>
          <w:color w:val="auto"/>
        </w:rPr>
        <w:t>On January 1, 1999, the Company entered into a master lease agreement and leases with respect to the thirty-six leased properties with Prison Realty (the "CCA Leases"). The initial terms of the CCA Leases are 12 years and may be extended at fair market rates for three additional five-year periods upon the mutual agreement of the Company and Prison Realty. The Company incurred $263.5 million in gross lease expense under the CCA Leases for the year ended December 31, 1999, of which $238.6 million had been paid as of December 31, 1999.</w:t>
      </w:r>
    </w:p>
    <w:p>
      <w:pPr>
        <w:spacing w:after="0" w:line="77" w:lineRule="exact"/>
        <w:rPr>
          <w:sz w:val="20"/>
          <w:szCs w:val="20"/>
          <w:color w:val="auto"/>
        </w:rPr>
      </w:pPr>
    </w:p>
    <w:p>
      <w:pPr>
        <w:ind w:left="80" w:right="3359"/>
        <w:spacing w:after="0" w:line="257" w:lineRule="auto"/>
        <w:rPr>
          <w:sz w:val="20"/>
          <w:szCs w:val="20"/>
          <w:color w:val="auto"/>
        </w:rPr>
      </w:pPr>
      <w:r>
        <w:rPr>
          <w:rFonts w:ascii="Courier New" w:cs="Courier New" w:eastAsia="Courier New" w:hAnsi="Courier New"/>
          <w:sz w:val="14"/>
          <w:szCs w:val="14"/>
          <w:color w:val="auto"/>
        </w:rPr>
        <w:t>On December 31, 1999, Prison Realty and the Company amended the terms of the CCA Leases to change the annual base rent escalation formula with respect to each facility leased to the Company. Previously, the annual base rent payable with respect to each facility was subject to increase each year in an amount equal to a percentage of the total rental payments with respect to each facility, such percentage being the greater of (i) 4%; or (ii) 25% of the percentage increase of gross management revenue derived from such facility. As a result of this amendment, the annual base rent with respect to each facility is subject to increase each year in an amount equal to the lesser of: (i) 4% of the annualized yearly rental payments with respect to such facility; or (ii) 10% of the excess of the Company's aggregate gross management revenues for the prior year over a base amount of $325.0 million.</w:t>
      </w:r>
    </w:p>
    <w:p>
      <w:pPr>
        <w:spacing w:after="0" w:line="8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CCA RIGHT TO PURCHASE AGREEMENT</w:t>
      </w:r>
    </w:p>
    <w:p>
      <w:pPr>
        <w:spacing w:after="0" w:line="168" w:lineRule="exact"/>
        <w:rPr>
          <w:sz w:val="20"/>
          <w:szCs w:val="20"/>
          <w:color w:val="auto"/>
        </w:rPr>
      </w:pPr>
    </w:p>
    <w:p>
      <w:pPr>
        <w:ind w:left="80" w:right="3359"/>
        <w:spacing w:after="0" w:line="258" w:lineRule="auto"/>
        <w:rPr>
          <w:sz w:val="20"/>
          <w:szCs w:val="20"/>
          <w:color w:val="auto"/>
        </w:rPr>
      </w:pPr>
      <w:r>
        <w:rPr>
          <w:rFonts w:ascii="Courier New" w:cs="Courier New" w:eastAsia="Courier New" w:hAnsi="Courier New"/>
          <w:sz w:val="14"/>
          <w:szCs w:val="14"/>
          <w:color w:val="auto"/>
        </w:rPr>
        <w:t>Effective January 1, 1999, the Company and Prison Realty entered into a Right to Purchase Agreement (the "CCA Right to Purchase Agreement") pursuant to which the Company granted to Prison Realty the right to acquire and lease back to the Company at fair market rental rates, any correctional or detention facility acquired or developed and owned by the Company in the future for a period of ten years following the date inmates are first received at such facility. The initial annual rental rate on such facilities will be the fair market rental rate as determined by the Company and Prison Realty. Additionally, the Company granted Prison Realty the right of first refusal to acquire any Company-owned correctional or detention facility should the Company receive an acceptable</w:t>
      </w:r>
    </w:p>
    <w:p>
      <w:pPr>
        <w:spacing w:after="0" w:line="24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F-66</w:t>
      </w:r>
    </w:p>
    <w:p>
      <w:pPr>
        <w:sectPr>
          <w:pgSz w:w="11900" w:h="16838" w:orient="portrait"/>
          <w:cols w:equalWidth="0" w:num="1">
            <w:col w:w="9899"/>
          </w:cols>
          <w:pgMar w:left="560" w:top="257"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4"/>
          <w:szCs w:val="14"/>
          <w:color w:val="auto"/>
        </w:rPr>
        <w:t>185</w:t>
      </w:r>
    </w:p>
    <w:p>
      <w:pPr>
        <w:spacing w:after="0" w:line="30" w:lineRule="exact"/>
        <w:rPr>
          <w:sz w:val="20"/>
          <w:szCs w:val="20"/>
          <w:color w:val="auto"/>
        </w:rPr>
      </w:pPr>
    </w:p>
    <w:p>
      <w:pPr>
        <w:ind w:left="80" w:right="3619"/>
        <w:spacing w:after="0" w:line="286" w:lineRule="auto"/>
        <w:rPr>
          <w:sz w:val="20"/>
          <w:szCs w:val="20"/>
          <w:color w:val="auto"/>
        </w:rPr>
      </w:pPr>
      <w:r>
        <w:rPr>
          <w:rFonts w:ascii="Courier New" w:cs="Courier New" w:eastAsia="Courier New" w:hAnsi="Courier New"/>
          <w:sz w:val="14"/>
          <w:szCs w:val="14"/>
          <w:color w:val="auto"/>
        </w:rPr>
        <w:t>third party offer to acquire any such facility. The Company sold no facilities to Prison Realty during the year ended December 31, 1999 under the CCA Right to Purchase Agreement.</w:t>
      </w:r>
    </w:p>
    <w:p>
      <w:pPr>
        <w:spacing w:after="0" w:line="5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CCA SERVICES AGREEMENT</w:t>
      </w:r>
    </w:p>
    <w:p>
      <w:pPr>
        <w:spacing w:after="0" w:line="168" w:lineRule="exact"/>
        <w:rPr>
          <w:sz w:val="20"/>
          <w:szCs w:val="20"/>
          <w:color w:val="auto"/>
        </w:rPr>
      </w:pPr>
    </w:p>
    <w:p>
      <w:pPr>
        <w:ind w:left="80" w:right="3359"/>
        <w:spacing w:after="0" w:line="250"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services agreement (the "CCA Services Agreement") with Prison Realty pursuant to which the Company agreed to serve as a facilitator of the construction and development of additional facilities on behalf of Prison Realty for a term of five years from the date of the CCA Services Agreement. In such capacity, the Company will perform, at the direction of Prison Realty, such services as are customarily needed in the construction and development of correctional and detention facilities, including services related to construction of the facilities, project bidding, project design and governmental relations. In consideration for the performance of such services by the Company, Prison Realty agreed to pay a fee equal to 5% of the total capital expenditures (excluding the incentive fee discussed below and the 5% fee herein referred to) incurred in connection with the construction and development of a facility, plus an amount equal to approximately $560 (five hundred sixty dollars) per bed for facility preparation services provided by the Company prior to the date on which inmates are first received at such facility. The Company may receive payments up to an additional 5% of the total capital expenditures (as determined above) from Prison Realty if additional services are requested by Prison Realty. The Company has received a fee of 10% on a majority of the construction and development services provided to Prison Realty. Amounts that exceed the reimbursement of actual costs incurred by the Company on facilities the Company will lease from Prison Realty are being deferred and amortized as reductions in lease expense over the terms of the respective leases. The Company billed $41.6 million in fees under the CCA Services Agreement for the year ended December 31, 1999, of which $39.4 million had been collected as of December 31, 1999. The Company recognized $8.1 million as revenues for services provided on projects where the Company does not lease the facility from Prison Realty, $5.6 million as a reduction in operating expenses, and deferred $27.9 million as deferred credits, of which $0.1 million was amortized as a reduction in lease expense.</w:t>
      </w:r>
    </w:p>
    <w:p>
      <w:pPr>
        <w:spacing w:after="0" w:line="9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TENANT INCENTIVE AGREEMENT</w:t>
      </w:r>
    </w:p>
    <w:p>
      <w:pPr>
        <w:spacing w:after="0" w:line="168" w:lineRule="exact"/>
        <w:rPr>
          <w:sz w:val="20"/>
          <w:szCs w:val="20"/>
          <w:color w:val="auto"/>
        </w:rPr>
      </w:pPr>
    </w:p>
    <w:p>
      <w:pPr>
        <w:ind w:left="80" w:right="3359"/>
        <w:spacing w:after="0" w:line="252"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tenant incentive agreement with Prison Realty pursuant to which Prison Realty agreed to pay the Company an incentive fee to induce the Company to enter into leases with respect to those facilities developed and facilitated by the Company. The amount of the incentive fee was initially set at $840 (eight hundred forty dollars) per bed for each facility leased by the Company where the Company has served as developer and facilitator. On May 4, 1999, Prison Realty and the Company entered into an amended and restated tenant incentive agreement (the "Amended and Restated Tenant Incentive Agreement"), effective as of January 1, 1999, providing for (i) a tenant incentive fee of up to $4,000 (four thousand dollars) per bed payable with respect to all future facilities developed and facilitated by the Company, as well as certain other facilities which, although operational on January 1, 1999, had not achieved full occupancy, and (ii) an $840 (eight hundred forty dollars) per bed allowance for all beds in operation at the beginning of January 1999, approximately 21,500 (twenty-one thousand five hundred) beds, that were not subject to the tenant allowance in the first quarter of 1999. The term of the Amended and Restated Tenant Incentive Agreement is four years unless extended upon the written agreement of the Company and Prison Realty. The incentive fees received by the Company are being deferred and amortized as reductions in lease expense over the terms of the respective leases. The Company received $68.6 million in tenant incentive fees under</w:t>
      </w:r>
    </w:p>
    <w:p>
      <w:pPr>
        <w:spacing w:after="0" w:line="247"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F-67</w:t>
      </w:r>
    </w:p>
    <w:p>
      <w:pPr>
        <w:sectPr>
          <w:pgSz w:w="11900" w:h="16838" w:orient="portrait"/>
          <w:cols w:equalWidth="0" w:num="1">
            <w:col w:w="9899"/>
          </w:cols>
          <w:pgMar w:left="560" w:top="257" w:right="1440" w:bottom="1440" w:gutter="0" w:footer="0" w:header="0"/>
        </w:sectPr>
      </w:pPr>
    </w:p>
    <w:bookmarkStart w:id="187" w:name="page188"/>
    <w:bookmarkEnd w:id="187"/>
    <w:p>
      <w:pPr>
        <w:ind w:left="253"/>
        <w:spacing w:after="0"/>
        <w:rPr>
          <w:sz w:val="20"/>
          <w:szCs w:val="20"/>
          <w:color w:val="auto"/>
        </w:rPr>
      </w:pPr>
      <w:r>
        <w:rPr>
          <w:rFonts w:ascii="Courier New" w:cs="Courier New" w:eastAsia="Courier New" w:hAnsi="Courier New"/>
          <w:sz w:val="14"/>
          <w:szCs w:val="14"/>
          <w:color w:val="auto"/>
        </w:rPr>
        <w:t>186</w:t>
      </w:r>
    </w:p>
    <w:p>
      <w:pPr>
        <w:spacing w:after="0" w:line="30" w:lineRule="exact"/>
        <w:rPr>
          <w:sz w:val="20"/>
          <w:szCs w:val="20"/>
          <w:color w:val="auto"/>
        </w:rPr>
      </w:pPr>
    </w:p>
    <w:p>
      <w:pPr>
        <w:ind w:left="333" w:right="3359"/>
        <w:spacing w:after="0" w:line="273" w:lineRule="auto"/>
        <w:rPr>
          <w:sz w:val="20"/>
          <w:szCs w:val="20"/>
          <w:color w:val="auto"/>
        </w:rPr>
      </w:pPr>
      <w:r>
        <w:rPr>
          <w:rFonts w:ascii="Courier New" w:cs="Courier New" w:eastAsia="Courier New" w:hAnsi="Courier New"/>
          <w:sz w:val="14"/>
          <w:szCs w:val="14"/>
          <w:color w:val="auto"/>
        </w:rPr>
        <w:t>the Amended and Restated Tenant Incentive Agreement for the year ended December 31, 1999. The Company amortized $4.1 million as reductions in lease expense, with $64.5 million remaining in deferred credits at December 31, 1999.</w:t>
      </w:r>
    </w:p>
    <w:p>
      <w:pPr>
        <w:spacing w:after="0" w:line="68" w:lineRule="exact"/>
        <w:rPr>
          <w:sz w:val="20"/>
          <w:szCs w:val="20"/>
          <w:color w:val="auto"/>
        </w:rPr>
      </w:pPr>
    </w:p>
    <w:p>
      <w:pPr>
        <w:ind w:left="333"/>
        <w:spacing w:after="0"/>
        <w:rPr>
          <w:sz w:val="20"/>
          <w:szCs w:val="20"/>
          <w:color w:val="auto"/>
        </w:rPr>
      </w:pPr>
      <w:r>
        <w:rPr>
          <w:rFonts w:ascii="Courier New" w:cs="Courier New" w:eastAsia="Courier New" w:hAnsi="Courier New"/>
          <w:sz w:val="14"/>
          <w:szCs w:val="14"/>
          <w:color w:val="auto"/>
        </w:rPr>
        <w:t>BUSINESS DEVELOPMENT AGREEMENT</w:t>
      </w:r>
    </w:p>
    <w:p>
      <w:pPr>
        <w:spacing w:after="0" w:line="168" w:lineRule="exact"/>
        <w:rPr>
          <w:sz w:val="20"/>
          <w:szCs w:val="20"/>
          <w:color w:val="auto"/>
        </w:rPr>
      </w:pPr>
    </w:p>
    <w:p>
      <w:pPr>
        <w:ind w:left="333" w:right="3359"/>
        <w:spacing w:after="0" w:line="250" w:lineRule="auto"/>
        <w:rPr>
          <w:sz w:val="20"/>
          <w:szCs w:val="20"/>
          <w:color w:val="auto"/>
        </w:rPr>
      </w:pPr>
      <w:r>
        <w:rPr>
          <w:rFonts w:ascii="Courier New" w:cs="Courier New" w:eastAsia="Courier New" w:hAnsi="Courier New"/>
          <w:sz w:val="14"/>
          <w:szCs w:val="14"/>
          <w:color w:val="auto"/>
        </w:rPr>
        <w:t>Effective January 1, 1999, the Company entered into a business development agreement (the "Business Development Agreement") with Prison Realty which provides that the Company will perform, at the direction of Prison Realty, services designed to assist Prison Realty in identifying and obtaining new business. Such services include, but are not limited to, marketing and other business development services designed to increase awareness of Prison Realty and the facility development and construction services it offers, identifying potential facility sites and pursuing all applicable zoning approvals related thereto, identifying potential tenants for Prison Realty's facilities and negotiating agreements related to the acquisition of the new facility management contract for Prison Realty's tenants. Pursuant to the Business Development Agreement, Prison Realty will also reimburse the Company for expenses related to third-party entities providing government and community relations services to the Company, in connection with the provision of the business development services described above. In consideration for the Company's performance of the business development services, and in order to reimburse the Company for the third-party government and community relations expenses described above, Prison Realty has agreed to pay the Company a total fee equal to 4.5% of the total capital expenditures (excluding the amount of the tenant incentive fee and the services fee discussed above as well as the 4.5% fee referred to herein) incurred in connection with the construction and development of each new facility, or the construction and development of an addition to an existing facility, for which the Company performed business development services. The term of the Business Development Agreement is four years unless extended upon the written agreement of the Company and Prison Realty. The business development fees received by the Company are being deferred and amortized as reductions in lease expense over the terms of the respective leases. The Company received $15.0 million in fees under the Business Development Agreement for the year ended December 31, 1999. The Company amortized $0.2 million as reductions in lease expense, with $14.8 million remaining in deferred credits at December 31, 1999.</w:t>
      </w:r>
    </w:p>
    <w:p>
      <w:pPr>
        <w:spacing w:after="0" w:line="258" w:lineRule="exact"/>
        <w:rPr>
          <w:sz w:val="20"/>
          <w:szCs w:val="20"/>
          <w:color w:val="auto"/>
        </w:rPr>
      </w:pPr>
    </w:p>
    <w:p>
      <w:pPr>
        <w:ind w:left="333" w:hanging="333"/>
        <w:spacing w:after="0"/>
        <w:tabs>
          <w:tab w:leader="none" w:pos="333"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LIQUIDITY CONCERNS AND PROPOSED MERGER</w:t>
      </w:r>
    </w:p>
    <w:p>
      <w:pPr>
        <w:spacing w:after="0" w:line="167" w:lineRule="exact"/>
        <w:rPr>
          <w:rFonts w:ascii="Courier New" w:cs="Courier New" w:eastAsia="Courier New" w:hAnsi="Courier New"/>
          <w:sz w:val="14"/>
          <w:szCs w:val="14"/>
          <w:color w:val="auto"/>
        </w:rPr>
      </w:pPr>
    </w:p>
    <w:p>
      <w:pPr>
        <w:ind w:left="333" w:right="3539"/>
        <w:spacing w:after="0" w:line="28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incurred a net loss of $202.9 million for the year ended December 31, 1999, has negative working capital of $169.8 million at December 31, 1999 and has a net stockholders' deficit of $180.8 million at December 31, 1999.</w:t>
      </w:r>
    </w:p>
    <w:p>
      <w:pPr>
        <w:spacing w:after="0" w:line="59" w:lineRule="exact"/>
        <w:rPr>
          <w:rFonts w:ascii="Courier New" w:cs="Courier New" w:eastAsia="Courier New" w:hAnsi="Courier New"/>
          <w:sz w:val="14"/>
          <w:szCs w:val="14"/>
          <w:color w:val="auto"/>
        </w:rPr>
      </w:pPr>
    </w:p>
    <w:p>
      <w:pPr>
        <w:ind w:left="333" w:right="335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1999, the Company was in violation of certain provisions of its revolving credit facility (the "New Credit Facility"), including failure to comply with a financial covenant pertaining to the Company's net worth.</w:t>
      </w:r>
    </w:p>
    <w:p>
      <w:pPr>
        <w:spacing w:after="0" w:line="1" w:lineRule="exact"/>
        <w:rPr>
          <w:rFonts w:ascii="Courier New" w:cs="Courier New" w:eastAsia="Courier New" w:hAnsi="Courier New"/>
          <w:sz w:val="14"/>
          <w:szCs w:val="14"/>
          <w:color w:val="auto"/>
        </w:rPr>
      </w:pPr>
    </w:p>
    <w:p>
      <w:pPr>
        <w:ind w:left="333" w:right="345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default could cause further borrowings under the New Credit Facility to be limited or totally suspended and the due date of the outstanding borrowings may be accelerated. The amount outstanding under the New Credit Facility at December 31, 1999 was $16.2 million.</w:t>
      </w:r>
    </w:p>
    <w:p>
      <w:pPr>
        <w:spacing w:after="0" w:line="67" w:lineRule="exact"/>
        <w:rPr>
          <w:rFonts w:ascii="Courier New" w:cs="Courier New" w:eastAsia="Courier New" w:hAnsi="Courier New"/>
          <w:sz w:val="14"/>
          <w:szCs w:val="14"/>
          <w:color w:val="auto"/>
        </w:rPr>
      </w:pPr>
    </w:p>
    <w:p>
      <w:pPr>
        <w:ind w:left="333" w:right="3359"/>
        <w:spacing w:after="0" w:line="28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Rental payments of $24.9 million due to Prison Realty from the Company under the CCA Leases were unpaid as of December 31, 1999, while the terms of the CCA Leases provide that rental payments were due and payable on December 25, 1999. The terms of the CCA Leases provide that</w:t>
      </w:r>
    </w:p>
    <w:p>
      <w:pPr>
        <w:spacing w:after="0" w:line="222" w:lineRule="exact"/>
        <w:rPr>
          <w:sz w:val="20"/>
          <w:szCs w:val="20"/>
          <w:color w:val="auto"/>
        </w:rPr>
      </w:pPr>
    </w:p>
    <w:p>
      <w:pPr>
        <w:ind w:left="3213"/>
        <w:spacing w:after="0"/>
        <w:rPr>
          <w:sz w:val="20"/>
          <w:szCs w:val="20"/>
          <w:color w:val="auto"/>
        </w:rPr>
      </w:pPr>
      <w:r>
        <w:rPr>
          <w:rFonts w:ascii="Courier New" w:cs="Courier New" w:eastAsia="Courier New" w:hAnsi="Courier New"/>
          <w:sz w:val="14"/>
          <w:szCs w:val="14"/>
          <w:color w:val="auto"/>
        </w:rPr>
        <w:t>F-68</w:t>
      </w:r>
    </w:p>
    <w:p>
      <w:pPr>
        <w:sectPr>
          <w:pgSz w:w="11900" w:h="16838" w:orient="portrait"/>
          <w:cols w:equalWidth="0" w:num="1">
            <w:col w:w="10152"/>
          </w:cols>
          <w:pgMar w:left="307" w:top="257" w:right="1440" w:bottom="1440" w:gutter="0" w:footer="0" w:header="0"/>
        </w:sectPr>
      </w:pPr>
    </w:p>
    <w:bookmarkStart w:id="188" w:name="page189"/>
    <w:bookmarkEnd w:id="188"/>
    <w:p>
      <w:pPr>
        <w:spacing w:after="0"/>
        <w:rPr>
          <w:sz w:val="20"/>
          <w:szCs w:val="20"/>
          <w:color w:val="auto"/>
        </w:rPr>
      </w:pPr>
      <w:r>
        <w:rPr>
          <w:rFonts w:ascii="Courier New" w:cs="Courier New" w:eastAsia="Courier New" w:hAnsi="Courier New"/>
          <w:sz w:val="14"/>
          <w:szCs w:val="14"/>
          <w:color w:val="auto"/>
        </w:rPr>
        <w:t>187</w:t>
      </w:r>
    </w:p>
    <w:p>
      <w:pPr>
        <w:spacing w:after="0" w:line="168" w:lineRule="exact"/>
        <w:rPr>
          <w:sz w:val="20"/>
          <w:szCs w:val="20"/>
          <w:color w:val="auto"/>
        </w:rPr>
      </w:pPr>
    </w:p>
    <w:p>
      <w:pPr>
        <w:ind w:left="80" w:right="3359"/>
        <w:spacing w:after="0" w:line="261" w:lineRule="auto"/>
        <w:rPr>
          <w:sz w:val="20"/>
          <w:szCs w:val="20"/>
          <w:color w:val="auto"/>
        </w:rPr>
      </w:pPr>
      <w:r>
        <w:rPr>
          <w:rFonts w:ascii="Courier New" w:cs="Courier New" w:eastAsia="Courier New" w:hAnsi="Courier New"/>
          <w:sz w:val="14"/>
          <w:szCs w:val="14"/>
          <w:color w:val="auto"/>
        </w:rPr>
        <w:t>it shall be an event of default if the Company fails to pay any installment of rent within 15 days after notice of nonpayment from Prison Realty. The terms of the CCA Leases provide that Prison Realty has certain rights in the event of default, including the right to require the Company to relinquish the leased facilities. As of March 29, 2000, Prison Realty has not provided a notice of nonpayment to the Company and the amount of unpaid rentals related to 1999 totals $12.0 million. In addition, unpaid rentals related to periods subsequent to December 31, 1999 total approximately $77.7 million (unaudited) at March 29, 2000.</w:t>
      </w:r>
    </w:p>
    <w:p>
      <w:pPr>
        <w:spacing w:after="0" w:line="78" w:lineRule="exact"/>
        <w:rPr>
          <w:sz w:val="20"/>
          <w:szCs w:val="20"/>
          <w:color w:val="auto"/>
        </w:rPr>
      </w:pPr>
    </w:p>
    <w:p>
      <w:pPr>
        <w:ind w:left="80" w:right="3359"/>
        <w:spacing w:after="0" w:line="253" w:lineRule="auto"/>
        <w:rPr>
          <w:sz w:val="20"/>
          <w:szCs w:val="20"/>
          <w:color w:val="auto"/>
        </w:rPr>
      </w:pPr>
      <w:r>
        <w:rPr>
          <w:rFonts w:ascii="Courier New" w:cs="Courier New" w:eastAsia="Courier New" w:hAnsi="Courier New"/>
          <w:sz w:val="14"/>
          <w:szCs w:val="14"/>
          <w:color w:val="auto"/>
        </w:rPr>
        <w:t>As a result of the Company's current liquidity position, the Company has been required to defer the first scheduled payment of accrued interest on the $137.0 million Promissory Note payable to Prison Realty by the Company, which was due on December 31, 1999. Pursuant to the terms of a subordination agreement, dated as of March 1, 1999, by and between Prison Realty and the agent of the Company's New Credit Facility, the Company is prohibited from making scheduled interest payments on the Promissory Note if certain financial covenants relating to the Company's liquidity position are not met. On December 31, 1999, the Company was not in compliance with these financial covenants. Accordingly, the Company was prohibited from making the scheduled interest payment. Pursuant to the terms of the subordination agreement, Prison Realty is prohibited from accelerating the principal amount of the Promissory Note or taking any other action to enforce its rights under the provisions of the Promissory Note for so long as the New Credit Facility remains outstanding. However, the amount due under the Promissory Note has been classified as a current liability in the accompanying consolidated balance sheet at December 31, 1999, since the Company is in default under the Promissory Note's existing terms.</w:t>
      </w:r>
    </w:p>
    <w:p>
      <w:pPr>
        <w:spacing w:after="0" w:line="89" w:lineRule="exact"/>
        <w:rPr>
          <w:sz w:val="20"/>
          <w:szCs w:val="20"/>
          <w:color w:val="auto"/>
        </w:rPr>
      </w:pPr>
    </w:p>
    <w:p>
      <w:pPr>
        <w:ind w:left="80" w:right="3359"/>
        <w:spacing w:after="0" w:line="253" w:lineRule="auto"/>
        <w:rPr>
          <w:sz w:val="20"/>
          <w:szCs w:val="20"/>
          <w:color w:val="auto"/>
        </w:rPr>
      </w:pPr>
      <w:r>
        <w:rPr>
          <w:rFonts w:ascii="Courier New" w:cs="Courier New" w:eastAsia="Courier New" w:hAnsi="Courier New"/>
          <w:sz w:val="14"/>
          <w:szCs w:val="14"/>
          <w:color w:val="auto"/>
        </w:rPr>
        <w:t>Prison Realty, the Company's lessor, is also not in compliance with certain of its debt convenants. In order to address the liquidity and capital needs of both the Company and Prison Realty, the boards of directors of the Company and Prison Realty, as well as the boards of directors of two related service companies, Prison Management Services, Inc. ("PMSI") and Juvenile and Jail Facility Management Services, Inc. ("JJFMSI") approved the formation of a special coordinating committee to monitor the financial situation of both Prison Realty and the Company and to coordinate with the companies' advisors regarding the consideration of strategic alternatives. Based on the strategic alternatives considered, (i) the Company's Board of Directors has approved a proposed merger with Prison Realty, (ii) the Company and Prison Realty currently intend to amend the terms of the CCA Leases and the terms of various other agreements between the Company and Prison Realty, and (iii) the Company is negotiating to obtain waivers of the default under the New Credit Facility, all of which are discussed in more detail below. In addition, Prison Realty is in separate negotiations with one or more groups of investors to make an equity investment in Prison Realty (the "Potential Prison Realty Equity Investment"), and currently expects that the completion of the proposed merger will be a condition to the Potential Prison Realty Equity Investment.</w:t>
      </w:r>
    </w:p>
    <w:p>
      <w:pPr>
        <w:spacing w:after="0" w:line="81" w:lineRule="exact"/>
        <w:rPr>
          <w:sz w:val="20"/>
          <w:szCs w:val="20"/>
          <w:color w:val="auto"/>
        </w:rPr>
      </w:pPr>
    </w:p>
    <w:p>
      <w:pPr>
        <w:ind w:left="80" w:right="3359"/>
        <w:spacing w:after="0" w:line="270" w:lineRule="auto"/>
        <w:rPr>
          <w:sz w:val="20"/>
          <w:szCs w:val="20"/>
          <w:color w:val="auto"/>
        </w:rPr>
      </w:pPr>
      <w:r>
        <w:rPr>
          <w:rFonts w:ascii="Courier New" w:cs="Courier New" w:eastAsia="Courier New" w:hAnsi="Courier New"/>
          <w:sz w:val="14"/>
          <w:szCs w:val="14"/>
          <w:color w:val="auto"/>
        </w:rPr>
        <w:t>As discussed above, the Company's Board of Directors has approved a proposed merger and related transactions pursuant to which the Company will combine with Prison Realty, and the two related service companies, PMSI and JJFMSI (the "Proposed Merger"). The boards of directors of Prison Realty, PMSI, and JJFMSI have also approved the Proposed Merger, which is subject to shareholder approval by each entity's stockholders.</w:t>
      </w:r>
    </w:p>
    <w:p>
      <w:pPr>
        <w:spacing w:after="0" w:line="71" w:lineRule="exact"/>
        <w:rPr>
          <w:sz w:val="20"/>
          <w:szCs w:val="20"/>
          <w:color w:val="auto"/>
        </w:rPr>
      </w:pPr>
    </w:p>
    <w:p>
      <w:pPr>
        <w:ind w:left="80" w:right="3359"/>
        <w:spacing w:after="0" w:line="263" w:lineRule="auto"/>
        <w:rPr>
          <w:sz w:val="20"/>
          <w:szCs w:val="20"/>
          <w:color w:val="auto"/>
        </w:rPr>
      </w:pPr>
      <w:r>
        <w:rPr>
          <w:rFonts w:ascii="Courier New" w:cs="Courier New" w:eastAsia="Courier New" w:hAnsi="Courier New"/>
          <w:sz w:val="14"/>
          <w:szCs w:val="14"/>
          <w:color w:val="auto"/>
        </w:rPr>
        <w:t>The terms of the Proposed Merger specify that non-outside investor shareholders of the Company will obtain the right to receive shares of Prison Realty common stock valued at approximately $10.6 million in exchange for shares of the Company that those shareholders own at the consummation of the Proposed Merger. Immediately prior to the Proposed Merger, the outside investors holding shares of the Company will receive approximately $16.0 million in cash from Prison Realty for the sale of shares of the Company common stock held by those outside investors. Additionally, the</w:t>
      </w:r>
    </w:p>
    <w:p>
      <w:pPr>
        <w:spacing w:after="0" w:line="24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F-69</w:t>
      </w:r>
    </w:p>
    <w:p>
      <w:pPr>
        <w:sectPr>
          <w:pgSz w:w="11900" w:h="16838" w:orient="portrait"/>
          <w:cols w:equalWidth="0" w:num="1">
            <w:col w:w="9899"/>
          </w:cols>
          <w:pgMar w:left="560" w:top="257" w:right="1440" w:bottom="1440" w:gutter="0" w:footer="0" w:header="0"/>
        </w:sectPr>
      </w:pPr>
    </w:p>
    <w:bookmarkStart w:id="189" w:name="page190"/>
    <w:bookmarkEnd w:id="189"/>
    <w:p>
      <w:pPr>
        <w:spacing w:after="0"/>
        <w:rPr>
          <w:sz w:val="20"/>
          <w:szCs w:val="20"/>
          <w:color w:val="auto"/>
        </w:rPr>
      </w:pPr>
      <w:r>
        <w:rPr>
          <w:rFonts w:ascii="Courier New" w:cs="Courier New" w:eastAsia="Courier New" w:hAnsi="Courier New"/>
          <w:sz w:val="14"/>
          <w:szCs w:val="14"/>
          <w:color w:val="auto"/>
        </w:rPr>
        <w:t>188</w:t>
      </w:r>
    </w:p>
    <w:p>
      <w:pPr>
        <w:spacing w:after="0" w:line="30" w:lineRule="exact"/>
        <w:rPr>
          <w:sz w:val="20"/>
          <w:szCs w:val="20"/>
          <w:color w:val="auto"/>
        </w:rPr>
      </w:pPr>
    </w:p>
    <w:p>
      <w:pPr>
        <w:jc w:val="both"/>
        <w:ind w:left="80" w:right="3359"/>
        <w:spacing w:after="0" w:line="286" w:lineRule="auto"/>
        <w:rPr>
          <w:sz w:val="20"/>
          <w:szCs w:val="20"/>
          <w:color w:val="auto"/>
        </w:rPr>
      </w:pPr>
      <w:r>
        <w:rPr>
          <w:rFonts w:ascii="Courier New" w:cs="Courier New" w:eastAsia="Courier New" w:hAnsi="Courier New"/>
          <w:sz w:val="14"/>
          <w:szCs w:val="14"/>
          <w:color w:val="auto"/>
        </w:rPr>
        <w:t>terms of the Proposed Merger specify that the $137.0 million Promissory Note due to Prison Realty will be valued at the carrying amount as consideration in the Proposed Merger.</w:t>
      </w:r>
    </w:p>
    <w:p>
      <w:pPr>
        <w:spacing w:after="0" w:line="59" w:lineRule="exact"/>
        <w:rPr>
          <w:sz w:val="20"/>
          <w:szCs w:val="20"/>
          <w:color w:val="auto"/>
        </w:rPr>
      </w:pPr>
    </w:p>
    <w:p>
      <w:pPr>
        <w:ind w:left="80" w:right="3359"/>
        <w:spacing w:after="0" w:line="260" w:lineRule="auto"/>
        <w:rPr>
          <w:sz w:val="20"/>
          <w:szCs w:val="20"/>
          <w:color w:val="auto"/>
        </w:rPr>
      </w:pPr>
      <w:r>
        <w:rPr>
          <w:rFonts w:ascii="Courier New" w:cs="Courier New" w:eastAsia="Courier New" w:hAnsi="Courier New"/>
          <w:sz w:val="14"/>
          <w:szCs w:val="14"/>
          <w:color w:val="auto"/>
        </w:rPr>
        <w:t>Approval of the Proposed Merger requires the affirmative vote of 80% of the outstanding shares of the Company's common stock (class A and class B voting together as a single class). Management anticipates that a special meeting of the shareholders of the Company will be held for the purpose of voting upon the Proposed Merger. In addition, pursuant to the terms of an agreement between the Company and a shareholder, Baron Capital Group, Inc, ("Baron"), the Proposed Merger must be approved separately by Baron. A purported class action lawsuit has been filed against Prison Realty seeking an injunction preventing the completion of the Proposed Merger and the Potential Prison Realty Equity Investment.</w:t>
      </w:r>
    </w:p>
    <w:p>
      <w:pPr>
        <w:spacing w:after="0" w:line="76" w:lineRule="exact"/>
        <w:rPr>
          <w:sz w:val="20"/>
          <w:szCs w:val="20"/>
          <w:color w:val="auto"/>
        </w:rPr>
      </w:pPr>
    </w:p>
    <w:p>
      <w:pPr>
        <w:ind w:left="80" w:right="3359"/>
        <w:spacing w:after="0" w:line="254" w:lineRule="auto"/>
        <w:rPr>
          <w:sz w:val="20"/>
          <w:szCs w:val="20"/>
          <w:color w:val="auto"/>
        </w:rPr>
      </w:pPr>
      <w:r>
        <w:rPr>
          <w:rFonts w:ascii="Courier New" w:cs="Courier New" w:eastAsia="Courier New" w:hAnsi="Courier New"/>
          <w:sz w:val="14"/>
          <w:szCs w:val="14"/>
          <w:color w:val="auto"/>
        </w:rPr>
        <w:t>In an effort to address the Company's liquidity needs prior to the Proposed Merger, Prison Realty and the Company currently intend to amend the terms of the CCA Leases. Pursuant to this proposed amendment, rent will be payable on each June 30 and December 31, instead of monthly. In addition, the proposed amendment provides that the Company is required to make certain scheduled monthly installment payments to Prison Realty from January 1, 2000 through June 30, 2000. Approximately $12.9 million was paid February 14, 2000, and future payments are anticipated to be $12.0 million due in April 2000, $4.0 million due April 30, 2000, $6.0 million due May 31, 2000 and $8.0 million due June 30, 2000. At the time these installment payments are made, the Company will also be required to pay interest to Prison Realty upon such payments at a rate equal to the then current interest rate under the New Credit Facility. These installment payments represent the Company's December 1999 lease payments and a portion of the rent accruing from January 1, 2000 to June 30, 2000. The accrued but unpaid rent which will have accrued at June 30, 2000, totaling $137.3 million, shall be due and payable on June 30, 2000.</w:t>
      </w:r>
    </w:p>
    <w:p>
      <w:pPr>
        <w:spacing w:after="0" w:line="82" w:lineRule="exact"/>
        <w:rPr>
          <w:sz w:val="20"/>
          <w:szCs w:val="20"/>
          <w:color w:val="auto"/>
        </w:rPr>
      </w:pPr>
    </w:p>
    <w:p>
      <w:pPr>
        <w:ind w:left="80" w:right="3459"/>
        <w:spacing w:after="0" w:line="270" w:lineRule="auto"/>
        <w:rPr>
          <w:sz w:val="20"/>
          <w:szCs w:val="20"/>
          <w:color w:val="auto"/>
        </w:rPr>
      </w:pPr>
      <w:r>
        <w:rPr>
          <w:rFonts w:ascii="Courier New" w:cs="Courier New" w:eastAsia="Courier New" w:hAnsi="Courier New"/>
          <w:sz w:val="14"/>
          <w:szCs w:val="14"/>
          <w:color w:val="auto"/>
        </w:rPr>
        <w:t>Prison Realty and the Company also currently intend to amend certain agreements (the Business Development Agreement, the CCA Services Agreement and the Amended and Restated Tenant Incentive Agreement) between Prison Realty and the Company to provide for the deferral of the payment of all fees under these agreements by Prison Realty to the Company until September 30, 2000.</w:t>
      </w:r>
    </w:p>
    <w:p>
      <w:pPr>
        <w:spacing w:after="0" w:line="71" w:lineRule="exact"/>
        <w:rPr>
          <w:sz w:val="20"/>
          <w:szCs w:val="20"/>
          <w:color w:val="auto"/>
        </w:rPr>
      </w:pPr>
    </w:p>
    <w:p>
      <w:pPr>
        <w:ind w:left="80" w:right="3359"/>
        <w:spacing w:after="0" w:line="260" w:lineRule="auto"/>
        <w:rPr>
          <w:sz w:val="20"/>
          <w:szCs w:val="20"/>
          <w:color w:val="auto"/>
        </w:rPr>
      </w:pPr>
      <w:r>
        <w:rPr>
          <w:rFonts w:ascii="Courier New" w:cs="Courier New" w:eastAsia="Courier New" w:hAnsi="Courier New"/>
          <w:sz w:val="14"/>
          <w:szCs w:val="14"/>
          <w:color w:val="auto"/>
        </w:rPr>
        <w:t>The terms of the Company's New Credit Facility provide that the Company shall not amend or modify the terms of the CCA Services Agreement, the Amended and Restated Tenant Incentive Agreement and the Business Development Agreement in any manner which is on terms and conditions less favorable to the Company than are in effect immediately prior to such amendment or modification. If the proposed amendments to these agreements are completed, these actions will be in violation of the New Credit Facility. The terms of the New Credit Facility also provide that the execution of the Proposed Merger agreement in December 1999 resulted in an event of default under the New Credit Facility.</w:t>
      </w:r>
    </w:p>
    <w:p>
      <w:pPr>
        <w:spacing w:after="0" w:line="76" w:lineRule="exact"/>
        <w:rPr>
          <w:sz w:val="20"/>
          <w:szCs w:val="20"/>
          <w:color w:val="auto"/>
        </w:rPr>
      </w:pPr>
    </w:p>
    <w:p>
      <w:pPr>
        <w:ind w:left="80" w:right="3359"/>
        <w:spacing w:after="0" w:line="261" w:lineRule="auto"/>
        <w:rPr>
          <w:sz w:val="20"/>
          <w:szCs w:val="20"/>
          <w:color w:val="auto"/>
        </w:rPr>
      </w:pPr>
      <w:r>
        <w:rPr>
          <w:rFonts w:ascii="Courier New" w:cs="Courier New" w:eastAsia="Courier New" w:hAnsi="Courier New"/>
          <w:sz w:val="14"/>
          <w:szCs w:val="14"/>
          <w:color w:val="auto"/>
        </w:rPr>
        <w:t>The Company has initiated discussions with the agent of the New Credit Facility, and has requested the consent of the requisite percentage of its participating lenders for a waiver of the restrictions relating to: (i) the amendment of Prison Realty's agreements with the Company; (ii) the execution of the Proposed Merger, (iii) the Company's deferral of certain payments under the CCA Leases and (iv) the financial covenants concerning the Company's net worth. The Company has requested that the waivers remain in effect until the earlier of July 31, 2000 or the completion of the Potential Prison Realty Equity Investment and Proposed Merger.</w:t>
      </w:r>
    </w:p>
    <w:p>
      <w:pPr>
        <w:spacing w:after="0" w:line="2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F-70</w:t>
      </w:r>
    </w:p>
    <w:p>
      <w:pPr>
        <w:sectPr>
          <w:pgSz w:w="11900" w:h="16838" w:orient="portrait"/>
          <w:cols w:equalWidth="0" w:num="1">
            <w:col w:w="9899"/>
          </w:cols>
          <w:pgMar w:left="560" w:top="257" w:right="1440" w:bottom="1440" w:gutter="0" w:footer="0" w:header="0"/>
        </w:sectPr>
      </w:pPr>
    </w:p>
    <w:bookmarkStart w:id="190" w:name="page191"/>
    <w:bookmarkEnd w:id="190"/>
    <w:p>
      <w:pPr>
        <w:ind w:left="253"/>
        <w:spacing w:after="0"/>
        <w:rPr>
          <w:sz w:val="20"/>
          <w:szCs w:val="20"/>
          <w:color w:val="auto"/>
        </w:rPr>
      </w:pPr>
      <w:r>
        <w:rPr>
          <w:rFonts w:ascii="Courier New" w:cs="Courier New" w:eastAsia="Courier New" w:hAnsi="Courier New"/>
          <w:sz w:val="14"/>
          <w:szCs w:val="14"/>
          <w:color w:val="auto"/>
        </w:rPr>
        <w:t>189</w:t>
      </w:r>
    </w:p>
    <w:p>
      <w:pPr>
        <w:spacing w:after="0" w:line="30" w:lineRule="exact"/>
        <w:rPr>
          <w:sz w:val="20"/>
          <w:szCs w:val="20"/>
          <w:color w:val="auto"/>
        </w:rPr>
      </w:pPr>
    </w:p>
    <w:p>
      <w:pPr>
        <w:ind w:left="333" w:right="3359"/>
        <w:spacing w:after="0" w:line="251" w:lineRule="auto"/>
        <w:rPr>
          <w:sz w:val="20"/>
          <w:szCs w:val="20"/>
          <w:color w:val="auto"/>
        </w:rPr>
      </w:pPr>
      <w:r>
        <w:rPr>
          <w:rFonts w:ascii="Courier New" w:cs="Courier New" w:eastAsia="Courier New" w:hAnsi="Courier New"/>
          <w:sz w:val="14"/>
          <w:szCs w:val="14"/>
          <w:color w:val="auto"/>
        </w:rPr>
        <w:t>There can be no assurance that the requisite participating lenders under the New Credit Facility will consent to the proposed waivers of the New Credit Facility or will not seek to declare an event of default prior to such date. In the event the Company is unable to obtain the necessary waivers or to comply with and maintain the proposed waivers, the participating lenders are entitled, at their discretion, to exercise certain remedies, including acceleration of the outstanding borrowings and suspension of further borrowings under the New Credit Facility. Upon the occurrence and during the continuation of a default, the terms of the New Credit Facility allow the lenders to increase the current interest rate (Prime plus 2.5%) by an additional 3.0% to a default rate. As of March 29, 2000, the lenders have not notified the Company of an event of default, and the Company is not currently subject to the default rate. If the participating lenders elect to exercise their rights to accelerate the Company's obligations under the New Credit Facility, and/or if the participating lenders do not consent to the proposed waivers, such events would have a material adverse effect on the Company's liquidity and financial position. The Company does not have sufficient working capital in the event of an acceleration of the due dates of the New Credit Facility.</w:t>
      </w:r>
    </w:p>
    <w:p>
      <w:pPr>
        <w:spacing w:after="0" w:line="84" w:lineRule="exact"/>
        <w:rPr>
          <w:sz w:val="20"/>
          <w:szCs w:val="20"/>
          <w:color w:val="auto"/>
        </w:rPr>
      </w:pPr>
    </w:p>
    <w:p>
      <w:pPr>
        <w:ind w:left="333" w:right="3459"/>
        <w:spacing w:after="0" w:line="263" w:lineRule="auto"/>
        <w:rPr>
          <w:sz w:val="20"/>
          <w:szCs w:val="20"/>
          <w:color w:val="auto"/>
        </w:rPr>
      </w:pPr>
      <w:r>
        <w:rPr>
          <w:rFonts w:ascii="Courier New" w:cs="Courier New" w:eastAsia="Courier New" w:hAnsi="Courier New"/>
          <w:sz w:val="14"/>
          <w:szCs w:val="14"/>
          <w:color w:val="auto"/>
        </w:rPr>
        <w:t>In addition to requiring the consent of the Company's lenders, the completion of the proposed amendments described above are also subject to the consent of Prison Realty's lenders. No assurance can be given that such consents will be obtained or that Prison Realty's lenders will not seek to declare an event of default prior to the effectiveness of the consents. If Prison Realty does not obtain the proposed waivers and consents, Prison Realty's lenders could exercise certain remedies including the acceleration of Prison Realty's outstanding borrowings.</w:t>
      </w:r>
    </w:p>
    <w:p>
      <w:pPr>
        <w:spacing w:after="0" w:line="77" w:lineRule="exact"/>
        <w:rPr>
          <w:sz w:val="20"/>
          <w:szCs w:val="20"/>
          <w:color w:val="auto"/>
        </w:rPr>
      </w:pPr>
    </w:p>
    <w:p>
      <w:pPr>
        <w:ind w:left="333" w:right="3359"/>
        <w:spacing w:after="0" w:line="257"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the Company will continue as a going concern and do not reflect any adjustments that might result if the Company is unable to continue as a going concern. The Company's outstanding amounts due to Prison Realty, recent net losses, negative cash flows from operations, negative working capital and net stockholders' deficit, along with existing defaults under its New Credit Facility and the Promissory Note raise substantial doubt about the Company's ability to continue as a going concern. The consolidated financial statements do not include any adjustments relating to recoverability and classification of recorded asset amounts or the amount and classification of liabilities that might be necessary should the Company be unable to continue as a going concern.</w:t>
      </w:r>
    </w:p>
    <w:p>
      <w:pPr>
        <w:spacing w:after="0" w:line="245" w:lineRule="exact"/>
        <w:rPr>
          <w:sz w:val="20"/>
          <w:szCs w:val="20"/>
          <w:color w:val="auto"/>
        </w:rPr>
      </w:pPr>
    </w:p>
    <w:p>
      <w:pPr>
        <w:ind w:left="333" w:right="4039" w:hanging="333"/>
        <w:spacing w:after="0" w:line="493" w:lineRule="auto"/>
        <w:tabs>
          <w:tab w:leader="none" w:pos="333"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 BASIS OF PRESENTATION</w:t>
      </w:r>
    </w:p>
    <w:p>
      <w:pPr>
        <w:ind w:left="333" w:right="3359"/>
        <w:spacing w:after="0" w:line="26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had no operations prior to January 1, 1999. As such, the accompanying consolidated financial statements represent the Company's consolidated financial position as of December 31, 1999 and 1998, the related consolidated statement of operations for the year ended December 31, 1999, and the Company's consolidated cash flows and consolidated activity in stockholders' equity for the year ended December 31, 1999, and for the period from September 11, 1998 (inception) through December 31, 1998. All material intercompany balances have been eliminated in consolidation.</w:t>
      </w:r>
    </w:p>
    <w:p>
      <w:pPr>
        <w:spacing w:after="0" w:line="240" w:lineRule="exact"/>
        <w:rPr>
          <w:sz w:val="20"/>
          <w:szCs w:val="20"/>
          <w:color w:val="auto"/>
        </w:rPr>
      </w:pPr>
    </w:p>
    <w:p>
      <w:pPr>
        <w:ind w:left="3213"/>
        <w:spacing w:after="0"/>
        <w:rPr>
          <w:sz w:val="20"/>
          <w:szCs w:val="20"/>
          <w:color w:val="auto"/>
        </w:rPr>
      </w:pPr>
      <w:r>
        <w:rPr>
          <w:rFonts w:ascii="Courier New" w:cs="Courier New" w:eastAsia="Courier New" w:hAnsi="Courier New"/>
          <w:sz w:val="14"/>
          <w:szCs w:val="14"/>
          <w:color w:val="auto"/>
        </w:rPr>
        <w:t>F-71</w:t>
      </w:r>
    </w:p>
    <w:p>
      <w:pPr>
        <w:sectPr>
          <w:pgSz w:w="11900" w:h="16838" w:orient="portrait"/>
          <w:cols w:equalWidth="0" w:num="1">
            <w:col w:w="10152"/>
          </w:cols>
          <w:pgMar w:left="307" w:top="257"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4"/>
          <w:szCs w:val="14"/>
          <w:color w:val="auto"/>
        </w:rPr>
        <w:t>190</w:t>
      </w:r>
    </w:p>
    <w:p>
      <w:pPr>
        <w:spacing w:after="0" w:line="3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CASH AND CASH EQUIVALENTS</w:t>
      </w:r>
    </w:p>
    <w:p>
      <w:pPr>
        <w:spacing w:after="0" w:line="142" w:lineRule="exact"/>
        <w:rPr>
          <w:sz w:val="20"/>
          <w:szCs w:val="20"/>
          <w:color w:val="auto"/>
        </w:rPr>
      </w:pPr>
    </w:p>
    <w:p>
      <w:pPr>
        <w:ind w:left="80" w:right="3619"/>
        <w:spacing w:after="0" w:line="366" w:lineRule="auto"/>
        <w:rPr>
          <w:sz w:val="20"/>
          <w:szCs w:val="20"/>
          <w:color w:val="auto"/>
        </w:rPr>
      </w:pPr>
      <w:r>
        <w:rPr>
          <w:rFonts w:ascii="Courier New" w:cs="Courier New" w:eastAsia="Courier New" w:hAnsi="Courier New"/>
          <w:sz w:val="14"/>
          <w:szCs w:val="14"/>
          <w:color w:val="auto"/>
        </w:rPr>
        <w:t>The Company considers all highly liquid debt instruments with an original maturity of three months or less to be cash equivalents.</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DEBT ISSUANCE COSTS</w:t>
      </w:r>
    </w:p>
    <w:p>
      <w:pPr>
        <w:spacing w:after="0" w:line="168" w:lineRule="exact"/>
        <w:rPr>
          <w:sz w:val="20"/>
          <w:szCs w:val="20"/>
          <w:color w:val="auto"/>
        </w:rPr>
      </w:pPr>
    </w:p>
    <w:p>
      <w:pPr>
        <w:ind w:left="80" w:right="3459"/>
        <w:spacing w:after="0" w:line="366" w:lineRule="auto"/>
        <w:rPr>
          <w:sz w:val="20"/>
          <w:szCs w:val="20"/>
          <w:color w:val="auto"/>
        </w:rPr>
      </w:pPr>
      <w:r>
        <w:rPr>
          <w:rFonts w:ascii="Courier New" w:cs="Courier New" w:eastAsia="Courier New" w:hAnsi="Courier New"/>
          <w:sz w:val="14"/>
          <w:szCs w:val="14"/>
          <w:color w:val="auto"/>
        </w:rPr>
        <w:t>Debt issuance costs are amortized on a straight-line basis over the life of the related debt. This amortization is charged to interest expense.</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PROPERTY AND EQUIPMENT</w:t>
      </w:r>
    </w:p>
    <w:p>
      <w:pPr>
        <w:spacing w:after="0" w:line="168" w:lineRule="exact"/>
        <w:rPr>
          <w:sz w:val="20"/>
          <w:szCs w:val="20"/>
          <w:color w:val="auto"/>
        </w:rPr>
      </w:pPr>
    </w:p>
    <w:p>
      <w:pPr>
        <w:ind w:left="80" w:right="3459"/>
        <w:spacing w:after="0" w:line="263" w:lineRule="auto"/>
        <w:rPr>
          <w:sz w:val="20"/>
          <w:szCs w:val="20"/>
          <w:color w:val="auto"/>
        </w:rPr>
      </w:pPr>
      <w:r>
        <w:rPr>
          <w:rFonts w:ascii="Courier New" w:cs="Courier New" w:eastAsia="Courier New" w:hAnsi="Courier New"/>
          <w:sz w:val="14"/>
          <w:szCs w:val="14"/>
          <w:color w:val="auto"/>
        </w:rPr>
        <w:t>Property and equipment is carried at cost. Betterments, renewals and extraordinary repairs that extend the life of the asset are capitalized; other repairs and maintenance are expensed. The cost and accumulated depreciation applicable to assets retired are removed from the accounts and the gain or loss on disposition is recognized in income. Depreciation is computed by the straight-line method for financial reporting purposes and accelerated methods for tax reporting purposes based upon the estimated useful lives of the related assets.</w:t>
      </w:r>
    </w:p>
    <w:p>
      <w:pPr>
        <w:spacing w:after="0" w:line="7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INCOME TAXES</w:t>
      </w:r>
    </w:p>
    <w:p>
      <w:pPr>
        <w:spacing w:after="0" w:line="168" w:lineRule="exact"/>
        <w:rPr>
          <w:sz w:val="20"/>
          <w:szCs w:val="20"/>
          <w:color w:val="auto"/>
        </w:rPr>
      </w:pPr>
    </w:p>
    <w:p>
      <w:pPr>
        <w:ind w:left="80" w:right="3619"/>
        <w:spacing w:after="0" w:line="276" w:lineRule="auto"/>
        <w:rPr>
          <w:sz w:val="20"/>
          <w:szCs w:val="20"/>
          <w:color w:val="auto"/>
        </w:rPr>
      </w:pPr>
      <w:r>
        <w:rPr>
          <w:rFonts w:ascii="Courier New" w:cs="Courier New" w:eastAsia="Courier New" w:hAnsi="Courier New"/>
          <w:sz w:val="14"/>
          <w:szCs w:val="14"/>
          <w:color w:val="auto"/>
        </w:rPr>
        <w:t>Income taxes are accounted for under the provisions of Statement of Financial Accounting Standards ("SFAS") No. 109, "Accounting for Income Taxes." This statement generally requires the Company to record deferred income taxes for the differences between book and tax bases of its assets and liabilities.</w:t>
      </w:r>
    </w:p>
    <w:p>
      <w:pPr>
        <w:spacing w:after="0" w:line="6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MANAGEMENT CONTRACTS</w:t>
      </w:r>
    </w:p>
    <w:p>
      <w:pPr>
        <w:spacing w:after="0" w:line="168" w:lineRule="exact"/>
        <w:rPr>
          <w:sz w:val="20"/>
          <w:szCs w:val="20"/>
          <w:color w:val="auto"/>
        </w:rPr>
      </w:pPr>
    </w:p>
    <w:p>
      <w:pPr>
        <w:ind w:left="80" w:right="3359"/>
        <w:spacing w:after="0" w:line="260" w:lineRule="auto"/>
        <w:rPr>
          <w:sz w:val="20"/>
          <w:szCs w:val="20"/>
          <w:color w:val="auto"/>
        </w:rPr>
      </w:pPr>
      <w:r>
        <w:rPr>
          <w:rFonts w:ascii="Courier New" w:cs="Courier New" w:eastAsia="Courier New" w:hAnsi="Courier New"/>
          <w:sz w:val="14"/>
          <w:szCs w:val="14"/>
          <w:color w:val="auto"/>
        </w:rPr>
        <w:t>In connection with the acquisition of management contracts discussed in Note 2, the Company obtained contracts with various governmental entities to manage their facilities for fixed per diem rates. These contracts usually contain expiration dates with renewal options ranging from annual to multi-year renewals. The Company expects to renew these contracts for periods consistent with the remaining renewal options allowed by the contracts or other reasonable extensions. Fixed per diem revenue is recorded based on the per diem rate multiplied by the number of inmates housed during the respective period. The Company recognizes any additional management service revenues when earned or awarded by the respective authorities.</w:t>
      </w:r>
    </w:p>
    <w:p>
      <w:pPr>
        <w:spacing w:after="0" w:line="7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START-UP COSTS</w:t>
      </w:r>
    </w:p>
    <w:p>
      <w:pPr>
        <w:spacing w:after="0" w:line="168" w:lineRule="exact"/>
        <w:rPr>
          <w:sz w:val="20"/>
          <w:szCs w:val="20"/>
          <w:color w:val="auto"/>
        </w:rPr>
      </w:pPr>
    </w:p>
    <w:p>
      <w:pPr>
        <w:ind w:left="80" w:right="3359"/>
        <w:spacing w:after="0" w:line="306" w:lineRule="auto"/>
        <w:rPr>
          <w:sz w:val="20"/>
          <w:szCs w:val="20"/>
          <w:color w:val="auto"/>
        </w:rPr>
      </w:pPr>
      <w:r>
        <w:rPr>
          <w:rFonts w:ascii="Courier New" w:cs="Courier New" w:eastAsia="Courier New" w:hAnsi="Courier New"/>
          <w:sz w:val="14"/>
          <w:szCs w:val="14"/>
          <w:color w:val="auto"/>
        </w:rPr>
        <w:t>In accordance with the AICPA's Statement of Position 98-5, "Reporting on the Costs of Start-Up Activities," the Company expenses all start-up costs as incurred in operating expenses.</w:t>
      </w:r>
    </w:p>
    <w:p>
      <w:pPr>
        <w:spacing w:after="0" w:line="4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68" w:lineRule="exact"/>
        <w:rPr>
          <w:sz w:val="20"/>
          <w:szCs w:val="20"/>
          <w:color w:val="auto"/>
        </w:rPr>
      </w:pPr>
    </w:p>
    <w:p>
      <w:pPr>
        <w:ind w:left="80" w:right="3459"/>
        <w:spacing w:after="0" w:line="270" w:lineRule="auto"/>
        <w:rPr>
          <w:sz w:val="20"/>
          <w:szCs w:val="20"/>
          <w:color w:val="auto"/>
        </w:rPr>
      </w:pPr>
      <w:r>
        <w:rPr>
          <w:rFonts w:ascii="Courier New" w:cs="Courier New" w:eastAsia="Courier New" w:hAnsi="Courier New"/>
          <w:sz w:val="14"/>
          <w:szCs w:val="14"/>
          <w:color w:val="auto"/>
        </w:rPr>
        <w:t>To meet the reporting requirements of SFAS No. 107, "Disclosures About Fair Value of Financial Instruments," the Company calculates the fair value of financial instruments using quoted market prices. At December 31, 1999, there were no material differences in the book values of the Company's financial instruments and their related fair values as compared to similar financial instruments.</w:t>
      </w:r>
    </w:p>
    <w:p>
      <w:pPr>
        <w:spacing w:after="0" w:line="23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F-72</w:t>
      </w:r>
    </w:p>
    <w:p>
      <w:pPr>
        <w:sectPr>
          <w:pgSz w:w="11900" w:h="16838" w:orient="portrait"/>
          <w:cols w:equalWidth="0" w:num="1">
            <w:col w:w="9899"/>
          </w:cols>
          <w:pgMar w:left="560" w:top="256"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4"/>
          <w:szCs w:val="14"/>
          <w:color w:val="auto"/>
        </w:rPr>
        <w:t>191</w:t>
      </w:r>
    </w:p>
    <w:p>
      <w:pPr>
        <w:spacing w:after="0" w:line="3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USE OF ESTIMATES IN THE PREPARATION OF FINANCIAL STATEMENTS</w:t>
      </w:r>
    </w:p>
    <w:p>
      <w:pPr>
        <w:spacing w:after="0" w:line="142" w:lineRule="exact"/>
        <w:rPr>
          <w:sz w:val="20"/>
          <w:szCs w:val="20"/>
          <w:color w:val="auto"/>
        </w:rPr>
      </w:pPr>
    </w:p>
    <w:p>
      <w:pPr>
        <w:ind w:left="80" w:right="3359"/>
        <w:spacing w:after="0" w:line="270"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ACCOUNTING FOR THE IMPAIRMENT OF LONG LIVED ASSETS</w:t>
      </w:r>
    </w:p>
    <w:p>
      <w:pPr>
        <w:spacing w:after="0" w:line="168" w:lineRule="exact"/>
        <w:rPr>
          <w:sz w:val="20"/>
          <w:szCs w:val="20"/>
          <w:color w:val="auto"/>
        </w:rPr>
      </w:pPr>
    </w:p>
    <w:p>
      <w:pPr>
        <w:ind w:left="80" w:right="3459"/>
        <w:spacing w:after="0" w:line="270" w:lineRule="auto"/>
        <w:rPr>
          <w:sz w:val="20"/>
          <w:szCs w:val="20"/>
          <w:color w:val="auto"/>
        </w:rPr>
      </w:pPr>
      <w:r>
        <w:rPr>
          <w:rFonts w:ascii="Courier New" w:cs="Courier New" w:eastAsia="Courier New" w:hAnsi="Courier New"/>
          <w:sz w:val="14"/>
          <w:szCs w:val="14"/>
          <w:color w:val="auto"/>
        </w:rPr>
        <w:t>In accordance with SFAS No. 121, "Accounting for the Impairment of Long-Lived Assets and Long-Lived Assets to be Disposed Of," the Company continually evaluates the recoverability of the carrying values of its long-lived assets when events suggest that an impairment may have occurred. In these circumstances, the Company utilizes estimates of undiscounted cash flows to determine if an impairment exists.</w:t>
      </w:r>
    </w:p>
    <w:p>
      <w:pPr>
        <w:spacing w:after="0" w:line="7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COMPREHENSIVE INCOME</w:t>
      </w:r>
    </w:p>
    <w:p>
      <w:pPr>
        <w:spacing w:after="0" w:line="168" w:lineRule="exact"/>
        <w:rPr>
          <w:sz w:val="20"/>
          <w:szCs w:val="20"/>
          <w:color w:val="auto"/>
        </w:rPr>
      </w:pPr>
    </w:p>
    <w:p>
      <w:pPr>
        <w:ind w:left="80" w:right="3359"/>
        <w:spacing w:after="0" w:line="270" w:lineRule="auto"/>
        <w:rPr>
          <w:sz w:val="20"/>
          <w:szCs w:val="20"/>
          <w:color w:val="auto"/>
        </w:rPr>
      </w:pPr>
      <w:r>
        <w:rPr>
          <w:rFonts w:ascii="Courier New" w:cs="Courier New" w:eastAsia="Courier New" w:hAnsi="Courier New"/>
          <w:sz w:val="14"/>
          <w:szCs w:val="14"/>
          <w:color w:val="auto"/>
        </w:rPr>
        <w:t>SFAS No. 130, "Reporting Comprehensive Income," requires that changes in the amounts of certain items, including gains and losses on certain securities, be shown in the financial statements. The provisions of SFAS No. 130 had no impact on the Company's results of operations as comprehensive loss was equivalent to the Company's reported net loss for the year ended December 31, 1999.</w:t>
      </w:r>
    </w:p>
    <w:p>
      <w:pPr>
        <w:spacing w:after="0" w:line="7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SEGMENT DISCLOSURES</w:t>
      </w:r>
    </w:p>
    <w:p>
      <w:pPr>
        <w:spacing w:after="0" w:line="168" w:lineRule="exact"/>
        <w:rPr>
          <w:sz w:val="20"/>
          <w:szCs w:val="20"/>
          <w:color w:val="auto"/>
        </w:rPr>
      </w:pPr>
    </w:p>
    <w:p>
      <w:pPr>
        <w:ind w:left="80" w:right="3359"/>
        <w:spacing w:after="0" w:line="260" w:lineRule="auto"/>
        <w:rPr>
          <w:sz w:val="20"/>
          <w:szCs w:val="20"/>
          <w:color w:val="auto"/>
        </w:rPr>
      </w:pPr>
      <w:r>
        <w:rPr>
          <w:rFonts w:ascii="Courier New" w:cs="Courier New" w:eastAsia="Courier New" w:hAnsi="Courier New"/>
          <w:sz w:val="14"/>
          <w:szCs w:val="14"/>
          <w:color w:val="auto"/>
        </w:rPr>
        <w:t>SFAS No. 131, "Disclosures about Segments of an Enterprise and Related Information," establishes standards for the way that public business enterprises or other enterprises that are required to file financial statements with the Securities &amp; Exchange Commission report information about operating segments in annual financial statements and requires that those enterprises report selected information about operating segments in interim financial reports. SFAS No. 131 also establishes standards for related disclosures about products and services, geographic areas, and major customers. The Company operates in one industry segment and the provisions of SFAS No. 131 have no significant effect on the Company's disclosures.</w:t>
      </w:r>
    </w:p>
    <w:p>
      <w:pPr>
        <w:spacing w:after="0" w:line="7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NEWLY ISSUED ACCOUNTING STANDARD</w:t>
      </w:r>
    </w:p>
    <w:p>
      <w:pPr>
        <w:spacing w:after="0" w:line="168" w:lineRule="exact"/>
        <w:rPr>
          <w:sz w:val="20"/>
          <w:szCs w:val="20"/>
          <w:color w:val="auto"/>
        </w:rPr>
      </w:pPr>
    </w:p>
    <w:p>
      <w:pPr>
        <w:ind w:left="80" w:right="3359"/>
        <w:spacing w:after="0" w:line="260"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effective, as amended, for fiscal years beginning after June 15, 2000. SFAS No. 133 establishes accounting and reporting standards for derivative instruments and hedging activities. SFAS No. 133 requires all derivatives to be recognized in the statement of financial position and to be measured at fair value. The Company anticipates adopting the provisions of SFAS No. 133 effective January 1, 2001 and does not believe the adoption of SFAS No. 133 will have a material impact on the Company's consolidated financial position or results of operations.</w:t>
      </w:r>
    </w:p>
    <w:p>
      <w:pPr>
        <w:spacing w:after="0" w:line="23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F-73</w:t>
      </w:r>
    </w:p>
    <w:p>
      <w:pPr>
        <w:sectPr>
          <w:pgSz w:w="11900" w:h="16838" w:orient="portrait"/>
          <w:cols w:equalWidth="0" w:num="1">
            <w:col w:w="9899"/>
          </w:cols>
          <w:pgMar w:left="560" w:top="257"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4"/>
          <w:szCs w:val="14"/>
          <w:color w:val="auto"/>
        </w:rPr>
        <w:t>192</w:t>
      </w:r>
    </w:p>
    <w:p>
      <w:pPr>
        <w:spacing w:after="0" w:line="3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RECLASSIFICATIONS</w:t>
      </w:r>
    </w:p>
    <w:p>
      <w:pPr>
        <w:spacing w:after="0" w:line="142" w:lineRule="exact"/>
        <w:rPr>
          <w:sz w:val="20"/>
          <w:szCs w:val="20"/>
          <w:color w:val="auto"/>
        </w:rPr>
      </w:pPr>
    </w:p>
    <w:p>
      <w:pPr>
        <w:ind w:left="340" w:right="3359"/>
        <w:spacing w:after="0" w:line="366" w:lineRule="auto"/>
        <w:rPr>
          <w:sz w:val="20"/>
          <w:szCs w:val="20"/>
          <w:color w:val="auto"/>
        </w:rPr>
      </w:pPr>
      <w:r>
        <w:rPr>
          <w:rFonts w:ascii="Courier New" w:cs="Courier New" w:eastAsia="Courier New" w:hAnsi="Courier New"/>
          <w:sz w:val="14"/>
          <w:szCs w:val="14"/>
          <w:color w:val="auto"/>
        </w:rPr>
        <w:t>Certain reclassifications of 1998 amounts have been made to conform with the 1999 presentation.</w:t>
      </w:r>
    </w:p>
    <w:p>
      <w:pPr>
        <w:spacing w:after="0" w:line="169" w:lineRule="exact"/>
        <w:rPr>
          <w:sz w:val="20"/>
          <w:szCs w:val="20"/>
          <w:color w:val="auto"/>
        </w:rPr>
      </w:pPr>
    </w:p>
    <w:p>
      <w:pPr>
        <w:ind w:left="340" w:hanging="248"/>
        <w:spacing w:after="0"/>
        <w:tabs>
          <w:tab w:leader="none" w:pos="3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w:t>
      </w:r>
    </w:p>
    <w:p>
      <w:pPr>
        <w:spacing w:after="0" w:line="16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 at cost, consist of the following:</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40" w:type="dxa"/>
            <w:vAlign w:val="bottom"/>
            <w:gridSpan w:val="2"/>
          </w:tcPr>
          <w:p>
            <w:pPr>
              <w:jc w:val="right"/>
              <w:ind w:right="849"/>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4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1999</w:t>
            </w:r>
          </w:p>
        </w:tc>
        <w:tc>
          <w:tcPr>
            <w:tcW w:w="13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540" w:type="dxa"/>
            <w:vAlign w:val="bottom"/>
            <w:gridSpan w:val="2"/>
          </w:tcPr>
          <w:p>
            <w:pPr>
              <w:jc w:val="right"/>
              <w:ind w:right="949"/>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415"/>
        </w:trPr>
        <w:tc>
          <w:tcPr>
            <w:tcW w:w="356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600" w:type="dxa"/>
            <w:vAlign w:val="bottom"/>
          </w:tcPr>
          <w:p>
            <w:pPr>
              <w:spacing w:after="0"/>
              <w:rPr>
                <w:sz w:val="24"/>
                <w:szCs w:val="2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  4,303</w:t>
            </w:r>
          </w:p>
        </w:tc>
        <w:tc>
          <w:tcPr>
            <w:tcW w:w="13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$ 4,303</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20"/>
                <w:szCs w:val="20"/>
                <w:color w:val="auto"/>
              </w:rPr>
            </w:pPr>
            <w:r>
              <w:rPr>
                <w:rFonts w:ascii="Courier New" w:cs="Courier New" w:eastAsia="Courier New" w:hAnsi="Courier New"/>
                <w:sz w:val="14"/>
                <w:szCs w:val="14"/>
                <w:color w:val="auto"/>
              </w:rPr>
              <w:t>Building improvements</w:t>
            </w:r>
          </w:p>
        </w:tc>
        <w:tc>
          <w:tcPr>
            <w:tcW w:w="60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6,815</w:t>
            </w:r>
          </w:p>
        </w:tc>
        <w:tc>
          <w:tcPr>
            <w:tcW w:w="13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10,348</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60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9,629</w:t>
            </w:r>
          </w:p>
        </w:tc>
        <w:tc>
          <w:tcPr>
            <w:tcW w:w="13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6,689</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20"/>
                <w:szCs w:val="20"/>
                <w:color w:val="auto"/>
              </w:rPr>
            </w:pPr>
            <w:r>
              <w:rPr>
                <w:rFonts w:ascii="Courier New" w:cs="Courier New" w:eastAsia="Courier New" w:hAnsi="Courier New"/>
                <w:sz w:val="14"/>
                <w:szCs w:val="14"/>
                <w:color w:val="auto"/>
              </w:rPr>
              <w:t>Office furniture and fixtures</w:t>
            </w:r>
          </w:p>
        </w:tc>
        <w:tc>
          <w:tcPr>
            <w:tcW w:w="60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2,888</w:t>
            </w:r>
          </w:p>
        </w:tc>
        <w:tc>
          <w:tcPr>
            <w:tcW w:w="13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2,585</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60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79</w:t>
            </w:r>
          </w:p>
        </w:tc>
        <w:tc>
          <w:tcPr>
            <w:tcW w:w="13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743</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60" w:type="dxa"/>
            <w:vAlign w:val="bottom"/>
            <w:vMerge w:val="restart"/>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60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23,714</w:t>
            </w:r>
          </w:p>
        </w:tc>
        <w:tc>
          <w:tcPr>
            <w:tcW w:w="13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24,668</w:t>
            </w:r>
          </w:p>
        </w:tc>
        <w:tc>
          <w:tcPr>
            <w:tcW w:w="0" w:type="dxa"/>
            <w:vAlign w:val="bottom"/>
          </w:tcPr>
          <w:p>
            <w:pPr>
              <w:spacing w:after="0"/>
              <w:rPr>
                <w:sz w:val="1"/>
                <w:szCs w:val="1"/>
                <w:color w:val="auto"/>
              </w:rPr>
            </w:pPr>
          </w:p>
        </w:tc>
      </w:tr>
      <w:tr>
        <w:trPr>
          <w:trHeight w:val="163"/>
        </w:trPr>
        <w:tc>
          <w:tcPr>
            <w:tcW w:w="35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(3,755)</w:t>
            </w:r>
          </w:p>
        </w:tc>
        <w:tc>
          <w:tcPr>
            <w:tcW w:w="13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$ 19,959</w:t>
            </w:r>
          </w:p>
        </w:tc>
        <w:tc>
          <w:tcPr>
            <w:tcW w:w="13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$24,668</w:t>
            </w: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89"/>
        </w:trPr>
        <w:tc>
          <w:tcPr>
            <w:tcW w:w="670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Depreciation expense was $3.8 million for the year ended December 31, 1999.</w:t>
            </w:r>
          </w:p>
        </w:tc>
        <w:tc>
          <w:tcPr>
            <w:tcW w:w="0" w:type="dxa"/>
            <w:vAlign w:val="bottom"/>
          </w:tcPr>
          <w:p>
            <w:pPr>
              <w:spacing w:after="0"/>
              <w:rPr>
                <w:sz w:val="1"/>
                <w:szCs w:val="1"/>
                <w:color w:val="auto"/>
              </w:rPr>
            </w:pPr>
          </w:p>
        </w:tc>
      </w:tr>
      <w:tr>
        <w:trPr>
          <w:trHeight w:val="489"/>
        </w:trPr>
        <w:tc>
          <w:tcPr>
            <w:tcW w:w="3560" w:type="dxa"/>
            <w:vAlign w:val="bottom"/>
          </w:tcPr>
          <w:p>
            <w:pPr>
              <w:spacing w:after="0"/>
              <w:rPr>
                <w:sz w:val="20"/>
                <w:szCs w:val="20"/>
                <w:color w:val="auto"/>
              </w:rPr>
            </w:pPr>
            <w:r>
              <w:rPr>
                <w:rFonts w:ascii="Courier New" w:cs="Courier New" w:eastAsia="Courier New" w:hAnsi="Courier New"/>
                <w:sz w:val="14"/>
                <w:szCs w:val="14"/>
                <w:color w:val="auto"/>
              </w:rPr>
              <w:t>6.  OTHER ASSETS</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560" w:type="dxa"/>
            <w:vAlign w:val="bottom"/>
          </w:tcPr>
          <w:p>
            <w:pPr>
              <w:ind w:left="340"/>
              <w:spacing w:after="0"/>
              <w:rPr>
                <w:sz w:val="20"/>
                <w:szCs w:val="20"/>
                <w:color w:val="auto"/>
              </w:rPr>
            </w:pPr>
            <w:r>
              <w:rPr>
                <w:rFonts w:ascii="Courier New" w:cs="Courier New" w:eastAsia="Courier New" w:hAnsi="Courier New"/>
                <w:sz w:val="14"/>
                <w:szCs w:val="14"/>
                <w:color w:val="auto"/>
              </w:rPr>
              <w:t>Other assets consist of the following:</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3560" w:type="dxa"/>
            <w:vAlign w:val="bottom"/>
          </w:tcPr>
          <w:p>
            <w:pPr>
              <w:spacing w:after="0"/>
              <w:rPr>
                <w:sz w:val="24"/>
                <w:szCs w:val="24"/>
                <w:color w:val="auto"/>
              </w:rPr>
            </w:pPr>
          </w:p>
        </w:tc>
        <w:tc>
          <w:tcPr>
            <w:tcW w:w="184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DECEMBER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18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1999</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184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(IN THOUSANDS)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3560" w:type="dxa"/>
            <w:vAlign w:val="bottom"/>
          </w:tcPr>
          <w:p>
            <w:pPr>
              <w:spacing w:after="0"/>
              <w:rPr>
                <w:sz w:val="20"/>
                <w:szCs w:val="20"/>
                <w:color w:val="auto"/>
              </w:rPr>
            </w:pPr>
            <w:r>
              <w:rPr>
                <w:rFonts w:ascii="Courier New" w:cs="Courier New" w:eastAsia="Courier New" w:hAnsi="Courier New"/>
                <w:sz w:val="14"/>
                <w:szCs w:val="14"/>
                <w:color w:val="auto"/>
              </w:rPr>
              <w:t>Debt issuance costs</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$3,442</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$2,619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20"/>
                <w:szCs w:val="20"/>
                <w:color w:val="auto"/>
              </w:rPr>
            </w:pPr>
            <w:r>
              <w:rPr>
                <w:rFonts w:ascii="Courier New" w:cs="Courier New" w:eastAsia="Courier New" w:hAnsi="Courier New"/>
                <w:sz w:val="14"/>
                <w:szCs w:val="14"/>
                <w:color w:val="auto"/>
              </w:rPr>
              <w:t>Prepaid rent to a government entity</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3,116</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4,477</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2,174</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1,881</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$8,732</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$8,977</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2"/>
        </w:trPr>
        <w:tc>
          <w:tcPr>
            <w:tcW w:w="3560" w:type="dxa"/>
            <w:vAlign w:val="bottom"/>
          </w:tcPr>
          <w:p>
            <w:pPr>
              <w:ind w:left="3220"/>
              <w:spacing w:after="0"/>
              <w:rPr>
                <w:sz w:val="20"/>
                <w:szCs w:val="20"/>
                <w:color w:val="auto"/>
              </w:rPr>
            </w:pPr>
            <w:r>
              <w:rPr>
                <w:rFonts w:ascii="Courier New" w:cs="Courier New" w:eastAsia="Courier New" w:hAnsi="Courier New"/>
                <w:sz w:val="14"/>
                <w:szCs w:val="14"/>
                <w:color w:val="auto"/>
                <w:w w:val="95"/>
              </w:rPr>
              <w:t>F-74</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257" w:right="1440" w:bottom="1440" w:gutter="0" w:footer="0" w:header="0"/>
        </w:sectPr>
      </w:pPr>
    </w:p>
    <w:bookmarkStart w:id="194" w:name="page195"/>
    <w:bookmarkEnd w:id="194"/>
    <w:p>
      <w:pPr>
        <w:ind w:left="168"/>
        <w:spacing w:after="0"/>
        <w:rPr>
          <w:sz w:val="20"/>
          <w:szCs w:val="20"/>
          <w:color w:val="auto"/>
        </w:rPr>
      </w:pPr>
      <w:r>
        <w:rPr>
          <w:rFonts w:ascii="Courier New" w:cs="Courier New" w:eastAsia="Courier New" w:hAnsi="Courier New"/>
          <w:sz w:val="14"/>
          <w:szCs w:val="14"/>
          <w:color w:val="auto"/>
        </w:rPr>
        <w:t>193</w:t>
      </w:r>
    </w:p>
    <w:p>
      <w:pPr>
        <w:spacing w:after="0" w:line="30" w:lineRule="exact"/>
        <w:rPr>
          <w:sz w:val="20"/>
          <w:szCs w:val="20"/>
          <w:color w:val="auto"/>
        </w:rPr>
      </w:pPr>
    </w:p>
    <w:p>
      <w:pPr>
        <w:ind w:left="248" w:hanging="248"/>
        <w:spacing w:after="0"/>
        <w:tabs>
          <w:tab w:leader="none" w:pos="24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 AND CREDIT FACILITY</w:t>
      </w:r>
    </w:p>
    <w:p>
      <w:pPr>
        <w:spacing w:after="0" w:line="141" w:lineRule="exact"/>
        <w:rPr>
          <w:rFonts w:ascii="Courier New" w:cs="Courier New" w:eastAsia="Courier New" w:hAnsi="Courier New"/>
          <w:sz w:val="14"/>
          <w:szCs w:val="14"/>
          <w:color w:val="auto"/>
        </w:rPr>
      </w:pPr>
    </w:p>
    <w:p>
      <w:pPr>
        <w:ind w:left="248" w:right="335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Promissory Note of $137.0 million is payable to Prison Realty over 10 years and bears interest at 12% per annum. Interest only is payable for the first four years and the principal is payable over the following six years. The Chief Executive Officer of the Company has personally guaranteed payment of 10% of the outstanding principal amount. The original contractual maturities of the Promissory Note for the next five years and thereafter are: 2000 - $0; 2001 - $0; 2002 - $0; 2003 - $22.8 million, 2004 - $22.8 million and thereafter - $91.3 million; however, due to the existing default, these maturities may be accelerated as discussed in Note 3.</w:t>
      </w:r>
    </w:p>
    <w:p>
      <w:pPr>
        <w:spacing w:after="0" w:line="78" w:lineRule="exact"/>
        <w:rPr>
          <w:rFonts w:ascii="Courier New" w:cs="Courier New" w:eastAsia="Courier New" w:hAnsi="Courier New"/>
          <w:sz w:val="14"/>
          <w:szCs w:val="14"/>
          <w:color w:val="auto"/>
        </w:rPr>
      </w:pPr>
    </w:p>
    <w:p>
      <w:pPr>
        <w:ind w:left="248" w:right="33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1998, the Company had obtained a revolving credit facility (the "Old Credit Facility") providing for borrowings up to $30.0 million. The Old Credit Facility's terms required interest at LIBOR plus 4.0%. The Old Credit Facility could be used for working capital and letters of credit. The Company had made no draws under the Old Credit Facility as of December 31, 1998.</w:t>
      </w:r>
    </w:p>
    <w:p>
      <w:pPr>
        <w:spacing w:after="0" w:line="71" w:lineRule="exact"/>
        <w:rPr>
          <w:rFonts w:ascii="Courier New" w:cs="Courier New" w:eastAsia="Courier New" w:hAnsi="Courier New"/>
          <w:sz w:val="14"/>
          <w:szCs w:val="14"/>
          <w:color w:val="auto"/>
        </w:rPr>
      </w:pPr>
    </w:p>
    <w:p>
      <w:pPr>
        <w:ind w:left="248" w:right="335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March 1, 1999, the Company obtained the New Credit Facility which provides for borrowings up to $100.0 million and bears interest at Prime plus 2.50%. The New Credit Facility replaced the $30.0 million Old Credit Facility in place at December 31, 1998. Prior to obtaining the New Credit Facility, the Company had made no draws under the Old Credit Facility. The deferred debt issuance costs totaling $2.7 million related to the Old Credit Facility were charged to interest expense upon replacement of that credit facility. Borrowings outstanding under the New Credit Facility are considered short-term obligations as the New Credit Facility requires the Company to maintain a lock-box with the lender whereby all receipts are applied to reduce any borrowings outstanding. At December 31, 1999, there was $16.2 million outstanding on the New Credit Facility. The New Credit Facility expires on June 1, 2002.</w:t>
      </w:r>
    </w:p>
    <w:p>
      <w:pPr>
        <w:spacing w:after="0" w:line="83" w:lineRule="exact"/>
        <w:rPr>
          <w:rFonts w:ascii="Courier New" w:cs="Courier New" w:eastAsia="Courier New" w:hAnsi="Courier New"/>
          <w:sz w:val="14"/>
          <w:szCs w:val="14"/>
          <w:color w:val="auto"/>
        </w:rPr>
      </w:pPr>
    </w:p>
    <w:p>
      <w:pPr>
        <w:ind w:left="248" w:right="33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discussed in Note 3, at December 31, 1999, the Company was in violation of several provisions of the New Credit Facility including failure to comply with a financial covenant which required the Company's net worth to be greater than negative $105.0 million and the execution of the Proposed Merger agreement. The defaults could cause repayment of the Company's outstanding borrowings to be accelerated and could result in a higher default rate of interest, as discussed in Note 3. The Company has initiated discussions with the agent of the New Credit Facility, and has requested the consent of the requisite percentage of its participating lenders for a waiver of the restrictions relating to: (i) the amendment of Prison Realty's agreements with the Company, (ii) the execution of the Proposed Merger, and</w:t>
      </w:r>
    </w:p>
    <w:p>
      <w:pPr>
        <w:spacing w:after="0" w:line="2" w:lineRule="exact"/>
        <w:rPr>
          <w:rFonts w:ascii="Courier New" w:cs="Courier New" w:eastAsia="Courier New" w:hAnsi="Courier New"/>
          <w:sz w:val="14"/>
          <w:szCs w:val="14"/>
          <w:color w:val="auto"/>
        </w:rPr>
      </w:pPr>
    </w:p>
    <w:p>
      <w:pPr>
        <w:ind w:left="248" w:right="3359" w:firstLine="6"/>
        <w:spacing w:after="0" w:line="262" w:lineRule="auto"/>
        <w:tabs>
          <w:tab w:leader="none" w:pos="757"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deferral of certain payments under the CCA Leases. The Company has also requested the consent of such lenders with respect to a waiver of the financial covenant concerning the Company's net worth described above. The Company has requested that the waiver remain in effect until the earlier of July 31, 2000 or the completion of the Potential Prison Realty Equity Investment and the Proposed Merger.</w:t>
      </w:r>
    </w:p>
    <w:p>
      <w:pPr>
        <w:spacing w:after="0" w:line="77" w:lineRule="exact"/>
        <w:rPr>
          <w:sz w:val="20"/>
          <w:szCs w:val="20"/>
          <w:color w:val="auto"/>
        </w:rPr>
      </w:pPr>
    </w:p>
    <w:p>
      <w:pPr>
        <w:ind w:left="248"/>
        <w:spacing w:after="0"/>
        <w:rPr>
          <w:sz w:val="20"/>
          <w:szCs w:val="20"/>
          <w:color w:val="auto"/>
        </w:rPr>
      </w:pPr>
      <w:r>
        <w:rPr>
          <w:rFonts w:ascii="Courier New" w:cs="Courier New" w:eastAsia="Courier New" w:hAnsi="Courier New"/>
          <w:sz w:val="14"/>
          <w:szCs w:val="14"/>
          <w:color w:val="auto"/>
        </w:rPr>
        <w:t>Interest expense, net, is comprised of the following for the year ended</w:t>
      </w:r>
    </w:p>
    <w:p>
      <w:pPr>
        <w:spacing w:after="0" w:line="30" w:lineRule="exact"/>
        <w:rPr>
          <w:sz w:val="20"/>
          <w:szCs w:val="20"/>
          <w:color w:val="auto"/>
        </w:rPr>
      </w:pPr>
    </w:p>
    <w:p>
      <w:pPr>
        <w:ind w:left="248"/>
        <w:spacing w:after="0"/>
        <w:rPr>
          <w:sz w:val="20"/>
          <w:szCs w:val="20"/>
          <w:color w:val="auto"/>
        </w:rPr>
      </w:pPr>
      <w:r>
        <w:rPr>
          <w:rFonts w:ascii="Courier New" w:cs="Courier New" w:eastAsia="Courier New" w:hAnsi="Courier New"/>
          <w:sz w:val="14"/>
          <w:szCs w:val="14"/>
          <w:color w:val="auto"/>
        </w:rPr>
        <w:t>December 31, 1999 (in thousands):</w:t>
      </w:r>
    </w:p>
    <w:p>
      <w:pPr>
        <w:spacing w:after="0" w:line="200" w:lineRule="exact"/>
        <w:rPr>
          <w:sz w:val="20"/>
          <w:szCs w:val="20"/>
          <w:color w:val="auto"/>
        </w:rPr>
      </w:pPr>
    </w:p>
    <w:p>
      <w:pPr>
        <w:spacing w:after="0" w:line="268" w:lineRule="exact"/>
        <w:rPr>
          <w:sz w:val="20"/>
          <w:szCs w:val="20"/>
          <w:color w:val="auto"/>
        </w:rPr>
      </w:pPr>
    </w:p>
    <w:tbl>
      <w:tblPr>
        <w:tblLayout w:type="fixed"/>
        <w:tblInd w:w="1008" w:type="dxa"/>
        <w:tblCellMar>
          <w:top w:w="0" w:type="dxa"/>
          <w:left w:w="0" w:type="dxa"/>
          <w:bottom w:w="0" w:type="dxa"/>
          <w:right w:w="0" w:type="dxa"/>
        </w:tblCellMar>
      </w:tblP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20,974</w:t>
            </w: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3"/>
        </w:trPr>
        <w:tc>
          <w:tcPr>
            <w:tcW w:w="1740" w:type="dxa"/>
            <w:vAlign w:val="bottom"/>
          </w:tcPr>
          <w:p>
            <w:pPr>
              <w:spacing w:after="0"/>
              <w:rPr>
                <w:sz w:val="14"/>
                <w:szCs w:val="14"/>
                <w:color w:val="auto"/>
              </w:rPr>
            </w:pPr>
          </w:p>
        </w:tc>
        <w:tc>
          <w:tcPr>
            <w:tcW w:w="3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1740" w:type="dxa"/>
            <w:vAlign w:val="bottom"/>
          </w:tcPr>
          <w:p>
            <w:pPr>
              <w:spacing w:after="0"/>
              <w:rPr>
                <w:sz w:val="14"/>
                <w:szCs w:val="14"/>
                <w:color w:val="auto"/>
              </w:rPr>
            </w:pPr>
          </w:p>
        </w:tc>
        <w:tc>
          <w:tcPr>
            <w:tcW w:w="2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20,474</w:t>
            </w:r>
          </w:p>
        </w:tc>
      </w:tr>
      <w:tr>
        <w:trPr>
          <w:trHeight w:val="238"/>
        </w:trPr>
        <w:tc>
          <w:tcPr>
            <w:tcW w:w="1740" w:type="dxa"/>
            <w:vAlign w:val="bottom"/>
          </w:tcPr>
          <w:p>
            <w:pPr>
              <w:spacing w:after="0"/>
              <w:rPr>
                <w:sz w:val="20"/>
                <w:szCs w:val="20"/>
                <w:color w:val="auto"/>
              </w:rPr>
            </w:pPr>
          </w:p>
        </w:tc>
        <w:tc>
          <w:tcPr>
            <w:tcW w:w="3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652"/>
        </w:trPr>
        <w:tc>
          <w:tcPr>
            <w:tcW w:w="1740" w:type="dxa"/>
            <w:vAlign w:val="bottom"/>
          </w:tcPr>
          <w:p>
            <w:pPr>
              <w:spacing w:after="0"/>
              <w:rPr>
                <w:sz w:val="24"/>
                <w:szCs w:val="24"/>
                <w:color w:val="auto"/>
              </w:rPr>
            </w:pPr>
          </w:p>
        </w:tc>
        <w:tc>
          <w:tcPr>
            <w:tcW w:w="2340" w:type="dxa"/>
            <w:vAlign w:val="bottom"/>
          </w:tcPr>
          <w:p>
            <w:pPr>
              <w:jc w:val="right"/>
              <w:ind w:right="1549"/>
              <w:spacing w:after="0"/>
              <w:rPr>
                <w:sz w:val="20"/>
                <w:szCs w:val="20"/>
                <w:color w:val="auto"/>
              </w:rPr>
            </w:pPr>
            <w:r>
              <w:rPr>
                <w:rFonts w:ascii="Courier New" w:cs="Courier New" w:eastAsia="Courier New" w:hAnsi="Courier New"/>
                <w:sz w:val="14"/>
                <w:szCs w:val="14"/>
                <w:color w:val="auto"/>
              </w:rPr>
              <w:t>F-75</w:t>
            </w:r>
          </w:p>
        </w:tc>
        <w:tc>
          <w:tcPr>
            <w:tcW w:w="680" w:type="dxa"/>
            <w:vAlign w:val="bottom"/>
          </w:tcPr>
          <w:p>
            <w:pPr>
              <w:spacing w:after="0"/>
              <w:rPr>
                <w:sz w:val="24"/>
                <w:szCs w:val="24"/>
                <w:color w:val="auto"/>
              </w:rPr>
            </w:pPr>
          </w:p>
        </w:tc>
      </w:tr>
    </w:tbl>
    <w:p>
      <w:pPr>
        <w:sectPr>
          <w:pgSz w:w="11900" w:h="16838" w:orient="portrait"/>
          <w:cols w:equalWidth="0" w:num="1">
            <w:col w:w="10067"/>
          </w:cols>
          <w:pgMar w:left="392" w:top="257"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4"/>
          <w:szCs w:val="14"/>
          <w:color w:val="auto"/>
        </w:rPr>
        <w:t>194</w:t>
      </w:r>
    </w:p>
    <w:p>
      <w:pPr>
        <w:spacing w:after="0" w:line="30" w:lineRule="exact"/>
        <w:rPr>
          <w:sz w:val="20"/>
          <w:szCs w:val="20"/>
          <w:color w:val="auto"/>
        </w:rPr>
      </w:pPr>
    </w:p>
    <w:p>
      <w:pPr>
        <w:ind w:left="340" w:hanging="248"/>
        <w:spacing w:after="0"/>
        <w:tabs>
          <w:tab w:leader="none" w:pos="3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41" w:lineRule="exact"/>
        <w:rPr>
          <w:rFonts w:ascii="Courier New" w:cs="Courier New" w:eastAsia="Courier New" w:hAnsi="Courier New"/>
          <w:sz w:val="14"/>
          <w:szCs w:val="14"/>
          <w:color w:val="auto"/>
        </w:rPr>
      </w:pPr>
    </w:p>
    <w:p>
      <w:pPr>
        <w:ind w:left="340" w:right="335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Realization of the future tax benefits related to deferred tax assets is dependent on many factors, including the Company's ability to generate taxable income within the net operating loss carryforward period. Management has considered these factors in reaching its conclusion as to the valuation allowance for financial reporting purposes. Significant components of the Company's deferred tax assets at December 31, 1999 are as follows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400" w:type="dxa"/>
            <w:vAlign w:val="bottom"/>
          </w:tcPr>
          <w:p>
            <w:pPr>
              <w:spacing w:after="0"/>
              <w:rPr>
                <w:sz w:val="20"/>
                <w:szCs w:val="20"/>
                <w:color w:val="auto"/>
              </w:rPr>
            </w:pPr>
            <w:r>
              <w:rPr>
                <w:rFonts w:ascii="Courier New" w:cs="Courier New" w:eastAsia="Courier New" w:hAnsi="Courier New"/>
                <w:sz w:val="14"/>
                <w:szCs w:val="14"/>
                <w:color w:val="auto"/>
              </w:rPr>
              <w:t>Current Deferred Tax Assets:</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3,059</w:t>
            </w:r>
          </w:p>
        </w:tc>
        <w:tc>
          <w:tcPr>
            <w:tcW w:w="0" w:type="dxa"/>
            <w:vAlign w:val="bottom"/>
          </w:tcPr>
          <w:p>
            <w:pPr>
              <w:spacing w:after="0"/>
              <w:rPr>
                <w:sz w:val="1"/>
                <w:szCs w:val="1"/>
                <w:color w:val="auto"/>
              </w:rPr>
            </w:pPr>
          </w:p>
        </w:tc>
      </w:tr>
      <w:tr>
        <w:trPr>
          <w:trHeight w:val="163"/>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Asset reserves and liabilities not yet deductible for tax</w:t>
            </w:r>
          </w:p>
        </w:tc>
        <w:tc>
          <w:tcPr>
            <w:tcW w:w="3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current deferred tax assets</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4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3,059</w:t>
            </w:r>
          </w:p>
        </w:tc>
        <w:tc>
          <w:tcPr>
            <w:tcW w:w="0" w:type="dxa"/>
            <w:vAlign w:val="bottom"/>
          </w:tcPr>
          <w:p>
            <w:pPr>
              <w:spacing w:after="0"/>
              <w:rPr>
                <w:sz w:val="1"/>
                <w:szCs w:val="1"/>
                <w:color w:val="auto"/>
              </w:rPr>
            </w:pPr>
          </w:p>
        </w:tc>
      </w:tr>
      <w:tr>
        <w:trPr>
          <w:trHeight w:val="163"/>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Less valuation allowance</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(3,059)</w:t>
            </w:r>
          </w:p>
        </w:tc>
        <w:tc>
          <w:tcPr>
            <w:tcW w:w="0" w:type="dxa"/>
            <w:vAlign w:val="bottom"/>
          </w:tcPr>
          <w:p>
            <w:pPr>
              <w:spacing w:after="0"/>
              <w:rPr>
                <w:sz w:val="1"/>
                <w:szCs w:val="1"/>
                <w:color w:val="auto"/>
              </w:rPr>
            </w:pPr>
          </w:p>
        </w:tc>
      </w:tr>
      <w:tr>
        <w:trPr>
          <w:trHeight w:val="163"/>
        </w:trPr>
        <w:tc>
          <w:tcPr>
            <w:tcW w:w="540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Net current deferred tax assets</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40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Noncurrent Deferred Tax Assets:</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5400" w:type="dxa"/>
            <w:vAlign w:val="bottom"/>
            <w:vMerge w:val="continue"/>
          </w:tcPr>
          <w:p>
            <w:pPr>
              <w:spacing w:after="0"/>
              <w:rPr>
                <w:sz w:val="7"/>
                <w:szCs w:val="7"/>
                <w:color w:val="auto"/>
              </w:rPr>
            </w:pPr>
          </w:p>
        </w:tc>
        <w:tc>
          <w:tcPr>
            <w:tcW w:w="1060" w:type="dxa"/>
            <w:vAlign w:val="bottom"/>
            <w:gridSpan w:val="2"/>
            <w:vMerge w:val="restart"/>
          </w:tcPr>
          <w:p>
            <w:pPr>
              <w:jc w:val="right"/>
              <w:ind w:right="29"/>
              <w:spacing w:after="0"/>
              <w:rPr>
                <w:sz w:val="20"/>
                <w:szCs w:val="20"/>
                <w:color w:val="auto"/>
              </w:rPr>
            </w:pPr>
            <w:r>
              <w:rPr>
                <w:rFonts w:ascii="Courier New" w:cs="Courier New" w:eastAsia="Courier New" w:hAnsi="Courier New"/>
                <w:sz w:val="14"/>
                <w:szCs w:val="14"/>
                <w:color w:val="auto"/>
              </w:rPr>
              <w:t>$ 41,757</w:t>
            </w:r>
          </w:p>
        </w:tc>
        <w:tc>
          <w:tcPr>
            <w:tcW w:w="0" w:type="dxa"/>
            <w:vAlign w:val="bottom"/>
          </w:tcPr>
          <w:p>
            <w:pPr>
              <w:spacing w:after="0"/>
              <w:rPr>
                <w:sz w:val="1"/>
                <w:szCs w:val="1"/>
                <w:color w:val="auto"/>
              </w:rPr>
            </w:pPr>
          </w:p>
        </w:tc>
      </w:tr>
      <w:tr>
        <w:trPr>
          <w:trHeight w:val="163"/>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Deferred lease incentives and service fees</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Tax over book basis of certain assets</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927</w:t>
            </w:r>
          </w:p>
        </w:tc>
        <w:tc>
          <w:tcPr>
            <w:tcW w:w="0" w:type="dxa"/>
            <w:vAlign w:val="bottom"/>
          </w:tcPr>
          <w:p>
            <w:pPr>
              <w:spacing w:after="0"/>
              <w:rPr>
                <w:sz w:val="1"/>
                <w:szCs w:val="1"/>
                <w:color w:val="auto"/>
              </w:rPr>
            </w:pPr>
          </w:p>
        </w:tc>
      </w:tr>
      <w:tr>
        <w:trPr>
          <w:trHeight w:val="163"/>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Net operating loss carryforwards</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32,588</w:t>
            </w:r>
          </w:p>
        </w:tc>
        <w:tc>
          <w:tcPr>
            <w:tcW w:w="0" w:type="dxa"/>
            <w:vAlign w:val="bottom"/>
          </w:tcPr>
          <w:p>
            <w:pPr>
              <w:spacing w:after="0"/>
              <w:rPr>
                <w:sz w:val="1"/>
                <w:szCs w:val="1"/>
                <w:color w:val="auto"/>
              </w:rPr>
            </w:pPr>
          </w:p>
        </w:tc>
      </w:tr>
      <w:tr>
        <w:trPr>
          <w:trHeight w:val="163"/>
        </w:trPr>
        <w:tc>
          <w:tcPr>
            <w:tcW w:w="54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noncurrent deferred tax assets</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4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75,272</w:t>
            </w:r>
          </w:p>
        </w:tc>
        <w:tc>
          <w:tcPr>
            <w:tcW w:w="0" w:type="dxa"/>
            <w:vAlign w:val="bottom"/>
          </w:tcPr>
          <w:p>
            <w:pPr>
              <w:spacing w:after="0"/>
              <w:rPr>
                <w:sz w:val="1"/>
                <w:szCs w:val="1"/>
                <w:color w:val="auto"/>
              </w:rPr>
            </w:pPr>
          </w:p>
        </w:tc>
      </w:tr>
      <w:tr>
        <w:trPr>
          <w:trHeight w:val="163"/>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Less valuation allowance</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(75,272)</w:t>
            </w:r>
          </w:p>
        </w:tc>
        <w:tc>
          <w:tcPr>
            <w:tcW w:w="0" w:type="dxa"/>
            <w:vAlign w:val="bottom"/>
          </w:tcPr>
          <w:p>
            <w:pPr>
              <w:spacing w:after="0"/>
              <w:rPr>
                <w:sz w:val="1"/>
                <w:szCs w:val="1"/>
                <w:color w:val="auto"/>
              </w:rPr>
            </w:pPr>
          </w:p>
        </w:tc>
      </w:tr>
      <w:tr>
        <w:trPr>
          <w:trHeight w:val="163"/>
        </w:trPr>
        <w:tc>
          <w:tcPr>
            <w:tcW w:w="540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Net noncurrent deferred tax assets</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40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right="3359"/>
        <w:spacing w:after="0" w:line="263" w:lineRule="auto"/>
        <w:rPr>
          <w:sz w:val="20"/>
          <w:szCs w:val="20"/>
          <w:color w:val="auto"/>
        </w:rPr>
      </w:pPr>
      <w:r>
        <w:rPr>
          <w:rFonts w:ascii="Courier New" w:cs="Courier New" w:eastAsia="Courier New" w:hAnsi="Courier New"/>
          <w:sz w:val="14"/>
          <w:szCs w:val="14"/>
          <w:color w:val="auto"/>
        </w:rPr>
        <w:t>Due to the Company's recent operating losses, there is significant uncertainty about the Company's ability to generate sufficient taxable income in the future to realize the deferred tax assets. In accordance with SFAS No. 109, the Company has provided a valuation allowance at December 31, 1999 to fully reserve the deferred tax assets. At December 31, 1999, the Company had net operating loss carryforwards for income taxes totaling $83.6 million available to offset future taxable income. The carryforward period expires in 2019.</w:t>
      </w:r>
    </w:p>
    <w:p>
      <w:pPr>
        <w:spacing w:after="0" w:line="77" w:lineRule="exact"/>
        <w:rPr>
          <w:sz w:val="20"/>
          <w:szCs w:val="20"/>
          <w:color w:val="auto"/>
        </w:rPr>
      </w:pPr>
    </w:p>
    <w:p>
      <w:pPr>
        <w:ind w:left="340" w:right="3459"/>
        <w:spacing w:after="0" w:line="366" w:lineRule="auto"/>
        <w:rPr>
          <w:sz w:val="20"/>
          <w:szCs w:val="20"/>
          <w:color w:val="auto"/>
        </w:rPr>
      </w:pPr>
      <w:r>
        <w:rPr>
          <w:rFonts w:ascii="Courier New" w:cs="Courier New" w:eastAsia="Courier New" w:hAnsi="Courier New"/>
          <w:sz w:val="14"/>
          <w:szCs w:val="14"/>
          <w:color w:val="auto"/>
        </w:rPr>
        <w:t>The following summarizes the change in the valuation allowance for the year ended December 31, 1999 (in thousands):</w:t>
      </w:r>
    </w:p>
    <w:p>
      <w:pPr>
        <w:spacing w:after="0" w:line="332" w:lineRule="exact"/>
        <w:rPr>
          <w:sz w:val="20"/>
          <w:szCs w:val="20"/>
          <w:color w:val="auto"/>
        </w:rPr>
      </w:pPr>
    </w:p>
    <w:tbl>
      <w:tblPr>
        <w:tblLayout w:type="fixed"/>
        <w:tblInd w:w="520" w:type="dxa"/>
        <w:tblCellMar>
          <w:top w:w="0" w:type="dxa"/>
          <w:left w:w="0" w:type="dxa"/>
          <w:bottom w:w="0" w:type="dxa"/>
          <w:right w:w="0" w:type="dxa"/>
        </w:tblCellMar>
      </w:tblP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Valuation allowance at January 1, 1999</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Valuation allowance at December 31, 1999</w:t>
            </w:r>
          </w:p>
        </w:tc>
        <w:tc>
          <w:tcPr>
            <w:tcW w:w="7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78,331</w:t>
            </w:r>
          </w:p>
        </w:tc>
        <w:tc>
          <w:tcPr>
            <w:tcW w:w="0" w:type="dxa"/>
            <w:vAlign w:val="bottom"/>
          </w:tcPr>
          <w:p>
            <w:pPr>
              <w:spacing w:after="0"/>
              <w:rPr>
                <w:sz w:val="1"/>
                <w:szCs w:val="1"/>
                <w:color w:val="auto"/>
              </w:rPr>
            </w:pPr>
          </w:p>
        </w:tc>
      </w:tr>
      <w:tr>
        <w:trPr>
          <w:trHeight w:val="163"/>
        </w:trPr>
        <w:tc>
          <w:tcPr>
            <w:tcW w:w="394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Increase in valuation allowance</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940" w:type="dxa"/>
            <w:vAlign w:val="bottom"/>
            <w:vMerge w:val="continue"/>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78,331</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652"/>
        </w:trPr>
        <w:tc>
          <w:tcPr>
            <w:tcW w:w="3940" w:type="dxa"/>
            <w:vAlign w:val="bottom"/>
          </w:tcPr>
          <w:p>
            <w:pPr>
              <w:ind w:left="2700"/>
              <w:spacing w:after="0"/>
              <w:rPr>
                <w:sz w:val="20"/>
                <w:szCs w:val="20"/>
                <w:color w:val="auto"/>
              </w:rPr>
            </w:pPr>
            <w:r>
              <w:rPr>
                <w:rFonts w:ascii="Courier New" w:cs="Courier New" w:eastAsia="Courier New" w:hAnsi="Courier New"/>
                <w:sz w:val="14"/>
                <w:szCs w:val="14"/>
                <w:color w:val="auto"/>
              </w:rPr>
              <w:t>F-76</w:t>
            </w: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257" w:right="1440" w:bottom="1440" w:gutter="0" w:footer="0" w:header="0"/>
        </w:sectPr>
      </w:pPr>
    </w:p>
    <w:bookmarkStart w:id="196" w:name="page197"/>
    <w:bookmarkEnd w:id="196"/>
    <w:p>
      <w:pPr>
        <w:ind w:left="168"/>
        <w:spacing w:after="0"/>
        <w:rPr>
          <w:sz w:val="20"/>
          <w:szCs w:val="20"/>
          <w:color w:val="auto"/>
        </w:rPr>
      </w:pPr>
      <w:r>
        <w:rPr>
          <w:rFonts w:ascii="Courier New" w:cs="Courier New" w:eastAsia="Courier New" w:hAnsi="Courier New"/>
          <w:sz w:val="14"/>
          <w:szCs w:val="14"/>
          <w:color w:val="auto"/>
        </w:rPr>
        <w:t>195</w:t>
      </w:r>
    </w:p>
    <w:p>
      <w:pPr>
        <w:spacing w:after="0" w:line="30" w:lineRule="exact"/>
        <w:rPr>
          <w:sz w:val="20"/>
          <w:szCs w:val="20"/>
          <w:color w:val="auto"/>
        </w:rPr>
      </w:pPr>
    </w:p>
    <w:p>
      <w:pPr>
        <w:ind w:left="248" w:hanging="248"/>
        <w:spacing w:after="0"/>
        <w:tabs>
          <w:tab w:leader="none" w:pos="24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SERVICES AGREEMENTS</w:t>
      </w:r>
    </w:p>
    <w:p>
      <w:pPr>
        <w:spacing w:after="0" w:line="141" w:lineRule="exact"/>
        <w:rPr>
          <w:rFonts w:ascii="Courier New" w:cs="Courier New" w:eastAsia="Courier New" w:hAnsi="Courier New"/>
          <w:sz w:val="14"/>
          <w:szCs w:val="14"/>
          <w:color w:val="auto"/>
        </w:rPr>
      </w:pPr>
    </w:p>
    <w:p>
      <w:pPr>
        <w:ind w:left="248" w:right="335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1, 1999, the Company entered into administrative service agreements with two separately owned, newly formed companies, PMSI and JJFMSI, pursuant to which employees of the Company's administrative departments perform administrative services (including, but not limited to operational support, legal, finance, management information systems and government relations services), as needed, for each of the two companies. In connection therewith, the Company granted each of the two companies the right to use the name "Corrections Corporation of America" in connection with the servicing of management contracts. As consideration for the foregoing, the Company received administrative service fees of $0.25 million per month from each company for a total of $6.0 million for the year ended December 31, 1999. The Company has recognized these amounts as revenues in the statement of operations.</w:t>
      </w:r>
    </w:p>
    <w:p>
      <w:pPr>
        <w:spacing w:after="0" w:line="247"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10.STOCKHOLDERS' EQUITY</w:t>
      </w:r>
    </w:p>
    <w:p>
      <w:pPr>
        <w:spacing w:after="0" w:line="168" w:lineRule="exact"/>
        <w:rPr>
          <w:sz w:val="20"/>
          <w:szCs w:val="20"/>
          <w:color w:val="auto"/>
        </w:rPr>
      </w:pPr>
    </w:p>
    <w:p>
      <w:pPr>
        <w:ind w:left="248"/>
        <w:spacing w:after="0"/>
        <w:rPr>
          <w:sz w:val="20"/>
          <w:szCs w:val="20"/>
          <w:color w:val="auto"/>
        </w:rPr>
      </w:pPr>
      <w:r>
        <w:rPr>
          <w:rFonts w:ascii="Courier New" w:cs="Courier New" w:eastAsia="Courier New" w:hAnsi="Courier New"/>
          <w:sz w:val="14"/>
          <w:szCs w:val="14"/>
          <w:color w:val="auto"/>
        </w:rPr>
        <w:t>Preferred Stock -</w:t>
      </w:r>
    </w:p>
    <w:p>
      <w:pPr>
        <w:spacing w:after="0" w:line="168" w:lineRule="exact"/>
        <w:rPr>
          <w:sz w:val="20"/>
          <w:szCs w:val="20"/>
          <w:color w:val="auto"/>
        </w:rPr>
      </w:pPr>
    </w:p>
    <w:p>
      <w:pPr>
        <w:jc w:val="both"/>
        <w:ind w:left="248" w:right="3359"/>
        <w:spacing w:after="0" w:line="306" w:lineRule="auto"/>
        <w:rPr>
          <w:sz w:val="20"/>
          <w:szCs w:val="20"/>
          <w:color w:val="auto"/>
        </w:rPr>
      </w:pPr>
      <w:r>
        <w:rPr>
          <w:rFonts w:ascii="Courier New" w:cs="Courier New" w:eastAsia="Courier New" w:hAnsi="Courier New"/>
          <w:sz w:val="14"/>
          <w:szCs w:val="14"/>
          <w:color w:val="auto"/>
        </w:rPr>
        <w:t>During 1998, the Company authorized 50.0 million shares of $0.01 (one cent) par value preferred stock. At December 31, 1999 and 1998, no preferred stock was issued or outstanding.</w:t>
      </w:r>
    </w:p>
    <w:p>
      <w:pPr>
        <w:spacing w:after="0" w:line="46" w:lineRule="exact"/>
        <w:rPr>
          <w:sz w:val="20"/>
          <w:szCs w:val="20"/>
          <w:color w:val="auto"/>
        </w:rPr>
      </w:pPr>
    </w:p>
    <w:p>
      <w:pPr>
        <w:ind w:left="248"/>
        <w:spacing w:after="0"/>
        <w:tabs>
          <w:tab w:leader="none" w:pos="1428"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3"/>
          <w:szCs w:val="13"/>
          <w:color w:val="auto"/>
        </w:rPr>
        <w:t>-</w:t>
      </w:r>
    </w:p>
    <w:p>
      <w:pPr>
        <w:spacing w:after="0" w:line="168" w:lineRule="exact"/>
        <w:rPr>
          <w:sz w:val="20"/>
          <w:szCs w:val="20"/>
          <w:color w:val="auto"/>
        </w:rPr>
      </w:pPr>
    </w:p>
    <w:p>
      <w:pPr>
        <w:ind w:left="248" w:right="3359"/>
        <w:spacing w:after="0" w:line="260" w:lineRule="auto"/>
        <w:rPr>
          <w:sz w:val="20"/>
          <w:szCs w:val="20"/>
          <w:color w:val="auto"/>
        </w:rPr>
      </w:pPr>
      <w:r>
        <w:rPr>
          <w:rFonts w:ascii="Courier New" w:cs="Courier New" w:eastAsia="Courier New" w:hAnsi="Courier New"/>
          <w:sz w:val="14"/>
          <w:szCs w:val="14"/>
          <w:color w:val="auto"/>
        </w:rPr>
        <w:t>On September 22, 1998, the Company issued 5.0 million shares of Class A voting common stock to certain employees of Old CCA and Prison Realty who were also founding shareholders of the Company. Neither the Company nor Old CCA received any proceeds from the issuance of these shares. However, Old CCA recorded compensation expense of $22.9 million in 1998 for the implied fair value of the 5.0 million common shares. The fair value of these common shares was determined at the date of the 1999 Merger based upon the fair value of the Company derived from the $16.0 million cash investments in the Company made by outside investors at December 31, 1998, as discussed in Note 1.</w:t>
      </w:r>
    </w:p>
    <w:p>
      <w:pPr>
        <w:spacing w:after="0" w:line="76" w:lineRule="exact"/>
        <w:rPr>
          <w:sz w:val="20"/>
          <w:szCs w:val="20"/>
          <w:color w:val="auto"/>
        </w:rPr>
      </w:pPr>
    </w:p>
    <w:p>
      <w:pPr>
        <w:ind w:left="248" w:right="3359"/>
        <w:spacing w:after="0" w:line="261" w:lineRule="auto"/>
        <w:rPr>
          <w:sz w:val="20"/>
          <w:szCs w:val="20"/>
          <w:color w:val="auto"/>
        </w:rPr>
      </w:pPr>
      <w:r>
        <w:rPr>
          <w:rFonts w:ascii="Courier New" w:cs="Courier New" w:eastAsia="Courier New" w:hAnsi="Courier New"/>
          <w:sz w:val="14"/>
          <w:szCs w:val="14"/>
          <w:color w:val="auto"/>
        </w:rPr>
        <w:t>Additionally, on September 22, 1998, the Company issued 0.8 million restricted shares of Class A voting common stock to certain wardens of Old CCA facilities. The shares held by the wardens are restricted and will vest if, and only if, the wardens remain employees of the Company through December 31, 2003. The Company is expensing the implied fair value (approximately $3.9 million) of these restricted securities over the respective vesting period. The implied fair value of these common shares was also derived from the $16.0 million cash investments in the Company made by outside investors at December 31, 1998, as discussed in Note 1.</w:t>
      </w:r>
    </w:p>
    <w:p>
      <w:pPr>
        <w:spacing w:after="0" w:line="78" w:lineRule="exact"/>
        <w:rPr>
          <w:sz w:val="20"/>
          <w:szCs w:val="20"/>
          <w:color w:val="auto"/>
        </w:rPr>
      </w:pPr>
    </w:p>
    <w:p>
      <w:pPr>
        <w:ind w:left="248" w:right="3799"/>
        <w:spacing w:after="0" w:line="286" w:lineRule="auto"/>
        <w:rPr>
          <w:sz w:val="20"/>
          <w:szCs w:val="20"/>
          <w:color w:val="auto"/>
        </w:rPr>
      </w:pPr>
      <w:r>
        <w:rPr>
          <w:rFonts w:ascii="Courier New" w:cs="Courier New" w:eastAsia="Courier New" w:hAnsi="Courier New"/>
          <w:sz w:val="14"/>
          <w:szCs w:val="14"/>
          <w:color w:val="auto"/>
        </w:rPr>
        <w:t>As discussed in Note 1, the Company sold 3.5 million shares of Class A voting common stock to outside investors immediately prior to the 1999 Merger. The net proceeds of $16.0 million were used for general working capital purposes.</w:t>
      </w:r>
    </w:p>
    <w:p>
      <w:pPr>
        <w:spacing w:after="0" w:line="59" w:lineRule="exact"/>
        <w:rPr>
          <w:sz w:val="20"/>
          <w:szCs w:val="20"/>
          <w:color w:val="auto"/>
        </w:rPr>
      </w:pPr>
    </w:p>
    <w:p>
      <w:pPr>
        <w:ind w:left="248"/>
        <w:spacing w:after="0"/>
        <w:rPr>
          <w:sz w:val="20"/>
          <w:szCs w:val="20"/>
          <w:color w:val="auto"/>
        </w:rPr>
      </w:pPr>
      <w:r>
        <w:rPr>
          <w:rFonts w:ascii="Courier New" w:cs="Courier New" w:eastAsia="Courier New" w:hAnsi="Courier New"/>
          <w:sz w:val="14"/>
          <w:szCs w:val="14"/>
          <w:color w:val="auto"/>
        </w:rPr>
        <w:t>Stock Warrants -</w:t>
      </w:r>
    </w:p>
    <w:p>
      <w:pPr>
        <w:spacing w:after="0" w:line="168" w:lineRule="exact"/>
        <w:rPr>
          <w:sz w:val="20"/>
          <w:szCs w:val="20"/>
          <w:color w:val="auto"/>
        </w:rPr>
      </w:pPr>
    </w:p>
    <w:p>
      <w:pPr>
        <w:ind w:left="248" w:right="3359"/>
        <w:spacing w:after="0" w:line="286" w:lineRule="auto"/>
        <w:rPr>
          <w:sz w:val="20"/>
          <w:szCs w:val="20"/>
          <w:color w:val="auto"/>
        </w:rPr>
      </w:pPr>
      <w:r>
        <w:rPr>
          <w:rFonts w:ascii="Courier New" w:cs="Courier New" w:eastAsia="Courier New" w:hAnsi="Courier New"/>
          <w:sz w:val="14"/>
          <w:szCs w:val="14"/>
          <w:color w:val="auto"/>
        </w:rPr>
        <w:t>In connection with the Company's Old Credit Facility, on December 31, 1998, the Company issued 0.5 million warrants to purchase Class A common shares as part of the debt issuance costs associated with obtaining the Old Credit Facility. The warrants were issued with an exercise price</w:t>
      </w:r>
    </w:p>
    <w:p>
      <w:pPr>
        <w:spacing w:after="0" w:line="222" w:lineRule="exact"/>
        <w:rPr>
          <w:sz w:val="20"/>
          <w:szCs w:val="20"/>
          <w:color w:val="auto"/>
        </w:rPr>
      </w:pPr>
    </w:p>
    <w:p>
      <w:pPr>
        <w:ind w:left="3128"/>
        <w:spacing w:after="0"/>
        <w:rPr>
          <w:sz w:val="20"/>
          <w:szCs w:val="20"/>
          <w:color w:val="auto"/>
        </w:rPr>
      </w:pPr>
      <w:r>
        <w:rPr>
          <w:rFonts w:ascii="Courier New" w:cs="Courier New" w:eastAsia="Courier New" w:hAnsi="Courier New"/>
          <w:sz w:val="14"/>
          <w:szCs w:val="14"/>
          <w:color w:val="auto"/>
        </w:rPr>
        <w:t>F-77</w:t>
      </w:r>
    </w:p>
    <w:p>
      <w:pPr>
        <w:sectPr>
          <w:pgSz w:w="11900" w:h="16838" w:orient="portrait"/>
          <w:cols w:equalWidth="0" w:num="1">
            <w:col w:w="10067"/>
          </w:cols>
          <w:pgMar w:left="392" w:top="257" w:right="1440" w:bottom="1440" w:gutter="0" w:footer="0" w:header="0"/>
        </w:sectPr>
      </w:pPr>
    </w:p>
    <w:bookmarkStart w:id="197" w:name="page198"/>
    <w:bookmarkEnd w:id="197"/>
    <w:p>
      <w:pPr>
        <w:ind w:left="160"/>
        <w:spacing w:after="0"/>
        <w:rPr>
          <w:sz w:val="20"/>
          <w:szCs w:val="20"/>
          <w:color w:val="auto"/>
        </w:rPr>
      </w:pPr>
      <w:r>
        <w:rPr>
          <w:rFonts w:ascii="Courier New" w:cs="Courier New" w:eastAsia="Courier New" w:hAnsi="Courier New"/>
          <w:sz w:val="14"/>
          <w:szCs w:val="14"/>
          <w:color w:val="auto"/>
        </w:rPr>
        <w:t>196</w:t>
      </w:r>
    </w:p>
    <w:p>
      <w:pPr>
        <w:spacing w:after="0" w:line="30" w:lineRule="exact"/>
        <w:rPr>
          <w:sz w:val="20"/>
          <w:szCs w:val="20"/>
          <w:color w:val="auto"/>
        </w:rPr>
      </w:pPr>
    </w:p>
    <w:p>
      <w:pPr>
        <w:ind w:left="240" w:right="3359"/>
        <w:spacing w:after="0" w:line="256" w:lineRule="auto"/>
        <w:rPr>
          <w:sz w:val="20"/>
          <w:szCs w:val="20"/>
          <w:color w:val="auto"/>
        </w:rPr>
      </w:pPr>
      <w:r>
        <w:rPr>
          <w:rFonts w:ascii="Courier New" w:cs="Courier New" w:eastAsia="Courier New" w:hAnsi="Courier New"/>
          <w:sz w:val="14"/>
          <w:szCs w:val="14"/>
          <w:color w:val="auto"/>
        </w:rPr>
        <w:t>of $4.57 per warrant and an expiration date of December 31, 2008. The warrants are exercisable from the date of issuance. The Company determined the fair value of the warrants issued to be approximately $0.6 million utilizing the Black-Scholes option-pricing model and recorded the cost as debt issuance cost within other noncurrent assets on the accompanying consolidated balance sheets. These debt issuance costs were charged to interest expense upon replacement of the Old Credit Facility as described in Note 7. At December 31, 1999 and 1998, all stock warrants remained outstanding.</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11.RETIREMENT PLAN</w:t>
      </w:r>
    </w:p>
    <w:p>
      <w:pPr>
        <w:spacing w:after="0" w:line="168" w:lineRule="exact"/>
        <w:rPr>
          <w:sz w:val="20"/>
          <w:szCs w:val="20"/>
          <w:color w:val="auto"/>
        </w:rPr>
      </w:pPr>
    </w:p>
    <w:p>
      <w:pPr>
        <w:jc w:val="both"/>
        <w:ind w:left="240" w:right="3359"/>
        <w:spacing w:after="0" w:line="259" w:lineRule="auto"/>
        <w:rPr>
          <w:sz w:val="20"/>
          <w:szCs w:val="20"/>
          <w:color w:val="auto"/>
        </w:rPr>
      </w:pPr>
      <w:r>
        <w:rPr>
          <w:rFonts w:ascii="Courier New" w:cs="Courier New" w:eastAsia="Courier New" w:hAnsi="Courier New"/>
          <w:sz w:val="14"/>
          <w:szCs w:val="14"/>
          <w:color w:val="auto"/>
        </w:rPr>
        <w:t>On December 28, 1998, the Company adopted a 401(k) plan (the "Plan") for all eligible employees as defined in the plan documents. The Board of Directors has discretion in establishing the amount of the Company's contributions.</w:t>
      </w:r>
    </w:p>
    <w:p>
      <w:pPr>
        <w:spacing w:after="0" w:line="2" w:lineRule="exact"/>
        <w:rPr>
          <w:sz w:val="20"/>
          <w:szCs w:val="20"/>
          <w:color w:val="auto"/>
        </w:rPr>
      </w:pPr>
    </w:p>
    <w:p>
      <w:pPr>
        <w:ind w:left="240" w:right="3539"/>
        <w:spacing w:after="0" w:line="266" w:lineRule="auto"/>
        <w:rPr>
          <w:sz w:val="20"/>
          <w:szCs w:val="20"/>
          <w:color w:val="auto"/>
        </w:rPr>
      </w:pPr>
      <w:r>
        <w:rPr>
          <w:rFonts w:ascii="Courier New" w:cs="Courier New" w:eastAsia="Courier New" w:hAnsi="Courier New"/>
          <w:sz w:val="14"/>
          <w:szCs w:val="14"/>
          <w:color w:val="auto"/>
        </w:rPr>
        <w:t>The Company's contributions become 40% vested after four years of service and 100% vested after five years of service, and the vested portions are paid on death, retirement or termination. The CCA Employee Stock Ownership Plan merged with the Plan in 1999. The Company's contributions to the Plan amounted to $4.6 million for the year ended December 31, 1999.</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12.COMMITMENTS AND CONTINGENCIES</w:t>
      </w:r>
    </w:p>
    <w:p>
      <w:pPr>
        <w:spacing w:after="0" w:line="168" w:lineRule="exact"/>
        <w:rPr>
          <w:sz w:val="20"/>
          <w:szCs w:val="20"/>
          <w:color w:val="auto"/>
        </w:rPr>
      </w:pPr>
    </w:p>
    <w:p>
      <w:pPr>
        <w:ind w:left="240" w:right="3359"/>
        <w:spacing w:after="0" w:line="276" w:lineRule="auto"/>
        <w:rPr>
          <w:sz w:val="20"/>
          <w:szCs w:val="20"/>
          <w:color w:val="auto"/>
        </w:rPr>
      </w:pPr>
      <w:r>
        <w:rPr>
          <w:rFonts w:ascii="Courier New" w:cs="Courier New" w:eastAsia="Courier New" w:hAnsi="Courier New"/>
          <w:sz w:val="14"/>
          <w:szCs w:val="14"/>
          <w:color w:val="auto"/>
        </w:rPr>
        <w:t>All of the Company's leases of its facilities and certain equipment from Prison Realty are under long-term operating leases expiring through the year 2011. The contractual minimum lease commitments (excluding acceleration or demand provisions) under existing terms for noncancelable leases are as follows (in thousands):</w:t>
      </w:r>
    </w:p>
    <w:p>
      <w:pPr>
        <w:spacing w:after="0" w:line="393"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204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20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AMOUNT</w:t>
            </w: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15"/>
        </w:trPr>
        <w:tc>
          <w:tcPr>
            <w:tcW w:w="20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  310,651</w:t>
            </w:r>
          </w:p>
        </w:tc>
        <w:tc>
          <w:tcPr>
            <w:tcW w:w="0" w:type="dxa"/>
            <w:vAlign w:val="bottom"/>
          </w:tcPr>
          <w:p>
            <w:pPr>
              <w:spacing w:after="0"/>
              <w:rPr>
                <w:sz w:val="1"/>
                <w:szCs w:val="1"/>
                <w:color w:val="auto"/>
              </w:rPr>
            </w:pPr>
          </w:p>
        </w:tc>
      </w:tr>
      <w:tr>
        <w:trPr>
          <w:trHeight w:val="163"/>
        </w:trPr>
        <w:tc>
          <w:tcPr>
            <w:tcW w:w="20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c>
          <w:tcPr>
            <w:tcW w:w="0" w:type="dxa"/>
            <w:vAlign w:val="bottom"/>
          </w:tcPr>
          <w:p>
            <w:pPr>
              <w:spacing w:after="0"/>
              <w:rPr>
                <w:sz w:val="1"/>
                <w:szCs w:val="1"/>
                <w:color w:val="auto"/>
              </w:rPr>
            </w:pPr>
          </w:p>
        </w:tc>
      </w:tr>
      <w:tr>
        <w:trPr>
          <w:trHeight w:val="163"/>
        </w:trPr>
        <w:tc>
          <w:tcPr>
            <w:tcW w:w="20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c>
          <w:tcPr>
            <w:tcW w:w="0" w:type="dxa"/>
            <w:vAlign w:val="bottom"/>
          </w:tcPr>
          <w:p>
            <w:pPr>
              <w:spacing w:after="0"/>
              <w:rPr>
                <w:sz w:val="1"/>
                <w:szCs w:val="1"/>
                <w:color w:val="auto"/>
              </w:rPr>
            </w:pPr>
          </w:p>
        </w:tc>
      </w:tr>
      <w:tr>
        <w:trPr>
          <w:trHeight w:val="163"/>
        </w:trPr>
        <w:tc>
          <w:tcPr>
            <w:tcW w:w="20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c>
          <w:tcPr>
            <w:tcW w:w="0" w:type="dxa"/>
            <w:vAlign w:val="bottom"/>
          </w:tcPr>
          <w:p>
            <w:pPr>
              <w:spacing w:after="0"/>
              <w:rPr>
                <w:sz w:val="1"/>
                <w:szCs w:val="1"/>
                <w:color w:val="auto"/>
              </w:rPr>
            </w:pPr>
          </w:p>
        </w:tc>
      </w:tr>
      <w:tr>
        <w:trPr>
          <w:trHeight w:val="163"/>
        </w:trPr>
        <w:tc>
          <w:tcPr>
            <w:tcW w:w="204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c>
          <w:tcPr>
            <w:tcW w:w="0" w:type="dxa"/>
            <w:vAlign w:val="bottom"/>
          </w:tcPr>
          <w:p>
            <w:pPr>
              <w:spacing w:after="0"/>
              <w:rPr>
                <w:sz w:val="1"/>
                <w:szCs w:val="1"/>
                <w:color w:val="auto"/>
              </w:rPr>
            </w:pPr>
          </w:p>
        </w:tc>
      </w:tr>
      <w:tr>
        <w:trPr>
          <w:trHeight w:val="163"/>
        </w:trPr>
        <w:tc>
          <w:tcPr>
            <w:tcW w:w="20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1,890,193</w:t>
            </w:r>
          </w:p>
        </w:tc>
        <w:tc>
          <w:tcPr>
            <w:tcW w:w="0" w:type="dxa"/>
            <w:vAlign w:val="bottom"/>
          </w:tcPr>
          <w:p>
            <w:pPr>
              <w:spacing w:after="0"/>
              <w:rPr>
                <w:sz w:val="1"/>
                <w:szCs w:val="1"/>
                <w:color w:val="auto"/>
              </w:rPr>
            </w:pPr>
          </w:p>
        </w:tc>
      </w:tr>
      <w:tr>
        <w:trPr>
          <w:trHeight w:val="163"/>
        </w:trPr>
        <w:tc>
          <w:tcPr>
            <w:tcW w:w="204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040" w:type="dxa"/>
            <w:vAlign w:val="bottom"/>
            <w:vMerge w:val="continue"/>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$3,443,448</w:t>
            </w: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240" w:right="3359"/>
        <w:spacing w:after="0" w:line="261" w:lineRule="auto"/>
        <w:rPr>
          <w:sz w:val="20"/>
          <w:szCs w:val="20"/>
          <w:color w:val="auto"/>
        </w:rPr>
      </w:pPr>
      <w:r>
        <w:rPr>
          <w:rFonts w:ascii="Courier New" w:cs="Courier New" w:eastAsia="Courier New" w:hAnsi="Courier New"/>
          <w:sz w:val="14"/>
          <w:szCs w:val="14"/>
          <w:color w:val="auto"/>
        </w:rPr>
        <w:t>As discussed in Note 3, the terms of the CCA Leases provide that it shall be an event of default if the Company fails to pay any installment of rent within 15 days after notice of nonpayment from Prison Realty. Approximately $12.0 million in unpaid rentals related to 1999 exist as of March 29, 2000 as well as approximately $77.7 million (unaudited) in unpaid rentals related to periods subsequent to December 31, 1999. The terms of the CCA Leases provide that Prison Realty could require the Company to relinquish the leased facilities in the event of default. However, as of March 29, 2000, Prison Realty has not provided a notice of nonpayment to the Company.</w:t>
      </w:r>
    </w:p>
    <w:p>
      <w:pPr>
        <w:spacing w:after="0" w:line="78" w:lineRule="exact"/>
        <w:rPr>
          <w:sz w:val="20"/>
          <w:szCs w:val="20"/>
          <w:color w:val="auto"/>
        </w:rPr>
      </w:pPr>
    </w:p>
    <w:p>
      <w:pPr>
        <w:ind w:left="240" w:right="3459"/>
        <w:spacing w:after="0" w:line="286" w:lineRule="auto"/>
        <w:rPr>
          <w:sz w:val="20"/>
          <w:szCs w:val="20"/>
          <w:color w:val="auto"/>
        </w:rPr>
      </w:pPr>
      <w:r>
        <w:rPr>
          <w:rFonts w:ascii="Courier New" w:cs="Courier New" w:eastAsia="Courier New" w:hAnsi="Courier New"/>
          <w:sz w:val="14"/>
          <w:szCs w:val="14"/>
          <w:color w:val="auto"/>
        </w:rPr>
        <w:t>The Company has been named as one of the defendants in a purported class action lawsuit filed by a Prison Realty shareholder against Prison Realty, the Company and Prison Realty's directors. The lawsuit alleges, among other things, certain violations of the Prison Realty directors' fiduciary</w:t>
      </w:r>
    </w:p>
    <w:p>
      <w:pPr>
        <w:spacing w:after="0" w:line="222"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F-78</w:t>
      </w:r>
    </w:p>
    <w:p>
      <w:pPr>
        <w:sectPr>
          <w:pgSz w:w="11900" w:h="16838" w:orient="portrait"/>
          <w:cols w:equalWidth="0" w:num="1">
            <w:col w:w="10059"/>
          </w:cols>
          <w:pgMar w:left="400" w:top="257" w:right="1440" w:bottom="1440" w:gutter="0" w:footer="0" w:header="0"/>
        </w:sectPr>
      </w:pPr>
    </w:p>
    <w:bookmarkStart w:id="198" w:name="page199"/>
    <w:bookmarkEnd w:id="198"/>
    <w:p>
      <w:pPr>
        <w:ind w:left="160"/>
        <w:spacing w:after="0"/>
        <w:rPr>
          <w:sz w:val="20"/>
          <w:szCs w:val="20"/>
          <w:color w:val="auto"/>
        </w:rPr>
      </w:pPr>
      <w:r>
        <w:rPr>
          <w:rFonts w:ascii="Courier New" w:cs="Courier New" w:eastAsia="Courier New" w:hAnsi="Courier New"/>
          <w:sz w:val="14"/>
          <w:szCs w:val="14"/>
          <w:color w:val="auto"/>
        </w:rPr>
        <w:t>197</w:t>
      </w:r>
    </w:p>
    <w:p>
      <w:pPr>
        <w:spacing w:after="0" w:line="30" w:lineRule="exact"/>
        <w:rPr>
          <w:sz w:val="20"/>
          <w:szCs w:val="20"/>
          <w:color w:val="auto"/>
        </w:rPr>
      </w:pPr>
    </w:p>
    <w:p>
      <w:pPr>
        <w:jc w:val="both"/>
        <w:ind w:left="240" w:right="3539"/>
        <w:spacing w:after="0" w:line="286" w:lineRule="auto"/>
        <w:rPr>
          <w:sz w:val="20"/>
          <w:szCs w:val="20"/>
          <w:color w:val="auto"/>
        </w:rPr>
      </w:pPr>
      <w:r>
        <w:rPr>
          <w:rFonts w:ascii="Courier New" w:cs="Courier New" w:eastAsia="Courier New" w:hAnsi="Courier New"/>
          <w:sz w:val="14"/>
          <w:szCs w:val="14"/>
          <w:color w:val="auto"/>
        </w:rPr>
        <w:t>duties in connection with the approval of certain payments to the Company. The Company is continuing to investigate the allegations and an outcome is not determinable as of March 29, 2000.</w:t>
      </w:r>
    </w:p>
    <w:p>
      <w:pPr>
        <w:spacing w:after="0" w:line="59" w:lineRule="exact"/>
        <w:rPr>
          <w:sz w:val="20"/>
          <w:szCs w:val="20"/>
          <w:color w:val="auto"/>
        </w:rPr>
      </w:pPr>
    </w:p>
    <w:p>
      <w:pPr>
        <w:ind w:left="240" w:right="3459"/>
        <w:spacing w:after="0" w:line="270" w:lineRule="auto"/>
        <w:rPr>
          <w:sz w:val="20"/>
          <w:szCs w:val="20"/>
          <w:color w:val="auto"/>
        </w:rPr>
      </w:pPr>
      <w:r>
        <w:rPr>
          <w:rFonts w:ascii="Courier New" w:cs="Courier New" w:eastAsia="Courier New" w:hAnsi="Courier New"/>
          <w:sz w:val="14"/>
          <w:szCs w:val="14"/>
          <w:color w:val="auto"/>
        </w:rPr>
        <w:t>Subsequent to year end, the Company was named as one of the defendants in a purported class action lawsuit alleging that the telephone services at prisons owned or run by the defendants result in charges for collect calls placed by inmates that are unconscionably high. Due to the recent filing of this purported class action lawsuit, an outcome is not determinable as of March 29, 2000.</w:t>
      </w:r>
    </w:p>
    <w:p>
      <w:pPr>
        <w:spacing w:after="0" w:line="71" w:lineRule="exact"/>
        <w:rPr>
          <w:sz w:val="20"/>
          <w:szCs w:val="20"/>
          <w:color w:val="auto"/>
        </w:rPr>
      </w:pPr>
    </w:p>
    <w:p>
      <w:pPr>
        <w:ind w:left="240" w:right="3359"/>
        <w:spacing w:after="0" w:line="266" w:lineRule="auto"/>
        <w:rPr>
          <w:sz w:val="20"/>
          <w:szCs w:val="20"/>
          <w:color w:val="auto"/>
        </w:rPr>
      </w:pPr>
      <w:r>
        <w:rPr>
          <w:rFonts w:ascii="Courier New" w:cs="Courier New" w:eastAsia="Courier New" w:hAnsi="Courier New"/>
          <w:sz w:val="14"/>
          <w:szCs w:val="14"/>
          <w:color w:val="auto"/>
        </w:rPr>
        <w:t>In addition to the above legal matters, the nature of the Company's business results in claims and litigation alleging that the Company is liable for damages arising from the conduct of its employees or others. In the opinion of management, other than the outstanding litigation discussed above, there are no pending legal proceedings that would have a material effect on the consolidated financial position or results of operations of the Company for which the Company has not established adequate reserves.</w:t>
      </w:r>
    </w:p>
    <w:p>
      <w:pPr>
        <w:spacing w:after="0" w:line="74" w:lineRule="exact"/>
        <w:rPr>
          <w:sz w:val="20"/>
          <w:szCs w:val="20"/>
          <w:color w:val="auto"/>
        </w:rPr>
      </w:pPr>
    </w:p>
    <w:p>
      <w:pPr>
        <w:ind w:left="240" w:right="3459"/>
        <w:spacing w:after="0" w:line="266" w:lineRule="auto"/>
        <w:rPr>
          <w:sz w:val="20"/>
          <w:szCs w:val="20"/>
          <w:color w:val="auto"/>
        </w:rPr>
      </w:pPr>
      <w:r>
        <w:rPr>
          <w:rFonts w:ascii="Courier New" w:cs="Courier New" w:eastAsia="Courier New" w:hAnsi="Courier New"/>
          <w:sz w:val="14"/>
          <w:szCs w:val="14"/>
          <w:color w:val="auto"/>
        </w:rPr>
        <w:t>Each of the Company's management contracts and the statutes of certain states require the maintenance of insurance. The Company maintains various insurance policies including employee health, worker's compensation, automobile liability and general liability insurance. These policies are fixed premium policies with various deductible amounts that are self-funded by the Company. Reserves are provided for estimated incurred claims within the deductible amounts.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13.CONCENTRATION OF CREDIT RISK</w:t>
      </w:r>
    </w:p>
    <w:p>
      <w:pPr>
        <w:spacing w:after="0" w:line="168" w:lineRule="exact"/>
        <w:rPr>
          <w:sz w:val="20"/>
          <w:szCs w:val="20"/>
          <w:color w:val="auto"/>
        </w:rPr>
      </w:pPr>
    </w:p>
    <w:p>
      <w:pPr>
        <w:ind w:left="240" w:right="3459"/>
        <w:spacing w:after="0" w:line="306" w:lineRule="auto"/>
        <w:rPr>
          <w:sz w:val="20"/>
          <w:szCs w:val="20"/>
          <w:color w:val="auto"/>
        </w:rPr>
      </w:pPr>
      <w:r>
        <w:rPr>
          <w:rFonts w:ascii="Courier New" w:cs="Courier New" w:eastAsia="Courier New" w:hAnsi="Courier New"/>
          <w:sz w:val="14"/>
          <w:szCs w:val="14"/>
          <w:color w:val="auto"/>
        </w:rPr>
        <w:t>Approximately 97% of the Company's revenues for the year ended December 31, 1999, relate to amounts earned from federal, state and local governmental management and transportation contracts.</w:t>
      </w:r>
    </w:p>
    <w:p>
      <w:pPr>
        <w:spacing w:after="0" w:line="46" w:lineRule="exact"/>
        <w:rPr>
          <w:sz w:val="20"/>
          <w:szCs w:val="20"/>
          <w:color w:val="auto"/>
        </w:rPr>
      </w:pPr>
    </w:p>
    <w:p>
      <w:pPr>
        <w:ind w:left="240" w:right="3619"/>
        <w:spacing w:after="0" w:line="276" w:lineRule="auto"/>
        <w:rPr>
          <w:sz w:val="20"/>
          <w:szCs w:val="20"/>
          <w:color w:val="auto"/>
        </w:rPr>
      </w:pPr>
      <w:r>
        <w:rPr>
          <w:rFonts w:ascii="Courier New" w:cs="Courier New" w:eastAsia="Courier New" w:hAnsi="Courier New"/>
          <w:sz w:val="14"/>
          <w:szCs w:val="14"/>
          <w:color w:val="auto"/>
        </w:rPr>
        <w:t>The Company had revenues of 25% from the federal government and 62% from state governments for the year ended December 31, 1999 for management contracts. Two federal agencies accounted for revenues of 11% and 10% and one state government accounted for revenues of 11% for the year ended December 31, 1999 for management contracts.</w:t>
      </w:r>
    </w:p>
    <w:p>
      <w:pPr>
        <w:spacing w:after="0" w:line="67" w:lineRule="exact"/>
        <w:rPr>
          <w:sz w:val="20"/>
          <w:szCs w:val="20"/>
          <w:color w:val="auto"/>
        </w:rPr>
      </w:pPr>
    </w:p>
    <w:p>
      <w:pPr>
        <w:ind w:left="240" w:right="3359"/>
        <w:spacing w:after="0" w:line="366" w:lineRule="auto"/>
        <w:rPr>
          <w:sz w:val="20"/>
          <w:szCs w:val="20"/>
          <w:color w:val="auto"/>
        </w:rPr>
      </w:pPr>
      <w:r>
        <w:rPr>
          <w:rFonts w:ascii="Courier New" w:cs="Courier New" w:eastAsia="Courier New" w:hAnsi="Courier New"/>
          <w:sz w:val="14"/>
          <w:szCs w:val="14"/>
          <w:color w:val="auto"/>
        </w:rPr>
        <w:t>Substantially all of the Company's accounts receivable are due from federal, state and local governments at December 31, 1999 and 1998.</w:t>
      </w:r>
    </w:p>
    <w:p>
      <w:pPr>
        <w:spacing w:after="0" w:line="6" w:lineRule="exact"/>
        <w:rPr>
          <w:sz w:val="20"/>
          <w:szCs w:val="20"/>
          <w:color w:val="auto"/>
        </w:rPr>
      </w:pPr>
    </w:p>
    <w:p>
      <w:pPr>
        <w:ind w:left="240" w:right="3459"/>
        <w:spacing w:after="0" w:line="366" w:lineRule="auto"/>
        <w:rPr>
          <w:sz w:val="20"/>
          <w:szCs w:val="20"/>
          <w:color w:val="auto"/>
        </w:rPr>
      </w:pPr>
      <w:r>
        <w:rPr>
          <w:rFonts w:ascii="Courier New" w:cs="Courier New" w:eastAsia="Courier New" w:hAnsi="Courier New"/>
          <w:sz w:val="14"/>
          <w:szCs w:val="14"/>
          <w:color w:val="auto"/>
        </w:rPr>
        <w:t>Salaries and related benefits represented 58% of operating expenses for the year ended December 31, 1999.</w:t>
      </w:r>
    </w:p>
    <w:p>
      <w:pPr>
        <w:spacing w:after="0" w:line="169"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F-79</w:t>
      </w:r>
    </w:p>
    <w:p>
      <w:pPr>
        <w:sectPr>
          <w:pgSz w:w="11900" w:h="16838" w:orient="portrait"/>
          <w:cols w:equalWidth="0" w:num="1">
            <w:col w:w="10059"/>
          </w:cols>
          <w:pgMar w:left="400" w:top="257"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4"/>
          <w:szCs w:val="14"/>
          <w:color w:val="auto"/>
        </w:rPr>
        <w:t>198</w:t>
      </w:r>
    </w:p>
    <w:p>
      <w:pPr>
        <w:spacing w:after="0" w:line="3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14. QUARTERLY INFORMATION (UNAUDITED)</w:t>
      </w:r>
    </w:p>
    <w:p>
      <w:pPr>
        <w:spacing w:after="0" w:line="142" w:lineRule="exact"/>
        <w:rPr>
          <w:sz w:val="20"/>
          <w:szCs w:val="20"/>
          <w:color w:val="auto"/>
        </w:rPr>
      </w:pPr>
    </w:p>
    <w:p>
      <w:pPr>
        <w:ind w:left="340" w:right="1000"/>
        <w:spacing w:after="0" w:line="366" w:lineRule="auto"/>
        <w:rPr>
          <w:sz w:val="20"/>
          <w:szCs w:val="20"/>
          <w:color w:val="auto"/>
        </w:rPr>
      </w:pPr>
      <w:r>
        <w:rPr>
          <w:rFonts w:ascii="Courier New" w:cs="Courier New" w:eastAsia="Courier New" w:hAnsi="Courier New"/>
          <w:sz w:val="14"/>
          <w:szCs w:val="14"/>
          <w:color w:val="auto"/>
        </w:rPr>
        <w:t>Selected quarterly financial information for each of the quarters in the year ended December 31, 1999 is as follows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500" w:type="dxa"/>
            <w:vAlign w:val="bottom"/>
          </w:tcPr>
          <w:p>
            <w:pPr>
              <w:spacing w:after="0"/>
              <w:rPr>
                <w:sz w:val="14"/>
                <w:szCs w:val="14"/>
                <w:color w:val="auto"/>
              </w:rPr>
            </w:pPr>
          </w:p>
        </w:tc>
        <w:tc>
          <w:tcPr>
            <w:tcW w:w="14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FIRST</w:t>
            </w:r>
          </w:p>
        </w:tc>
        <w:tc>
          <w:tcPr>
            <w:tcW w:w="14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SECOND</w:t>
            </w:r>
          </w:p>
        </w:tc>
        <w:tc>
          <w:tcPr>
            <w:tcW w:w="170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THIRD</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FOURTH</w:t>
            </w:r>
          </w:p>
        </w:tc>
        <w:tc>
          <w:tcPr>
            <w:tcW w:w="0" w:type="dxa"/>
            <w:vAlign w:val="bottom"/>
          </w:tcPr>
          <w:p>
            <w:pPr>
              <w:spacing w:after="0"/>
              <w:rPr>
                <w:sz w:val="1"/>
                <w:szCs w:val="1"/>
                <w:color w:val="auto"/>
              </w:rPr>
            </w:pPr>
          </w:p>
        </w:tc>
      </w:tr>
      <w:tr>
        <w:trPr>
          <w:trHeight w:val="163"/>
        </w:trPr>
        <w:tc>
          <w:tcPr>
            <w:tcW w:w="1500" w:type="dxa"/>
            <w:vAlign w:val="bottom"/>
          </w:tcPr>
          <w:p>
            <w:pPr>
              <w:spacing w:after="0"/>
              <w:rPr>
                <w:sz w:val="14"/>
                <w:szCs w:val="14"/>
                <w:color w:val="auto"/>
              </w:rPr>
            </w:pPr>
          </w:p>
        </w:tc>
        <w:tc>
          <w:tcPr>
            <w:tcW w:w="14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QUARTER</w:t>
            </w:r>
          </w:p>
        </w:tc>
        <w:tc>
          <w:tcPr>
            <w:tcW w:w="14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QUARTER</w:t>
            </w:r>
          </w:p>
        </w:tc>
        <w:tc>
          <w:tcPr>
            <w:tcW w:w="1700" w:type="dxa"/>
            <w:vAlign w:val="bottom"/>
          </w:tcPr>
          <w:p>
            <w:pPr>
              <w:jc w:val="right"/>
              <w:ind w:right="669"/>
              <w:spacing w:after="0"/>
              <w:rPr>
                <w:sz w:val="20"/>
                <w:szCs w:val="20"/>
                <w:color w:val="auto"/>
              </w:rPr>
            </w:pPr>
            <w:r>
              <w:rPr>
                <w:rFonts w:ascii="Courier New" w:cs="Courier New" w:eastAsia="Courier New" w:hAnsi="Courier New"/>
                <w:sz w:val="14"/>
                <w:szCs w:val="14"/>
                <w:color w:val="auto"/>
              </w:rPr>
              <w:t>QUARTER</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QUARTER</w:t>
            </w: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1"/>
        </w:trPr>
        <w:tc>
          <w:tcPr>
            <w:tcW w:w="15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$ 112,363</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$ 122,985</w:t>
            </w:r>
          </w:p>
        </w:tc>
        <w:tc>
          <w:tcPr>
            <w:tcW w:w="170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$ 129,874</w:t>
            </w:r>
          </w:p>
        </w:tc>
        <w:tc>
          <w:tcPr>
            <w:tcW w:w="1380" w:type="dxa"/>
            <w:vAlign w:val="bottom"/>
          </w:tcPr>
          <w:p>
            <w:pPr>
              <w:ind w:left="280"/>
              <w:spacing w:after="0"/>
              <w:rPr>
                <w:sz w:val="20"/>
                <w:szCs w:val="20"/>
                <w:color w:val="auto"/>
              </w:rPr>
            </w:pPr>
            <w:r>
              <w:rPr>
                <w:rFonts w:ascii="Courier New" w:cs="Courier New" w:eastAsia="Courier New" w:hAnsi="Courier New"/>
                <w:sz w:val="14"/>
                <w:szCs w:val="14"/>
                <w:color w:val="auto"/>
              </w:rPr>
              <w:t>$ 134,070</w:t>
            </w:r>
          </w:p>
        </w:tc>
        <w:tc>
          <w:tcPr>
            <w:tcW w:w="0" w:type="dxa"/>
            <w:vAlign w:val="bottom"/>
          </w:tcPr>
          <w:p>
            <w:pPr>
              <w:spacing w:after="0"/>
              <w:rPr>
                <w:sz w:val="1"/>
                <w:szCs w:val="1"/>
                <w:color w:val="auto"/>
              </w:rPr>
            </w:pP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(60,518)</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(55,923)</w:t>
            </w:r>
          </w:p>
        </w:tc>
        <w:tc>
          <w:tcPr>
            <w:tcW w:w="17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(63,512)</w:t>
            </w:r>
          </w:p>
        </w:tc>
        <w:tc>
          <w:tcPr>
            <w:tcW w:w="1380" w:type="dxa"/>
            <w:vAlign w:val="bottom"/>
          </w:tcPr>
          <w:p>
            <w:pPr>
              <w:ind w:left="540"/>
              <w:spacing w:after="0"/>
              <w:rPr>
                <w:sz w:val="20"/>
                <w:szCs w:val="20"/>
                <w:color w:val="auto"/>
              </w:rPr>
            </w:pPr>
            <w:r>
              <w:rPr>
                <w:rFonts w:ascii="Courier New" w:cs="Courier New" w:eastAsia="Courier New" w:hAnsi="Courier New"/>
                <w:sz w:val="14"/>
                <w:szCs w:val="14"/>
                <w:color w:val="auto"/>
                <w:w w:val="97"/>
              </w:rPr>
              <w:t>(2,491)(b)</w:t>
            </w:r>
          </w:p>
        </w:tc>
        <w:tc>
          <w:tcPr>
            <w:tcW w:w="0" w:type="dxa"/>
            <w:vAlign w:val="bottom"/>
          </w:tcPr>
          <w:p>
            <w:pPr>
              <w:spacing w:after="0"/>
              <w:rPr>
                <w:sz w:val="1"/>
                <w:szCs w:val="1"/>
                <w:color w:val="auto"/>
              </w:rPr>
            </w:pPr>
          </w:p>
        </w:tc>
      </w:tr>
      <w:tr>
        <w:trPr>
          <w:trHeight w:val="163"/>
        </w:trPr>
        <w:tc>
          <w:tcPr>
            <w:tcW w:w="1500" w:type="dxa"/>
            <w:vAlign w:val="bottom"/>
            <w:vMerge w:val="restart"/>
          </w:tcPr>
          <w:p>
            <w:pPr>
              <w:spacing w:after="0"/>
              <w:rPr>
                <w:sz w:val="20"/>
                <w:szCs w:val="20"/>
                <w:color w:val="auto"/>
              </w:rPr>
            </w:pPr>
            <w:r>
              <w:rPr>
                <w:rFonts w:ascii="Courier New" w:cs="Courier New" w:eastAsia="Courier New" w:hAnsi="Courier New"/>
                <w:sz w:val="14"/>
                <w:szCs w:val="14"/>
                <w:color w:val="auto"/>
              </w:rPr>
              <w:t>Net loss</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500" w:type="dxa"/>
            <w:vAlign w:val="bottom"/>
            <w:vMerge w:val="continue"/>
          </w:tcPr>
          <w:p>
            <w:pPr>
              <w:spacing w:after="0"/>
              <w:rPr>
                <w:sz w:val="14"/>
                <w:szCs w:val="14"/>
                <w:color w:val="auto"/>
              </w:rPr>
            </w:pP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(39,766)</w:t>
            </w:r>
          </w:p>
        </w:tc>
        <w:tc>
          <w:tcPr>
            <w:tcW w:w="14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(37,262)</w:t>
            </w:r>
          </w:p>
        </w:tc>
        <w:tc>
          <w:tcPr>
            <w:tcW w:w="17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$(118,346)(a)</w:t>
            </w:r>
          </w:p>
        </w:tc>
        <w:tc>
          <w:tcPr>
            <w:tcW w:w="1380" w:type="dxa"/>
            <w:vAlign w:val="bottom"/>
          </w:tcPr>
          <w:p>
            <w:pPr>
              <w:ind w:left="280"/>
              <w:spacing w:after="0"/>
              <w:rPr>
                <w:sz w:val="20"/>
                <w:szCs w:val="20"/>
                <w:color w:val="auto"/>
              </w:rPr>
            </w:pPr>
            <w:r>
              <w:rPr>
                <w:rFonts w:ascii="Courier New" w:cs="Courier New" w:eastAsia="Courier New" w:hAnsi="Courier New"/>
                <w:sz w:val="14"/>
                <w:szCs w:val="14"/>
                <w:color w:val="auto"/>
                <w:w w:val="98"/>
              </w:rPr>
              <w:t>$  (7,544)(b)</w:t>
            </w: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680" w:right="760" w:hanging="673"/>
        <w:spacing w:after="0" w:line="306" w:lineRule="auto"/>
        <w:tabs>
          <w:tab w:leader="none" w:pos="6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loss in the third quarter reflects the Company's decision that previously reported income tax benefits of $50.3 million related to its 1999 losses should be fully reserved.</w:t>
      </w:r>
    </w:p>
    <w:p>
      <w:pPr>
        <w:spacing w:after="0" w:line="45" w:lineRule="exact"/>
        <w:rPr>
          <w:rFonts w:ascii="Courier New" w:cs="Courier New" w:eastAsia="Courier New" w:hAnsi="Courier New"/>
          <w:sz w:val="14"/>
          <w:szCs w:val="14"/>
          <w:color w:val="auto"/>
        </w:rPr>
      </w:pPr>
    </w:p>
    <w:p>
      <w:pPr>
        <w:ind w:left="680" w:right="660" w:hanging="673"/>
        <w:spacing w:after="0" w:line="286" w:lineRule="auto"/>
        <w:tabs>
          <w:tab w:leader="none" w:pos="6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operating loss and net loss in the fourth quarter were substantially lower than the first three quarters due to changes in the terms of the CCA Leases which allowed the Company to reverse previously recorded straight line rent accruals of $56.9 million.</w:t>
      </w:r>
    </w:p>
    <w:p>
      <w:pPr>
        <w:spacing w:after="0" w:line="22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39"/>
        <w:spacing w:after="0"/>
        <w:rPr>
          <w:sz w:val="20"/>
          <w:szCs w:val="20"/>
          <w:color w:val="auto"/>
        </w:rPr>
      </w:pPr>
      <w:r>
        <w:rPr>
          <w:rFonts w:ascii="Courier New" w:cs="Courier New" w:eastAsia="Courier New" w:hAnsi="Courier New"/>
          <w:sz w:val="14"/>
          <w:szCs w:val="14"/>
          <w:color w:val="auto"/>
        </w:rPr>
        <w:t>TOTAL</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ind w:left="180" w:hanging="177"/>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499,292</w:t>
      </w:r>
    </w:p>
    <w:p>
      <w:pPr>
        <w:spacing w:after="0" w:line="30"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(182,444)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$(202,918)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460" w:space="600"/>
            <w:col w:w="2099"/>
          </w:cols>
          <w:pgMar w:left="300" w:top="257"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4"/>
          <w:szCs w:val="14"/>
          <w:color w:val="auto"/>
        </w:rPr>
        <w:t>199</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Prison Realty Trust, Inc.:</w:t>
      </w:r>
    </w:p>
    <w:p>
      <w:pPr>
        <w:spacing w:after="0" w:line="142" w:lineRule="exact"/>
        <w:rPr>
          <w:sz w:val="20"/>
          <w:szCs w:val="20"/>
          <w:color w:val="auto"/>
        </w:rPr>
      </w:pPr>
    </w:p>
    <w:p>
      <w:pPr>
        <w:ind w:right="3359"/>
        <w:spacing w:after="0" w:line="255" w:lineRule="auto"/>
        <w:rPr>
          <w:sz w:val="20"/>
          <w:szCs w:val="20"/>
          <w:color w:val="auto"/>
        </w:rPr>
      </w:pPr>
      <w:r>
        <w:rPr>
          <w:rFonts w:ascii="Courier New" w:cs="Courier New" w:eastAsia="Courier New" w:hAnsi="Courier New"/>
          <w:sz w:val="14"/>
          <w:szCs w:val="14"/>
          <w:color w:val="auto"/>
        </w:rPr>
        <w:t>We have audited, in accordance with generally accepted auditing standards, the consolidated financial statements of Prison Realty Trust, Inc. as of December 31, 1999 and 1998 and for each of the three years in the period ended December 31, 1999 included in this Annual Report on Form 10-K and have issued our report thereon dated March 27, 2000. Our audit was made for the purpose of forming an opinion on the basic consolidated financial statements taken as a whole. The financial statement schedule listed in the accompanying index is the responsibility of Prison Realty Trust, Inc.'s management and is presented for purposes of complying with the Securities and Exchange Commission's rules and regulations under the Securities and Exchange Act of 1934 and is not a required part of the basic consolidated financial statements. The financial statement schedule has been subjected to the auditing procedures applied in the audit of the basic consolidated financial statements and, in our opinion, fairly states, in all material respects, the financial data required to be set forth therein in relation to the basic consolidated financial statements taken as a whole.</w:t>
      </w:r>
    </w:p>
    <w:p>
      <w:pPr>
        <w:spacing w:after="0" w:line="82"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ARTHUR ANDERSEN LLP</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2000</w:t>
      </w:r>
    </w:p>
    <w:p>
      <w:pPr>
        <w:spacing w:after="0" w:line="200" w:lineRule="exact"/>
        <w:rPr>
          <w:sz w:val="20"/>
          <w:szCs w:val="20"/>
          <w:color w:val="auto"/>
        </w:rPr>
      </w:pPr>
    </w:p>
    <w:p>
      <w:pPr>
        <w:spacing w:after="0" w:line="2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S-1</w:t>
      </w:r>
    </w:p>
    <w:p>
      <w:pPr>
        <w:sectPr>
          <w:pgSz w:w="11900" w:h="16838" w:orient="portrait"/>
          <w:cols w:equalWidth="0" w:num="1">
            <w:col w:w="10159"/>
          </w:cols>
          <w:pgMar w:left="300" w:top="257"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4"/>
          <w:szCs w:val="14"/>
          <w:color w:val="auto"/>
        </w:rPr>
        <w:t>200</w:t>
      </w:r>
    </w:p>
    <w:p>
      <w:pPr>
        <w:spacing w:after="0" w:line="30"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SCHEDULE III</w:t>
      </w:r>
    </w:p>
    <w:p>
      <w:pPr>
        <w:spacing w:after="0" w:line="4"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REAL ESTATE AND ACCUMULATED DEPRECIATION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DECEMBER 31,</w:t>
            </w: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rPr>
              <w:t>1999</w:t>
            </w: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5020" w:type="dxa"/>
            <w:vAlign w:val="bottom"/>
            <w:gridSpan w:val="5"/>
          </w:tcPr>
          <w:p>
            <w:pPr>
              <w:ind w:left="2220"/>
              <w:spacing w:after="0"/>
              <w:rPr>
                <w:sz w:val="20"/>
                <w:szCs w:val="20"/>
                <w:color w:val="auto"/>
              </w:rPr>
            </w:pPr>
            <w:r>
              <w:rPr>
                <w:rFonts w:ascii="Courier New" w:cs="Courier New" w:eastAsia="Courier New" w:hAnsi="Courier New"/>
                <w:sz w:val="14"/>
                <w:szCs w:val="14"/>
                <w:color w:val="auto"/>
              </w:rPr>
              <w:t>(DOLLAR AMOUNTS IN THOUSANDS)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1"/>
        </w:trPr>
        <w:tc>
          <w:tcPr>
            <w:tcW w:w="3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w w:val="95"/>
              </w:rPr>
              <w:t>Costs</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3"/>
            <w:vMerge w:val="restart"/>
          </w:tcPr>
          <w:p>
            <w:pPr>
              <w:jc w:val="right"/>
              <w:ind w:right="529"/>
              <w:spacing w:after="0"/>
              <w:rPr>
                <w:sz w:val="20"/>
                <w:szCs w:val="20"/>
                <w:color w:val="auto"/>
              </w:rPr>
            </w:pPr>
            <w:r>
              <w:rPr>
                <w:rFonts w:ascii="Courier New" w:cs="Courier New" w:eastAsia="Courier New" w:hAnsi="Courier New"/>
                <w:sz w:val="14"/>
                <w:szCs w:val="14"/>
                <w:color w:val="auto"/>
              </w:rPr>
              <w:t>Initial Cost</w:t>
            </w:r>
          </w:p>
        </w:tc>
        <w:tc>
          <w:tcPr>
            <w:tcW w:w="260" w:type="dxa"/>
            <w:vAlign w:val="bottom"/>
          </w:tcPr>
          <w:p>
            <w:pPr>
              <w:spacing w:after="0"/>
              <w:rPr>
                <w:sz w:val="14"/>
                <w:szCs w:val="14"/>
                <w:color w:val="auto"/>
              </w:rPr>
            </w:pPr>
          </w:p>
        </w:tc>
        <w:tc>
          <w:tcPr>
            <w:tcW w:w="2200" w:type="dxa"/>
            <w:vAlign w:val="bottom"/>
            <w:gridSpan w:val="4"/>
          </w:tcPr>
          <w:p>
            <w:pPr>
              <w:jc w:val="right"/>
              <w:ind w:right="269"/>
              <w:spacing w:after="0"/>
              <w:rPr>
                <w:sz w:val="20"/>
                <w:szCs w:val="20"/>
                <w:color w:val="auto"/>
              </w:rPr>
            </w:pPr>
            <w:r>
              <w:rPr>
                <w:rFonts w:ascii="Courier New" w:cs="Courier New" w:eastAsia="Courier New" w:hAnsi="Courier New"/>
                <w:sz w:val="14"/>
                <w:szCs w:val="14"/>
                <w:color w:val="auto"/>
                <w:w w:val="99"/>
              </w:rPr>
              <w:t>Capitalized Subsequent</w:t>
            </w: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to Acquisition</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0" w:type="dxa"/>
            <w:vAlign w:val="bottom"/>
            <w:gridSpan w:val="3"/>
          </w:tcPr>
          <w:p>
            <w:pPr>
              <w:jc w:val="center"/>
              <w:ind w:lef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0"/>
                <w:szCs w:val="20"/>
                <w:color w:val="auto"/>
              </w:rPr>
            </w:pPr>
          </w:p>
        </w:tc>
        <w:tc>
          <w:tcPr>
            <w:tcW w:w="2200" w:type="dxa"/>
            <w:vAlign w:val="bottom"/>
            <w:gridSpan w:val="4"/>
          </w:tcPr>
          <w:p>
            <w:pPr>
              <w:jc w:val="right"/>
              <w:ind w:right="269"/>
              <w:spacing w:after="0"/>
              <w:rPr>
                <w:sz w:val="20"/>
                <w:szCs w:val="20"/>
                <w:color w:val="auto"/>
              </w:rPr>
            </w:pPr>
            <w:r>
              <w:rPr>
                <w:rFonts w:ascii="Courier New" w:cs="Courier New" w:eastAsia="Courier New" w:hAnsi="Courier New"/>
                <w:sz w:val="14"/>
                <w:szCs w:val="14"/>
                <w:color w:val="auto"/>
                <w:w w:val="99"/>
              </w:rPr>
              <w:t>----------------------</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20" w:type="dxa"/>
            <w:vAlign w:val="bottom"/>
            <w:gridSpan w:val="2"/>
          </w:tcPr>
          <w:p>
            <w:pPr>
              <w:jc w:val="center"/>
              <w:ind w:left="89"/>
              <w:spacing w:after="0"/>
              <w:rPr>
                <w:sz w:val="20"/>
                <w:szCs w:val="20"/>
                <w:color w:val="auto"/>
              </w:rPr>
            </w:pPr>
            <w:r>
              <w:rPr>
                <w:rFonts w:ascii="Courier New" w:cs="Courier New" w:eastAsia="Courier New" w:hAnsi="Courier New"/>
                <w:sz w:val="14"/>
                <w:szCs w:val="14"/>
                <w:color w:val="auto"/>
                <w:w w:val="99"/>
              </w:rPr>
              <w:t>Buildings,</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Buildings,</w:t>
            </w: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gridSpan w:val="2"/>
          </w:tcPr>
          <w:p>
            <w:pPr>
              <w:jc w:val="center"/>
              <w:ind w:left="169"/>
              <w:spacing w:after="0"/>
              <w:rPr>
                <w:sz w:val="20"/>
                <w:szCs w:val="20"/>
                <w:color w:val="auto"/>
              </w:rPr>
            </w:pPr>
            <w:r>
              <w:rPr>
                <w:rFonts w:ascii="Courier New" w:cs="Courier New" w:eastAsia="Courier New" w:hAnsi="Courier New"/>
                <w:sz w:val="14"/>
                <w:szCs w:val="14"/>
                <w:color w:val="auto"/>
              </w:rPr>
              <w:t>Improvements,</w:t>
            </w:r>
          </w:p>
        </w:tc>
        <w:tc>
          <w:tcPr>
            <w:tcW w:w="260" w:type="dxa"/>
            <w:vAlign w:val="bottom"/>
          </w:tcPr>
          <w:p>
            <w:pPr>
              <w:spacing w:after="0"/>
              <w:rPr>
                <w:sz w:val="14"/>
                <w:szCs w:val="14"/>
                <w:color w:val="auto"/>
              </w:rPr>
            </w:pPr>
          </w:p>
        </w:tc>
        <w:tc>
          <w:tcPr>
            <w:tcW w:w="2200" w:type="dxa"/>
            <w:vAlign w:val="bottom"/>
            <w:gridSpan w:val="4"/>
          </w:tcPr>
          <w:p>
            <w:pPr>
              <w:jc w:val="right"/>
              <w:ind w:right="349"/>
              <w:spacing w:after="0"/>
              <w:rPr>
                <w:sz w:val="20"/>
                <w:szCs w:val="20"/>
                <w:color w:val="auto"/>
              </w:rPr>
            </w:pPr>
            <w:r>
              <w:rPr>
                <w:rFonts w:ascii="Courier New" w:cs="Courier New" w:eastAsia="Courier New" w:hAnsi="Courier New"/>
                <w:sz w:val="14"/>
                <w:szCs w:val="14"/>
                <w:color w:val="auto"/>
              </w:rPr>
              <w:t>Improvements,</w:t>
            </w: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gridSpan w:val="2"/>
          </w:tcPr>
          <w:p>
            <w:pPr>
              <w:jc w:val="center"/>
              <w:ind w:left="89"/>
              <w:spacing w:after="0"/>
              <w:rPr>
                <w:sz w:val="20"/>
                <w:szCs w:val="20"/>
                <w:color w:val="auto"/>
              </w:rPr>
            </w:pPr>
            <w:r>
              <w:rPr>
                <w:rFonts w:ascii="Courier New" w:cs="Courier New" w:eastAsia="Courier New" w:hAnsi="Courier New"/>
                <w:sz w:val="14"/>
                <w:szCs w:val="14"/>
                <w:color w:val="auto"/>
                <w:w w:val="99"/>
              </w:rPr>
              <w:t>Equipment,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Equipment,</w:t>
            </w:r>
          </w:p>
        </w:tc>
        <w:tc>
          <w:tcPr>
            <w:tcW w:w="5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in</w:t>
            </w: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Properties by State</w:t>
            </w:r>
          </w:p>
        </w:tc>
        <w:tc>
          <w:tcPr>
            <w:tcW w:w="1280" w:type="dxa"/>
            <w:vAlign w:val="bottom"/>
            <w:gridSpan w:val="3"/>
            <w:vMerge w:val="restart"/>
          </w:tcPr>
          <w:p>
            <w:pPr>
              <w:jc w:val="right"/>
              <w:ind w:right="109"/>
              <w:spacing w:after="0"/>
              <w:rPr>
                <w:sz w:val="20"/>
                <w:szCs w:val="20"/>
                <w:color w:val="auto"/>
              </w:rPr>
            </w:pPr>
            <w:r>
              <w:rPr>
                <w:rFonts w:ascii="Courier New" w:cs="Courier New" w:eastAsia="Courier New" w:hAnsi="Courier New"/>
                <w:sz w:val="14"/>
                <w:szCs w:val="14"/>
                <w:color w:val="auto"/>
              </w:rPr>
              <w:t>Encumbrances</w:t>
            </w:r>
          </w:p>
        </w:tc>
        <w:tc>
          <w:tcPr>
            <w:tcW w:w="6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Land</w:t>
            </w:r>
          </w:p>
        </w:tc>
        <w:tc>
          <w:tcPr>
            <w:tcW w:w="1520" w:type="dxa"/>
            <w:vAlign w:val="bottom"/>
            <w:gridSpan w:val="2"/>
          </w:tcPr>
          <w:p>
            <w:pPr>
              <w:jc w:val="center"/>
              <w:ind w:left="169"/>
              <w:spacing w:after="0"/>
              <w:rPr>
                <w:sz w:val="20"/>
                <w:szCs w:val="20"/>
                <w:color w:val="auto"/>
              </w:rPr>
            </w:pPr>
            <w:r>
              <w:rPr>
                <w:rFonts w:ascii="Courier New" w:cs="Courier New" w:eastAsia="Courier New" w:hAnsi="Courier New"/>
                <w:sz w:val="14"/>
                <w:szCs w:val="14"/>
                <w:color w:val="auto"/>
              </w:rPr>
              <w:t>Construction in</w:t>
            </w:r>
          </w:p>
        </w:tc>
        <w:tc>
          <w:tcPr>
            <w:tcW w:w="26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Construction</w:t>
            </w:r>
          </w:p>
        </w:tc>
        <w:tc>
          <w:tcPr>
            <w:tcW w:w="56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520" w:type="dxa"/>
            <w:vAlign w:val="bottom"/>
            <w:gridSpan w:val="2"/>
          </w:tcPr>
          <w:p>
            <w:pPr>
              <w:jc w:val="center"/>
              <w:ind w:left="89"/>
              <w:spacing w:after="0"/>
              <w:rPr>
                <w:sz w:val="20"/>
                <w:szCs w:val="20"/>
                <w:color w:val="auto"/>
              </w:rPr>
            </w:pPr>
            <w:r>
              <w:rPr>
                <w:rFonts w:ascii="Courier New" w:cs="Courier New" w:eastAsia="Courier New" w:hAnsi="Courier New"/>
                <w:sz w:val="14"/>
                <w:szCs w:val="14"/>
                <w:color w:val="auto"/>
              </w:rPr>
              <w:t>Progress</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Land</w:t>
            </w:r>
          </w:p>
        </w:tc>
        <w:tc>
          <w:tcPr>
            <w:tcW w:w="8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Progress</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4"/>
          </w:tcPr>
          <w:p>
            <w:pPr>
              <w:jc w:val="right"/>
              <w:ind w:right="29"/>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Texas (9 properties)</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1</w:t>
            </w:r>
          </w:p>
        </w:tc>
        <w:tc>
          <w:tcPr>
            <w:tcW w:w="4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$ 2,930</w:t>
            </w:r>
          </w:p>
        </w:tc>
        <w:tc>
          <w:tcPr>
            <w:tcW w:w="580" w:type="dxa"/>
            <w:vAlign w:val="bottom"/>
          </w:tcPr>
          <w:p>
            <w:pPr>
              <w:jc w:val="center"/>
              <w:ind w:left="269"/>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275,059</w:t>
            </w:r>
          </w:p>
        </w:tc>
        <w:tc>
          <w:tcPr>
            <w:tcW w:w="260" w:type="dxa"/>
            <w:vAlign w:val="bottom"/>
          </w:tcPr>
          <w:p>
            <w:pPr>
              <w:spacing w:after="0"/>
              <w:rPr>
                <w:sz w:val="21"/>
                <w:szCs w:val="21"/>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$559</w:t>
            </w:r>
          </w:p>
        </w:tc>
        <w:tc>
          <w:tcPr>
            <w:tcW w:w="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4,959</w:t>
            </w: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Oklahoma (4 properties)</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1</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826</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225,572</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7,998</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Kentucky (4 properties) - Note 4</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1</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1,818</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25,028</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33,489</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Tennessee (5 properties)</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1</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15,485</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114,052</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2,948</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New Mexico (3 properties)</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1</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1,376</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88,618</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403</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23,813</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Arizona (3 properties)</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1</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2,688</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401,666</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1,462</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Colorado (3 properties)</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1</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956</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78,978</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18,665</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Georgia (5 properties)</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1</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1,297</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154,058</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California (4 properties)</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1</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3,699</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231,824</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North Carolina (2 properties)</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1</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406</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83,448</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Ohio (2 properties)</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1</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1,507</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163,967</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2,215</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All Other States (7 properties)</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1</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3,462</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194,026</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873</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properties)</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Note</w:t>
            </w:r>
          </w:p>
        </w:tc>
        <w:tc>
          <w:tcPr>
            <w:tcW w:w="8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1</w:t>
            </w:r>
          </w:p>
        </w:tc>
        <w:tc>
          <w:tcPr>
            <w:tcW w:w="4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9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88,151</w:t>
            </w:r>
          </w:p>
        </w:tc>
        <w:tc>
          <w:tcPr>
            <w:tcW w:w="260" w:type="dxa"/>
            <w:vAlign w:val="bottom"/>
          </w:tcPr>
          <w:p>
            <w:pPr>
              <w:spacing w:after="0"/>
              <w:rPr>
                <w:sz w:val="14"/>
                <w:szCs w:val="14"/>
                <w:color w:val="auto"/>
              </w:rPr>
            </w:pPr>
          </w:p>
        </w:tc>
        <w:tc>
          <w:tcPr>
            <w:tcW w:w="7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United Kingdom (1 property)</w:t>
            </w:r>
          </w:p>
        </w:tc>
        <w:tc>
          <w:tcPr>
            <w:tcW w:w="7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$36,450</w:t>
            </w:r>
          </w:p>
        </w:tc>
        <w:tc>
          <w:tcPr>
            <w:tcW w:w="15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$2,124,447</w:t>
            </w: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$962</w:t>
            </w:r>
          </w:p>
        </w:tc>
        <w:tc>
          <w:tcPr>
            <w:tcW w:w="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96,422</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0"/>
                <w:szCs w:val="20"/>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1"/>
        </w:trPr>
        <w:tc>
          <w:tcPr>
            <w:tcW w:w="3060" w:type="dxa"/>
            <w:vAlign w:val="bottom"/>
          </w:tcPr>
          <w:p>
            <w:pPr>
              <w:spacing w:after="0"/>
              <w:rPr>
                <w:sz w:val="24"/>
                <w:szCs w:val="24"/>
                <w:color w:val="auto"/>
              </w:rPr>
            </w:pPr>
          </w:p>
        </w:tc>
        <w:tc>
          <w:tcPr>
            <w:tcW w:w="3480" w:type="dxa"/>
            <w:vAlign w:val="bottom"/>
            <w:gridSpan w:val="6"/>
          </w:tcPr>
          <w:p>
            <w:pPr>
              <w:jc w:val="right"/>
              <w:ind w:right="789"/>
              <w:spacing w:after="0"/>
              <w:rPr>
                <w:sz w:val="20"/>
                <w:szCs w:val="20"/>
                <w:color w:val="auto"/>
              </w:rPr>
            </w:pPr>
            <w:r>
              <w:rPr>
                <w:rFonts w:ascii="Courier New" w:cs="Courier New" w:eastAsia="Courier New" w:hAnsi="Courier New"/>
                <w:sz w:val="14"/>
                <w:szCs w:val="14"/>
                <w:color w:val="auto"/>
              </w:rPr>
              <w:t>Total Historical Cost at</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w w:val="99"/>
              </w:rPr>
              <w:t>December 31,</w:t>
            </w:r>
          </w:p>
        </w:tc>
        <w:tc>
          <w:tcPr>
            <w:tcW w:w="5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89"/>
              </w:rPr>
              <w:t>1999</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p>
        </w:tc>
        <w:tc>
          <w:tcPr>
            <w:tcW w:w="3480" w:type="dxa"/>
            <w:vAlign w:val="bottom"/>
            <w:gridSpan w:val="6"/>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Life on</w:t>
            </w:r>
          </w:p>
        </w:tc>
        <w:tc>
          <w:tcPr>
            <w:tcW w:w="0" w:type="dxa"/>
            <w:vAlign w:val="bottom"/>
          </w:tcPr>
          <w:p>
            <w:pPr>
              <w:spacing w:after="0"/>
              <w:rPr>
                <w:sz w:val="1"/>
                <w:szCs w:val="1"/>
                <w:color w:val="auto"/>
              </w:rPr>
            </w:pPr>
          </w:p>
        </w:tc>
      </w:tr>
      <w:tr>
        <w:trPr>
          <w:trHeight w:val="88"/>
        </w:trPr>
        <w:tc>
          <w:tcPr>
            <w:tcW w:w="3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restart"/>
          </w:tcPr>
          <w:p>
            <w:pPr>
              <w:jc w:val="right"/>
              <w:ind w:right="29"/>
              <w:spacing w:after="0"/>
              <w:rPr>
                <w:sz w:val="20"/>
                <w:szCs w:val="20"/>
                <w:color w:val="auto"/>
              </w:rPr>
            </w:pPr>
            <w:r>
              <w:rPr>
                <w:rFonts w:ascii="Courier New" w:cs="Courier New" w:eastAsia="Courier New" w:hAnsi="Courier New"/>
                <w:sz w:val="14"/>
                <w:szCs w:val="14"/>
                <w:color w:val="auto"/>
              </w:rPr>
              <w:t>Buildings,</w:t>
            </w: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ind w:left="420"/>
              <w:spacing w:after="0"/>
              <w:rPr>
                <w:sz w:val="20"/>
                <w:szCs w:val="20"/>
                <w:color w:val="auto"/>
              </w:rPr>
            </w:pPr>
            <w:r>
              <w:rPr>
                <w:rFonts w:ascii="Courier New" w:cs="Courier New" w:eastAsia="Courier New" w:hAnsi="Courier New"/>
                <w:sz w:val="14"/>
                <w:szCs w:val="14"/>
                <w:color w:val="auto"/>
              </w:rPr>
              <w:t>which</w:t>
            </w: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jc w:val="right"/>
              <w:ind w:right="429"/>
              <w:spacing w:after="0"/>
              <w:rPr>
                <w:sz w:val="20"/>
                <w:szCs w:val="20"/>
                <w:color w:val="auto"/>
              </w:rPr>
            </w:pPr>
            <w:r>
              <w:rPr>
                <w:rFonts w:ascii="Courier New" w:cs="Courier New" w:eastAsia="Courier New" w:hAnsi="Courier New"/>
                <w:sz w:val="14"/>
                <w:szCs w:val="14"/>
                <w:color w:val="auto"/>
              </w:rPr>
              <w:t>Improvements,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depreciation</w:t>
            </w: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Equipment,</w:t>
            </w:r>
          </w:p>
        </w:tc>
        <w:tc>
          <w:tcPr>
            <w:tcW w:w="580" w:type="dxa"/>
            <w:vAlign w:val="bottom"/>
            <w:vMerge w:val="restart"/>
          </w:tcPr>
          <w:p>
            <w:pPr>
              <w:spacing w:after="0"/>
              <w:rPr>
                <w:sz w:val="20"/>
                <w:szCs w:val="20"/>
                <w:color w:val="auto"/>
              </w:rPr>
            </w:pPr>
            <w:r>
              <w:rPr>
                <w:rFonts w:ascii="Courier New" w:cs="Courier New" w:eastAsia="Courier New" w:hAnsi="Courier New"/>
                <w:sz w:val="14"/>
                <w:szCs w:val="14"/>
                <w:color w:val="auto"/>
              </w:rPr>
              <w:t>in</w:t>
            </w:r>
          </w:p>
        </w:tc>
        <w:tc>
          <w:tcPr>
            <w:tcW w:w="940" w:type="dxa"/>
            <w:vAlign w:val="bottom"/>
          </w:tcPr>
          <w:p>
            <w:pPr>
              <w:spacing w:after="0"/>
              <w:rPr>
                <w:sz w:val="14"/>
                <w:szCs w:val="14"/>
                <w:color w:val="auto"/>
              </w:rPr>
            </w:pPr>
          </w:p>
        </w:tc>
        <w:tc>
          <w:tcPr>
            <w:tcW w:w="10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Accumulated</w:t>
            </w:r>
          </w:p>
        </w:tc>
        <w:tc>
          <w:tcPr>
            <w:tcW w:w="200" w:type="dxa"/>
            <w:vAlign w:val="bottom"/>
          </w:tcPr>
          <w:p>
            <w:pPr>
              <w:spacing w:after="0"/>
              <w:rPr>
                <w:sz w:val="14"/>
                <w:szCs w:val="14"/>
                <w:color w:val="auto"/>
              </w:rPr>
            </w:pPr>
          </w:p>
        </w:tc>
        <w:tc>
          <w:tcPr>
            <w:tcW w:w="124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Date of</w:t>
            </w:r>
          </w:p>
        </w:tc>
        <w:tc>
          <w:tcPr>
            <w:tcW w:w="840" w:type="dxa"/>
            <w:vAlign w:val="bottom"/>
            <w:vMerge w:val="restart"/>
          </w:tcPr>
          <w:p>
            <w:pPr>
              <w:jc w:val="center"/>
              <w:ind w:right="109"/>
              <w:spacing w:after="0"/>
              <w:rPr>
                <w:sz w:val="20"/>
                <w:szCs w:val="20"/>
                <w:color w:val="auto"/>
              </w:rPr>
            </w:pPr>
            <w:r>
              <w:rPr>
                <w:rFonts w:ascii="Courier New" w:cs="Courier New" w:eastAsia="Courier New" w:hAnsi="Courier New"/>
                <w:sz w:val="14"/>
                <w:szCs w:val="14"/>
                <w:color w:val="auto"/>
              </w:rPr>
              <w:t>Date</w:t>
            </w:r>
          </w:p>
        </w:tc>
        <w:tc>
          <w:tcPr>
            <w:tcW w:w="1520" w:type="dxa"/>
            <w:vAlign w:val="bottom"/>
          </w:tcPr>
          <w:p>
            <w:pPr>
              <w:ind w:left="340"/>
              <w:spacing w:after="0"/>
              <w:rPr>
                <w:sz w:val="20"/>
                <w:szCs w:val="20"/>
                <w:color w:val="auto"/>
              </w:rPr>
            </w:pPr>
            <w:r>
              <w:rPr>
                <w:rFonts w:ascii="Courier New" w:cs="Courier New" w:eastAsia="Courier New" w:hAnsi="Courier New"/>
                <w:sz w:val="14"/>
                <w:szCs w:val="14"/>
                <w:color w:val="auto"/>
              </w:rPr>
              <w:t>in latest</w:t>
            </w:r>
          </w:p>
        </w:tc>
        <w:tc>
          <w:tcPr>
            <w:tcW w:w="0" w:type="dxa"/>
            <w:vAlign w:val="bottom"/>
          </w:tcPr>
          <w:p>
            <w:pPr>
              <w:spacing w:after="0"/>
              <w:rPr>
                <w:sz w:val="1"/>
                <w:szCs w:val="1"/>
                <w:color w:val="auto"/>
              </w:rPr>
            </w:pPr>
          </w:p>
        </w:tc>
      </w:tr>
      <w:tr>
        <w:trPr>
          <w:trHeight w:val="163"/>
        </w:trPr>
        <w:tc>
          <w:tcPr>
            <w:tcW w:w="306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Properties by State</w:t>
            </w:r>
          </w:p>
        </w:tc>
        <w:tc>
          <w:tcPr>
            <w:tcW w:w="76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Land</w:t>
            </w:r>
          </w:p>
        </w:tc>
        <w:tc>
          <w:tcPr>
            <w:tcW w:w="80" w:type="dxa"/>
            <w:vAlign w:val="bottom"/>
          </w:tcPr>
          <w:p>
            <w:pPr>
              <w:spacing w:after="0"/>
              <w:rPr>
                <w:sz w:val="14"/>
                <w:szCs w:val="14"/>
                <w:color w:val="auto"/>
              </w:rPr>
            </w:pPr>
          </w:p>
        </w:tc>
        <w:tc>
          <w:tcPr>
            <w:tcW w:w="11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w w:val="99"/>
              </w:rPr>
              <w:t>Construction</w:t>
            </w:r>
          </w:p>
        </w:tc>
        <w:tc>
          <w:tcPr>
            <w:tcW w:w="580" w:type="dxa"/>
            <w:vAlign w:val="bottom"/>
            <w:vMerge w:val="continue"/>
          </w:tcPr>
          <w:p>
            <w:pPr>
              <w:spacing w:after="0"/>
              <w:rPr>
                <w:sz w:val="14"/>
                <w:szCs w:val="14"/>
                <w:color w:val="auto"/>
              </w:rPr>
            </w:pPr>
          </w:p>
        </w:tc>
        <w:tc>
          <w:tcPr>
            <w:tcW w:w="940" w:type="dxa"/>
            <w:vAlign w:val="bottom"/>
            <w:vMerge w:val="restart"/>
          </w:tcPr>
          <w:p>
            <w:pPr>
              <w:jc w:val="center"/>
              <w:ind w:right="269"/>
              <w:spacing w:after="0"/>
              <w:rPr>
                <w:sz w:val="20"/>
                <w:szCs w:val="20"/>
                <w:color w:val="auto"/>
              </w:rPr>
            </w:pPr>
            <w:r>
              <w:rPr>
                <w:rFonts w:ascii="Courier New" w:cs="Courier New" w:eastAsia="Courier New" w:hAnsi="Courier New"/>
                <w:sz w:val="14"/>
                <w:szCs w:val="14"/>
                <w:color w:val="auto"/>
              </w:rPr>
              <w:t>Total</w:t>
            </w: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income statement</w:t>
            </w:r>
          </w:p>
        </w:tc>
        <w:tc>
          <w:tcPr>
            <w:tcW w:w="0" w:type="dxa"/>
            <w:vAlign w:val="bottom"/>
          </w:tcPr>
          <w:p>
            <w:pPr>
              <w:spacing w:after="0"/>
              <w:rPr>
                <w:sz w:val="1"/>
                <w:szCs w:val="1"/>
                <w:color w:val="auto"/>
              </w:rPr>
            </w:pPr>
          </w:p>
        </w:tc>
      </w:tr>
      <w:tr>
        <w:trPr>
          <w:trHeight w:val="163"/>
        </w:trPr>
        <w:tc>
          <w:tcPr>
            <w:tcW w:w="30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Progress</w:t>
            </w:r>
          </w:p>
        </w:tc>
        <w:tc>
          <w:tcPr>
            <w:tcW w:w="5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gridSpan w:val="2"/>
          </w:tcPr>
          <w:p>
            <w:pPr>
              <w:spacing w:after="0"/>
              <w:rPr>
                <w:sz w:val="20"/>
                <w:szCs w:val="20"/>
                <w:color w:val="auto"/>
              </w:rPr>
            </w:pPr>
            <w:r>
              <w:rPr>
                <w:rFonts w:ascii="Courier New" w:cs="Courier New" w:eastAsia="Courier New" w:hAnsi="Courier New"/>
                <w:sz w:val="14"/>
                <w:szCs w:val="14"/>
                <w:color w:val="auto"/>
                <w:w w:val="99"/>
              </w:rPr>
              <w:t>Depreciation</w:t>
            </w:r>
          </w:p>
        </w:tc>
        <w:tc>
          <w:tcPr>
            <w:tcW w:w="200" w:type="dxa"/>
            <w:vAlign w:val="bottom"/>
          </w:tcPr>
          <w:p>
            <w:pPr>
              <w:spacing w:after="0"/>
              <w:rPr>
                <w:sz w:val="14"/>
                <w:szCs w:val="14"/>
                <w:color w:val="auto"/>
              </w:rPr>
            </w:pP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Construction</w:t>
            </w:r>
          </w:p>
        </w:tc>
        <w:tc>
          <w:tcPr>
            <w:tcW w:w="84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Acquired</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is prepared</w:t>
            </w: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20"/>
                <w:szCs w:val="20"/>
                <w:color w:val="auto"/>
              </w:rPr>
            </w:pPr>
          </w:p>
        </w:tc>
        <w:tc>
          <w:tcPr>
            <w:tcW w:w="1700" w:type="dxa"/>
            <w:vAlign w:val="bottom"/>
            <w:gridSpan w:val="3"/>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252"/>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Texas (9 properties)</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$ 3,489</w:t>
            </w:r>
          </w:p>
        </w:tc>
        <w:tc>
          <w:tcPr>
            <w:tcW w:w="80" w:type="dxa"/>
            <w:vAlign w:val="bottom"/>
          </w:tcPr>
          <w:p>
            <w:pPr>
              <w:spacing w:after="0"/>
              <w:rPr>
                <w:sz w:val="21"/>
                <w:szCs w:val="21"/>
                <w:color w:val="auto"/>
              </w:rPr>
            </w:pPr>
          </w:p>
        </w:tc>
        <w:tc>
          <w:tcPr>
            <w:tcW w:w="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280,018</w:t>
            </w:r>
          </w:p>
        </w:tc>
        <w:tc>
          <w:tcPr>
            <w:tcW w:w="580" w:type="dxa"/>
            <w:vAlign w:val="bottom"/>
          </w:tcPr>
          <w:p>
            <w:pPr>
              <w:jc w:val="center"/>
              <w:ind w:left="269"/>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283,507</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7,141</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Note 2</w:t>
            </w: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Note 3</w:t>
            </w: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Oklahoma (4 properties)</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826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233,570</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234,396</w:t>
            </w:r>
          </w:p>
        </w:tc>
        <w:tc>
          <w:tcPr>
            <w:tcW w:w="26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5,599</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Note 2</w:t>
            </w: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Note 3</w:t>
            </w: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Kentucky (4 properties) - Note 4</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1,818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58,517</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60,335</w:t>
            </w:r>
          </w:p>
        </w:tc>
        <w:tc>
          <w:tcPr>
            <w:tcW w:w="26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1,293</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Note 2</w:t>
            </w: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Note 3</w:t>
            </w: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Tennessee (5 properties)</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15,485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117,000</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132,485</w:t>
            </w:r>
          </w:p>
        </w:tc>
        <w:tc>
          <w:tcPr>
            <w:tcW w:w="26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7,197</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Note 2</w:t>
            </w: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Note 3</w:t>
            </w: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New Mexico (3 properties)</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1,779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112,431</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114,210</w:t>
            </w:r>
          </w:p>
        </w:tc>
        <w:tc>
          <w:tcPr>
            <w:tcW w:w="26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3,166</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Note 2</w:t>
            </w: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Note 3</w:t>
            </w: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Arizona (3 properties)</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2,688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403,128</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405,816</w:t>
            </w:r>
          </w:p>
        </w:tc>
        <w:tc>
          <w:tcPr>
            <w:tcW w:w="26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7,737</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Note 2</w:t>
            </w: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Note 3</w:t>
            </w: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Colorado (3 properties)</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956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97,643</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98,599</w:t>
            </w:r>
          </w:p>
        </w:tc>
        <w:tc>
          <w:tcPr>
            <w:tcW w:w="26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4,497</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Note 2</w:t>
            </w: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Note 3</w:t>
            </w: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Georgia (5 properties)</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1,297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154,058</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155,355</w:t>
            </w:r>
          </w:p>
        </w:tc>
        <w:tc>
          <w:tcPr>
            <w:tcW w:w="26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2,252</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Note 2</w:t>
            </w: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Note 3</w:t>
            </w: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California (4 properties)</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3,699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231,824</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235,523</w:t>
            </w:r>
          </w:p>
        </w:tc>
        <w:tc>
          <w:tcPr>
            <w:tcW w:w="26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802</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Note 2</w:t>
            </w: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Note 3</w:t>
            </w: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North Carolina (2 properties)</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406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83,448</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83,854</w:t>
            </w:r>
          </w:p>
        </w:tc>
        <w:tc>
          <w:tcPr>
            <w:tcW w:w="26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2,348</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Note 2</w:t>
            </w: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Note 3</w:t>
            </w: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Ohio (2 properties)</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1,507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166,182</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167,689</w:t>
            </w:r>
          </w:p>
        </w:tc>
        <w:tc>
          <w:tcPr>
            <w:tcW w:w="26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4,104</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Note 2</w:t>
            </w: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Note 3</w:t>
            </w: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All Other States (7 properties)</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3,462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194,899</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198,361</w:t>
            </w:r>
          </w:p>
        </w:tc>
        <w:tc>
          <w:tcPr>
            <w:tcW w:w="26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3,649</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Note 2</w:t>
            </w: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Note 3</w:t>
            </w:r>
          </w:p>
        </w:tc>
        <w:tc>
          <w:tcPr>
            <w:tcW w:w="0" w:type="dxa"/>
            <w:vAlign w:val="bottom"/>
          </w:tcPr>
          <w:p>
            <w:pPr>
              <w:spacing w:after="0"/>
              <w:rPr>
                <w:sz w:val="1"/>
                <w:szCs w:val="1"/>
                <w:color w:val="auto"/>
              </w:rPr>
            </w:pPr>
          </w:p>
        </w:tc>
      </w:tr>
      <w:tr>
        <w:trPr>
          <w:trHeight w:val="163"/>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United Kingdom (1 property)</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88,151</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88,151</w:t>
            </w:r>
          </w:p>
        </w:tc>
        <w:tc>
          <w:tcPr>
            <w:tcW w:w="26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Note 2</w:t>
            </w:r>
          </w:p>
        </w:tc>
        <w:tc>
          <w:tcPr>
            <w:tcW w:w="15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Note 3</w:t>
            </w: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14"/>
                <w:szCs w:val="14"/>
                <w:color w:val="auto"/>
              </w:rPr>
            </w:pPr>
          </w:p>
        </w:tc>
        <w:tc>
          <w:tcPr>
            <w:tcW w:w="11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$37,412</w:t>
            </w:r>
          </w:p>
        </w:tc>
        <w:tc>
          <w:tcPr>
            <w:tcW w:w="80" w:type="dxa"/>
            <w:vAlign w:val="bottom"/>
          </w:tcPr>
          <w:p>
            <w:pPr>
              <w:spacing w:after="0"/>
              <w:rPr>
                <w:sz w:val="14"/>
                <w:szCs w:val="14"/>
                <w:color w:val="auto"/>
              </w:rPr>
            </w:pPr>
          </w:p>
        </w:tc>
        <w:tc>
          <w:tcPr>
            <w:tcW w:w="11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$2,220,869</w:t>
            </w:r>
          </w:p>
        </w:tc>
        <w:tc>
          <w:tcPr>
            <w:tcW w:w="15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$2,258,281</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49,785</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w:t>
            </w:r>
          </w:p>
        </w:tc>
        <w:tc>
          <w:tcPr>
            <w:tcW w:w="80" w:type="dxa"/>
            <w:vAlign w:val="bottom"/>
          </w:tcPr>
          <w:p>
            <w:pPr>
              <w:spacing w:after="0"/>
              <w:rPr>
                <w:sz w:val="20"/>
                <w:szCs w:val="20"/>
                <w:color w:val="auto"/>
              </w:rPr>
            </w:pPr>
          </w:p>
        </w:tc>
        <w:tc>
          <w:tcPr>
            <w:tcW w:w="11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6800" w:type="dxa"/>
            <w:vAlign w:val="bottom"/>
            <w:gridSpan w:val="8"/>
          </w:tcPr>
          <w:p>
            <w:pPr>
              <w:spacing w:after="0"/>
              <w:rPr>
                <w:sz w:val="20"/>
                <w:szCs w:val="20"/>
                <w:color w:val="auto"/>
              </w:rPr>
            </w:pPr>
            <w:r>
              <w:rPr>
                <w:rFonts w:ascii="Courier New" w:cs="Courier New" w:eastAsia="Courier New" w:hAnsi="Courier New"/>
                <w:sz w:val="14"/>
                <w:szCs w:val="14"/>
                <w:color w:val="auto"/>
              </w:rPr>
              <w:t>Note 1 - All facilities are pledged as security under the Company's secured bank</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540" w:type="dxa"/>
            <w:vAlign w:val="bottom"/>
            <w:gridSpan w:val="7"/>
          </w:tcPr>
          <w:p>
            <w:pPr>
              <w:ind w:left="780"/>
              <w:spacing w:after="0"/>
              <w:rPr>
                <w:sz w:val="20"/>
                <w:szCs w:val="20"/>
                <w:color w:val="auto"/>
              </w:rPr>
            </w:pPr>
            <w:r>
              <w:rPr>
                <w:rFonts w:ascii="Courier New" w:cs="Courier New" w:eastAsia="Courier New" w:hAnsi="Courier New"/>
                <w:sz w:val="14"/>
                <w:szCs w:val="14"/>
                <w:color w:val="auto"/>
              </w:rPr>
              <w:t>credit facility. The outstanding balance on the secured bank credit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020" w:type="dxa"/>
            <w:vAlign w:val="bottom"/>
            <w:gridSpan w:val="5"/>
          </w:tcPr>
          <w:p>
            <w:pPr>
              <w:ind w:left="780"/>
              <w:spacing w:after="0"/>
              <w:rPr>
                <w:sz w:val="20"/>
                <w:szCs w:val="20"/>
                <w:color w:val="auto"/>
              </w:rPr>
            </w:pPr>
            <w:r>
              <w:rPr>
                <w:rFonts w:ascii="Courier New" w:cs="Courier New" w:eastAsia="Courier New" w:hAnsi="Courier New"/>
                <w:sz w:val="14"/>
                <w:szCs w:val="14"/>
                <w:color w:val="auto"/>
              </w:rPr>
              <w:t>facility was $928.2 million at December 31, 1999.</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5020" w:type="dxa"/>
            <w:vAlign w:val="bottom"/>
            <w:gridSpan w:val="5"/>
          </w:tcPr>
          <w:p>
            <w:pPr>
              <w:spacing w:after="0"/>
              <w:rPr>
                <w:sz w:val="20"/>
                <w:szCs w:val="20"/>
                <w:color w:val="auto"/>
              </w:rPr>
            </w:pPr>
            <w:r>
              <w:rPr>
                <w:rFonts w:ascii="Courier New" w:cs="Courier New" w:eastAsia="Courier New" w:hAnsi="Courier New"/>
                <w:sz w:val="14"/>
                <w:szCs w:val="14"/>
                <w:color w:val="auto"/>
              </w:rPr>
              <w:t>Note 2 - Individual facility profiles are included in Part</w:t>
            </w:r>
          </w:p>
        </w:tc>
        <w:tc>
          <w:tcPr>
            <w:tcW w:w="580" w:type="dxa"/>
            <w:vAlign w:val="bottom"/>
          </w:tcPr>
          <w:p>
            <w:pPr>
              <w:spacing w:after="0"/>
              <w:rPr>
                <w:sz w:val="20"/>
                <w:szCs w:val="20"/>
                <w:color w:val="auto"/>
              </w:rPr>
            </w:pPr>
            <w:r>
              <w:rPr>
                <w:rFonts w:ascii="Courier New" w:cs="Courier New" w:eastAsia="Courier New" w:hAnsi="Courier New"/>
                <w:sz w:val="14"/>
                <w:szCs w:val="14"/>
                <w:color w:val="auto"/>
                <w:w w:val="95"/>
              </w:rPr>
              <w:t>I, Item</w:t>
            </w:r>
          </w:p>
        </w:tc>
        <w:tc>
          <w:tcPr>
            <w:tcW w:w="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2.</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800" w:type="dxa"/>
            <w:vAlign w:val="bottom"/>
            <w:gridSpan w:val="8"/>
          </w:tcPr>
          <w:p>
            <w:pPr>
              <w:spacing w:after="0"/>
              <w:rPr>
                <w:sz w:val="20"/>
                <w:szCs w:val="20"/>
                <w:color w:val="auto"/>
              </w:rPr>
            </w:pPr>
            <w:r>
              <w:rPr>
                <w:rFonts w:ascii="Courier New" w:cs="Courier New" w:eastAsia="Courier New" w:hAnsi="Courier New"/>
                <w:sz w:val="14"/>
                <w:szCs w:val="14"/>
                <w:color w:val="auto"/>
              </w:rPr>
              <w:t>Note 3 - The Company has elected depreciable lives of 50 years for buildings and</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20" w:type="dxa"/>
            <w:vAlign w:val="bottom"/>
            <w:gridSpan w:val="5"/>
          </w:tcPr>
          <w:p>
            <w:pPr>
              <w:ind w:left="780"/>
              <w:spacing w:after="0"/>
              <w:rPr>
                <w:sz w:val="20"/>
                <w:szCs w:val="20"/>
                <w:color w:val="auto"/>
              </w:rPr>
            </w:pPr>
            <w:r>
              <w:rPr>
                <w:rFonts w:ascii="Courier New" w:cs="Courier New" w:eastAsia="Courier New" w:hAnsi="Courier New"/>
                <w:sz w:val="14"/>
                <w:szCs w:val="14"/>
                <w:color w:val="auto"/>
              </w:rPr>
              <w:t>improvements and 5 to 10 years for equipment.</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540" w:type="dxa"/>
            <w:vAlign w:val="bottom"/>
            <w:gridSpan w:val="7"/>
          </w:tcPr>
          <w:p>
            <w:pPr>
              <w:spacing w:after="0"/>
              <w:rPr>
                <w:sz w:val="20"/>
                <w:szCs w:val="20"/>
                <w:color w:val="auto"/>
              </w:rPr>
            </w:pPr>
            <w:r>
              <w:rPr>
                <w:rFonts w:ascii="Courier New" w:cs="Courier New" w:eastAsia="Courier New" w:hAnsi="Courier New"/>
                <w:sz w:val="14"/>
                <w:szCs w:val="14"/>
                <w:color w:val="auto"/>
              </w:rPr>
              <w:t>Note 4 - During the year ended December 31, 1999, in accordance with the</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6540" w:type="dxa"/>
            <w:vAlign w:val="bottom"/>
            <w:gridSpan w:val="7"/>
          </w:tcPr>
          <w:p>
            <w:pPr>
              <w:ind w:left="780"/>
              <w:spacing w:after="0"/>
              <w:rPr>
                <w:sz w:val="20"/>
                <w:szCs w:val="20"/>
                <w:color w:val="auto"/>
              </w:rPr>
            </w:pPr>
            <w:r>
              <w:rPr>
                <w:rFonts w:ascii="Courier New" w:cs="Courier New" w:eastAsia="Courier New" w:hAnsi="Courier New"/>
                <w:sz w:val="14"/>
                <w:szCs w:val="14"/>
                <w:color w:val="auto"/>
              </w:rPr>
              <w:t>provisions of Statement of Financial Accounting Standards No. 121,</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800" w:type="dxa"/>
            <w:vAlign w:val="bottom"/>
            <w:gridSpan w:val="8"/>
          </w:tcPr>
          <w:p>
            <w:pPr>
              <w:ind w:left="780"/>
              <w:spacing w:after="0"/>
              <w:rPr>
                <w:sz w:val="20"/>
                <w:szCs w:val="20"/>
                <w:color w:val="auto"/>
              </w:rPr>
            </w:pPr>
            <w:r>
              <w:rPr>
                <w:rFonts w:ascii="Courier New" w:cs="Courier New" w:eastAsia="Courier New" w:hAnsi="Courier New"/>
                <w:sz w:val="14"/>
                <w:szCs w:val="14"/>
                <w:color w:val="auto"/>
              </w:rPr>
              <w:t>"Accounting for Impairment of Long-Lived Assets and Long-Lived Assets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800" w:type="dxa"/>
            <w:vAlign w:val="bottom"/>
            <w:gridSpan w:val="8"/>
          </w:tcPr>
          <w:p>
            <w:pPr>
              <w:ind w:left="780"/>
              <w:spacing w:after="0"/>
              <w:rPr>
                <w:sz w:val="20"/>
                <w:szCs w:val="20"/>
                <w:color w:val="auto"/>
              </w:rPr>
            </w:pPr>
            <w:r>
              <w:rPr>
                <w:rFonts w:ascii="Courier New" w:cs="Courier New" w:eastAsia="Courier New" w:hAnsi="Courier New"/>
                <w:sz w:val="14"/>
                <w:szCs w:val="14"/>
                <w:color w:val="auto"/>
              </w:rPr>
              <w:t>to be Disposed of", the Company recorded an aggregate impairment loss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5"/>
          </w:tcPr>
          <w:p>
            <w:pPr>
              <w:ind w:left="780"/>
              <w:spacing w:after="0"/>
              <w:rPr>
                <w:sz w:val="20"/>
                <w:szCs w:val="20"/>
                <w:color w:val="auto"/>
              </w:rPr>
            </w:pPr>
            <w:r>
              <w:rPr>
                <w:rFonts w:ascii="Courier New" w:cs="Courier New" w:eastAsia="Courier New" w:hAnsi="Courier New"/>
                <w:sz w:val="14"/>
                <w:szCs w:val="14"/>
                <w:color w:val="auto"/>
              </w:rPr>
              <w:t>of $76.4 million on three of its correctional and</w:t>
            </w:r>
          </w:p>
        </w:tc>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detention facilities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20" w:type="dxa"/>
            <w:vAlign w:val="bottom"/>
            <w:gridSpan w:val="5"/>
          </w:tcPr>
          <w:p>
            <w:pPr>
              <w:ind w:left="780"/>
              <w:spacing w:after="0"/>
              <w:rPr>
                <w:sz w:val="20"/>
                <w:szCs w:val="20"/>
                <w:color w:val="auto"/>
              </w:rPr>
            </w:pPr>
            <w:r>
              <w:rPr>
                <w:rFonts w:ascii="Courier New" w:cs="Courier New" w:eastAsia="Courier New" w:hAnsi="Courier New"/>
                <w:sz w:val="14"/>
                <w:szCs w:val="14"/>
                <w:color w:val="auto"/>
              </w:rPr>
              <w:t>in the state of Kentucky. The Company reduced the</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w w:val="99"/>
              </w:rPr>
              <w:t>carrying values of</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780" w:right="4560"/>
        <w:spacing w:after="0" w:line="327" w:lineRule="auto"/>
        <w:rPr>
          <w:sz w:val="20"/>
          <w:szCs w:val="20"/>
          <w:color w:val="auto"/>
        </w:rPr>
      </w:pPr>
      <w:r>
        <w:rPr>
          <w:rFonts w:ascii="Courier New" w:cs="Courier New" w:eastAsia="Courier New" w:hAnsi="Courier New"/>
          <w:sz w:val="14"/>
          <w:szCs w:val="14"/>
          <w:color w:val="auto"/>
        </w:rPr>
        <w:t>these properties to their estimated fair values, as determined based on anticipated future cash flows.</w:t>
      </w:r>
    </w:p>
    <w:p>
      <w:pPr>
        <w:sectPr>
          <w:pgSz w:w="11900" w:h="16838" w:orient="portrait"/>
          <w:cols w:equalWidth="0" w:num="1">
            <w:col w:w="11360"/>
          </w:cols>
          <w:pgMar w:left="300" w:top="257" w:right="239" w:bottom="203" w:gutter="0" w:footer="0" w:header="0"/>
        </w:sectPr>
      </w:pPr>
    </w:p>
    <w:p>
      <w:pPr>
        <w:spacing w:after="0" w:line="200" w:lineRule="exact"/>
        <w:rPr>
          <w:sz w:val="20"/>
          <w:szCs w:val="20"/>
          <w:color w:val="auto"/>
        </w:rPr>
      </w:pPr>
    </w:p>
    <w:p>
      <w:pPr>
        <w:spacing w:after="0" w:line="32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S-2</w:t>
      </w:r>
    </w:p>
    <w:p>
      <w:pPr>
        <w:sectPr>
          <w:pgSz w:w="11900" w:h="16838" w:orient="portrait"/>
          <w:cols w:equalWidth="0" w:num="1">
            <w:col w:w="11360"/>
          </w:cols>
          <w:pgMar w:left="300" w:top="257" w:right="239" w:bottom="203" w:gutter="0" w:footer="0" w:header="0"/>
          <w:type w:val="continuous"/>
        </w:sectPr>
      </w:pPr>
    </w:p>
    <w:bookmarkStart w:id="202" w:name="page203"/>
    <w:bookmarkEnd w:id="202"/>
    <w:p>
      <w:pPr>
        <w:spacing w:after="0"/>
        <w:rPr>
          <w:sz w:val="20"/>
          <w:szCs w:val="20"/>
          <w:color w:val="auto"/>
        </w:rPr>
      </w:pPr>
      <w:r>
        <w:rPr>
          <w:rFonts w:ascii="Courier New" w:cs="Courier New" w:eastAsia="Courier New" w:hAnsi="Courier New"/>
          <w:sz w:val="14"/>
          <w:szCs w:val="14"/>
          <w:color w:val="auto"/>
        </w:rPr>
        <w:t>201</w:t>
      </w:r>
    </w:p>
    <w:p>
      <w:pPr>
        <w:spacing w:after="0" w:line="30" w:lineRule="exact"/>
        <w:rPr>
          <w:sz w:val="20"/>
          <w:szCs w:val="20"/>
          <w:color w:val="auto"/>
        </w:rPr>
      </w:pPr>
    </w:p>
    <w:p>
      <w:pPr>
        <w:ind w:left="340" w:right="3359"/>
        <w:spacing w:after="0" w:line="286" w:lineRule="auto"/>
        <w:rPr>
          <w:sz w:val="20"/>
          <w:szCs w:val="20"/>
          <w:color w:val="auto"/>
        </w:rPr>
      </w:pPr>
      <w:r>
        <w:rPr>
          <w:rFonts w:ascii="Courier New" w:cs="Courier New" w:eastAsia="Courier New" w:hAnsi="Courier New"/>
          <w:sz w:val="14"/>
          <w:szCs w:val="14"/>
          <w:color w:val="auto"/>
        </w:rPr>
        <w:t>The following schedule is a reconciliation of the total changes in cost of real estate properties and accumulated depreciation for the year ended December 31, 1999.</w:t>
      </w:r>
    </w:p>
    <w:p>
      <w:pPr>
        <w:spacing w:after="0" w:line="385" w:lineRule="exact"/>
        <w:rPr>
          <w:sz w:val="20"/>
          <w:szCs w:val="20"/>
          <w:color w:val="auto"/>
        </w:rPr>
      </w:pPr>
    </w:p>
    <w:tbl>
      <w:tblPr>
        <w:tblLayout w:type="fixed"/>
        <w:tblInd w:w="840" w:type="dxa"/>
        <w:tblCellMar>
          <w:top w:w="0" w:type="dxa"/>
          <w:left w:w="0" w:type="dxa"/>
          <w:bottom w:w="0" w:type="dxa"/>
          <w:right w:w="0" w:type="dxa"/>
        </w:tblCellMar>
      </w:tblPr>
      <w:tr>
        <w:trPr>
          <w:trHeight w:val="163"/>
        </w:trPr>
        <w:tc>
          <w:tcPr>
            <w:tcW w:w="3280" w:type="dxa"/>
            <w:vAlign w:val="bottom"/>
          </w:tcPr>
          <w:p>
            <w:pPr>
              <w:spacing w:after="0"/>
              <w:rPr>
                <w:sz w:val="14"/>
                <w:szCs w:val="14"/>
                <w:color w:val="auto"/>
              </w:rPr>
            </w:pPr>
          </w:p>
        </w:tc>
        <w:tc>
          <w:tcPr>
            <w:tcW w:w="19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Historical Cost</w:t>
            </w:r>
          </w:p>
        </w:tc>
        <w:tc>
          <w:tcPr>
            <w:tcW w:w="13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Accumulated</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36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99"/>
              </w:rPr>
              <w:t>Depreciation</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32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9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   637,640</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10,251</w:t>
            </w:r>
          </w:p>
        </w:tc>
        <w:tc>
          <w:tcPr>
            <w:tcW w:w="0" w:type="dxa"/>
            <w:vAlign w:val="bottom"/>
          </w:tcPr>
          <w:p>
            <w:pPr>
              <w:spacing w:after="0"/>
              <w:rPr>
                <w:sz w:val="1"/>
                <w:szCs w:val="1"/>
                <w:color w:val="auto"/>
              </w:rPr>
            </w:pPr>
          </w:p>
        </w:tc>
      </w:tr>
      <w:tr>
        <w:trPr>
          <w:trHeight w:val="252"/>
        </w:trPr>
        <w:tc>
          <w:tcPr>
            <w:tcW w:w="3280" w:type="dxa"/>
            <w:vAlign w:val="bottom"/>
          </w:tcPr>
          <w:p>
            <w:pPr>
              <w:spacing w:after="0"/>
              <w:rPr>
                <w:sz w:val="20"/>
                <w:szCs w:val="20"/>
                <w:color w:val="auto"/>
              </w:rPr>
            </w:pPr>
            <w:r>
              <w:rPr>
                <w:rFonts w:ascii="Courier New" w:cs="Courier New" w:eastAsia="Courier New" w:hAnsi="Courier New"/>
                <w:sz w:val="14"/>
                <w:szCs w:val="14"/>
                <w:color w:val="auto"/>
              </w:rPr>
              <w:t>Old Prison Realty Merger</w:t>
            </w:r>
          </w:p>
        </w:tc>
        <w:tc>
          <w:tcPr>
            <w:tcW w:w="19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1,223,371</w:t>
            </w:r>
          </w:p>
        </w:tc>
        <w:tc>
          <w:tcPr>
            <w:tcW w:w="600" w:type="dxa"/>
            <w:vAlign w:val="bottom"/>
          </w:tcPr>
          <w:p>
            <w:pPr>
              <w:spacing w:after="0"/>
              <w:rPr>
                <w:sz w:val="21"/>
                <w:szCs w:val="21"/>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9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44,062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Disposals of assets</w:t>
            </w:r>
          </w:p>
        </w:tc>
        <w:tc>
          <w:tcPr>
            <w:tcW w:w="19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(53,586)</w:t>
            </w:r>
          </w:p>
        </w:tc>
        <w:tc>
          <w:tcPr>
            <w:tcW w:w="6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(2,882)</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Impairment loss</w:t>
            </w:r>
          </w:p>
        </w:tc>
        <w:tc>
          <w:tcPr>
            <w:tcW w:w="19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(78,079)</w:t>
            </w:r>
          </w:p>
        </w:tc>
        <w:tc>
          <w:tcPr>
            <w:tcW w:w="6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(1,646)</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Additions of property and equipment</w:t>
            </w:r>
          </w:p>
        </w:tc>
        <w:tc>
          <w:tcPr>
            <w:tcW w:w="19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528,935</w:t>
            </w:r>
          </w:p>
        </w:tc>
        <w:tc>
          <w:tcPr>
            <w:tcW w:w="6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280" w:type="dxa"/>
            <w:vAlign w:val="bottom"/>
            <w:vMerge w:val="restart"/>
          </w:tcPr>
          <w:p>
            <w:pPr>
              <w:spacing w:after="0"/>
              <w:rPr>
                <w:sz w:val="20"/>
                <w:szCs w:val="20"/>
                <w:color w:val="auto"/>
              </w:rPr>
            </w:pPr>
            <w:r>
              <w:rPr>
                <w:rFonts w:ascii="Courier New" w:cs="Courier New" w:eastAsia="Courier New" w:hAnsi="Courier New"/>
                <w:sz w:val="14"/>
                <w:szCs w:val="14"/>
                <w:color w:val="auto"/>
              </w:rPr>
              <w:t>Balance, December 31, 1999</w:t>
            </w:r>
          </w:p>
        </w:tc>
        <w:tc>
          <w:tcPr>
            <w:tcW w:w="19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280" w:type="dxa"/>
            <w:vAlign w:val="bottom"/>
            <w:vMerge w:val="continue"/>
          </w:tcPr>
          <w:p>
            <w:pPr>
              <w:spacing w:after="0"/>
              <w:rPr>
                <w:sz w:val="14"/>
                <w:szCs w:val="14"/>
                <w:color w:val="auto"/>
              </w:rPr>
            </w:pPr>
          </w:p>
        </w:tc>
        <w:tc>
          <w:tcPr>
            <w:tcW w:w="19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$ 2,258,281</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49,785</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9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S-3</w:t>
      </w:r>
    </w:p>
    <w:p>
      <w:pPr>
        <w:sectPr>
          <w:pgSz w:w="11900" w:h="16838" w:orient="portrait"/>
          <w:cols w:equalWidth="0" w:num="1">
            <w:col w:w="9899"/>
          </w:cols>
          <w:pgMar w:left="560" w:top="257"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4"/>
          <w:szCs w:val="14"/>
          <w:color w:val="auto"/>
        </w:rPr>
        <w:t>1</w:t>
      </w:r>
    </w:p>
    <w:p>
      <w:pPr>
        <w:spacing w:after="0" w:line="168"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3.3</w:t>
      </w:r>
    </w:p>
    <w:p>
      <w:pPr>
        <w:spacing w:after="0" w:line="200" w:lineRule="exact"/>
        <w:rPr>
          <w:sz w:val="20"/>
          <w:szCs w:val="20"/>
          <w:color w:val="auto"/>
        </w:rPr>
      </w:pPr>
    </w:p>
    <w:p>
      <w:pPr>
        <w:spacing w:after="0" w:line="29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PRISON REALTY TRUST, INC.</w:t>
      </w:r>
    </w:p>
    <w:p>
      <w:pPr>
        <w:spacing w:after="0" w:line="16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AMENDED AND RESTATED BYLAWS</w:t>
      </w:r>
    </w:p>
    <w:p>
      <w:pPr>
        <w:spacing w:after="0" w:line="16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ARTICLE I</w:t>
      </w:r>
    </w:p>
    <w:p>
      <w:pPr>
        <w:spacing w:after="0" w:line="168"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OFFICES AND FISCAL AND TAXABLE YEARS</w:t>
      </w:r>
    </w:p>
    <w:p>
      <w:pPr>
        <w:spacing w:after="0" w:line="168" w:lineRule="exact"/>
        <w:rPr>
          <w:sz w:val="20"/>
          <w:szCs w:val="20"/>
          <w:color w:val="auto"/>
        </w:rPr>
      </w:pPr>
    </w:p>
    <w:p>
      <w:pPr>
        <w:jc w:val="both"/>
        <w:ind w:right="3459" w:firstLine="509"/>
        <w:spacing w:after="0" w:line="306" w:lineRule="auto"/>
        <w:rPr>
          <w:sz w:val="20"/>
          <w:szCs w:val="20"/>
          <w:color w:val="auto"/>
        </w:rPr>
      </w:pPr>
      <w:r>
        <w:rPr>
          <w:rFonts w:ascii="Courier New" w:cs="Courier New" w:eastAsia="Courier New" w:hAnsi="Courier New"/>
          <w:sz w:val="14"/>
          <w:szCs w:val="14"/>
          <w:color w:val="auto"/>
        </w:rPr>
        <w:t>Section 1. PRINCIPAL OFFICE. The principal office of Prison Realty Trust, Inc. (the "Corporation") shall be located at such place or places as the Board of Directors may designate.</w:t>
      </w:r>
    </w:p>
    <w:p>
      <w:pPr>
        <w:spacing w:after="0" w:line="46" w:lineRule="exact"/>
        <w:rPr>
          <w:sz w:val="20"/>
          <w:szCs w:val="20"/>
          <w:color w:val="auto"/>
        </w:rPr>
      </w:pPr>
    </w:p>
    <w:p>
      <w:pPr>
        <w:jc w:val="both"/>
        <w:ind w:right="3359" w:firstLine="509"/>
        <w:spacing w:after="0" w:line="306" w:lineRule="auto"/>
        <w:rPr>
          <w:sz w:val="20"/>
          <w:szCs w:val="20"/>
          <w:color w:val="auto"/>
        </w:rPr>
      </w:pPr>
      <w:r>
        <w:rPr>
          <w:rFonts w:ascii="Courier New" w:cs="Courier New" w:eastAsia="Courier New" w:hAnsi="Courier New"/>
          <w:sz w:val="14"/>
          <w:szCs w:val="14"/>
          <w:color w:val="auto"/>
        </w:rPr>
        <w:t>Section 2. ADDITIONAL OFFICES. The Corporation may have additional offices at such places as the Board of Directors may from time to time determine or the business of the Corporation may require.</w:t>
      </w:r>
    </w:p>
    <w:p>
      <w:pPr>
        <w:spacing w:after="0" w:line="46" w:lineRule="exact"/>
        <w:rPr>
          <w:sz w:val="20"/>
          <w:szCs w:val="20"/>
          <w:color w:val="auto"/>
        </w:rPr>
      </w:pPr>
    </w:p>
    <w:p>
      <w:pPr>
        <w:ind w:right="3539" w:firstLine="509"/>
        <w:spacing w:after="0" w:line="366" w:lineRule="auto"/>
        <w:rPr>
          <w:sz w:val="20"/>
          <w:szCs w:val="20"/>
          <w:color w:val="auto"/>
        </w:rPr>
      </w:pPr>
      <w:r>
        <w:rPr>
          <w:rFonts w:ascii="Courier New" w:cs="Courier New" w:eastAsia="Courier New" w:hAnsi="Courier New"/>
          <w:sz w:val="14"/>
          <w:szCs w:val="14"/>
          <w:color w:val="auto"/>
        </w:rPr>
        <w:t>Section 3. FISCAL AND TAXABLE YEARS. The fiscal and taxable years of the Corporation shall begin on January 1 and end on December 31.</w:t>
      </w:r>
    </w:p>
    <w:p>
      <w:pPr>
        <w:spacing w:after="0" w:line="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ARTICLE II</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MEETINGS OF STOCKHOLDERS</w:t>
      </w:r>
    </w:p>
    <w:p>
      <w:pPr>
        <w:spacing w:after="0" w:line="168" w:lineRule="exact"/>
        <w:rPr>
          <w:sz w:val="20"/>
          <w:szCs w:val="20"/>
          <w:color w:val="auto"/>
        </w:rPr>
      </w:pPr>
    </w:p>
    <w:p>
      <w:pPr>
        <w:ind w:right="3699" w:firstLine="509"/>
        <w:spacing w:after="0" w:line="306" w:lineRule="auto"/>
        <w:rPr>
          <w:sz w:val="20"/>
          <w:szCs w:val="20"/>
          <w:color w:val="auto"/>
        </w:rPr>
      </w:pPr>
      <w:r>
        <w:rPr>
          <w:rFonts w:ascii="Courier New" w:cs="Courier New" w:eastAsia="Courier New" w:hAnsi="Courier New"/>
          <w:sz w:val="14"/>
          <w:szCs w:val="14"/>
          <w:color w:val="auto"/>
        </w:rPr>
        <w:t>Section 1. PLACE. All meetings of stockholders shall be held at the principal office of the Corporation or at such other place within the United States as shall be stated in the notice of the meeting.</w:t>
      </w:r>
    </w:p>
    <w:p>
      <w:pPr>
        <w:spacing w:after="0" w:line="46" w:lineRule="exact"/>
        <w:rPr>
          <w:sz w:val="20"/>
          <w:szCs w:val="20"/>
          <w:color w:val="auto"/>
        </w:rPr>
      </w:pPr>
    </w:p>
    <w:p>
      <w:pPr>
        <w:ind w:right="3459" w:firstLine="509"/>
        <w:spacing w:after="0" w:line="266" w:lineRule="auto"/>
        <w:rPr>
          <w:sz w:val="20"/>
          <w:szCs w:val="20"/>
          <w:color w:val="auto"/>
        </w:rPr>
      </w:pPr>
      <w:r>
        <w:rPr>
          <w:rFonts w:ascii="Courier New" w:cs="Courier New" w:eastAsia="Courier New" w:hAnsi="Courier New"/>
          <w:sz w:val="14"/>
          <w:szCs w:val="14"/>
          <w:color w:val="auto"/>
        </w:rPr>
        <w:t>Section 2. ANNUAL MEETING. An annual meeting of the stockholders for the election of Directors and the transaction of any business within the powers of the Corporation shall be held during the month of May of each year, except for the year 2000 when such meeting shall be held during the month of September, at a convenient location and on proper notice, on a date at the time set by the Board of Directors. Failure to hold an annual meeting does not invalidate the Corporation's existence or affect any otherwise valid acts of the Corporation.</w:t>
      </w:r>
    </w:p>
    <w:p>
      <w:pPr>
        <w:spacing w:after="0" w:line="74" w:lineRule="exact"/>
        <w:rPr>
          <w:sz w:val="20"/>
          <w:szCs w:val="20"/>
          <w:color w:val="auto"/>
        </w:rPr>
      </w:pPr>
    </w:p>
    <w:p>
      <w:pPr>
        <w:ind w:right="3359" w:firstLine="509"/>
        <w:spacing w:after="0" w:line="263" w:lineRule="auto"/>
        <w:rPr>
          <w:sz w:val="20"/>
          <w:szCs w:val="20"/>
          <w:color w:val="auto"/>
        </w:rPr>
      </w:pPr>
      <w:r>
        <w:rPr>
          <w:rFonts w:ascii="Courier New" w:cs="Courier New" w:eastAsia="Courier New" w:hAnsi="Courier New"/>
          <w:sz w:val="14"/>
          <w:szCs w:val="14"/>
          <w:color w:val="auto"/>
        </w:rPr>
        <w:t>Section 3. SPECIAL MEETINGS. The President, Chairman of the Board, a majority of the Board of Directors or a committee of the Board of Directors which has been duly designated by the Board of Directors and whose powers and authority, as provided in a resolution of the Board of Directors or these Bylaws, include the power to call such meetings may call special meetings of the stockholders. The Secretary of the Corporation shall call a special meeting of the stockholders on the written request of stockholders entitled to cast at least a majority of all the votes entitled to be cast at the meeting.</w:t>
      </w:r>
    </w:p>
    <w:p>
      <w:pPr>
        <w:spacing w:after="0" w:line="77" w:lineRule="exact"/>
        <w:rPr>
          <w:sz w:val="20"/>
          <w:szCs w:val="20"/>
          <w:color w:val="auto"/>
        </w:rPr>
      </w:pPr>
    </w:p>
    <w:p>
      <w:pPr>
        <w:ind w:right="3539" w:firstLine="509"/>
        <w:spacing w:after="0" w:line="306" w:lineRule="auto"/>
        <w:rPr>
          <w:sz w:val="20"/>
          <w:szCs w:val="20"/>
          <w:color w:val="auto"/>
        </w:rPr>
      </w:pPr>
      <w:r>
        <w:rPr>
          <w:rFonts w:ascii="Courier New" w:cs="Courier New" w:eastAsia="Courier New" w:hAnsi="Courier New"/>
          <w:sz w:val="14"/>
          <w:szCs w:val="14"/>
          <w:color w:val="auto"/>
        </w:rPr>
        <w:t>Section 4. NOTICE. Not less than ten (10) nor more than ninety (90) days before each meeting of stockholders, the Secretary shall give to each stockholder entitled to vote at such meeting</w:t>
      </w:r>
    </w:p>
    <w:p>
      <w:pPr>
        <w:sectPr>
          <w:pgSz w:w="11900" w:h="16838" w:orient="portrait"/>
          <w:cols w:equalWidth="0" w:num="1">
            <w:col w:w="10159"/>
          </w:cols>
          <w:pgMar w:left="300" w:top="115"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94"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4"/>
          <w:szCs w:val="14"/>
          <w:color w:val="auto"/>
        </w:rPr>
        <w:t>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stockholder personally or by leaving it at his residence or usual place of business. If mailed, such notice shall be deemed to be given when deposited in the United States mail addressed to the stockholder at his post office address as it appears on the records of the Corporation, with postage thereon prepaid.</w:t>
      </w:r>
    </w:p>
    <w:p>
      <w:pPr>
        <w:spacing w:after="0" w:line="78" w:lineRule="exact"/>
        <w:rPr>
          <w:sz w:val="20"/>
          <w:szCs w:val="20"/>
          <w:color w:val="auto"/>
        </w:rPr>
      </w:pPr>
    </w:p>
    <w:p>
      <w:pPr>
        <w:ind w:right="3459" w:firstLine="509"/>
        <w:spacing w:after="0" w:line="276" w:lineRule="auto"/>
        <w:rPr>
          <w:sz w:val="20"/>
          <w:szCs w:val="20"/>
          <w:color w:val="auto"/>
        </w:rPr>
      </w:pPr>
      <w:r>
        <w:rPr>
          <w:rFonts w:ascii="Courier New" w:cs="Courier New" w:eastAsia="Courier New" w:hAnsi="Courier New"/>
          <w:sz w:val="14"/>
          <w:szCs w:val="14"/>
          <w:color w:val="auto"/>
        </w:rPr>
        <w:t>Section 5. SCOPE OF NOTICE.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pacing w:after="0" w:line="67" w:lineRule="exact"/>
        <w:rPr>
          <w:sz w:val="20"/>
          <w:szCs w:val="20"/>
          <w:color w:val="auto"/>
        </w:rPr>
      </w:pPr>
    </w:p>
    <w:p>
      <w:pPr>
        <w:ind w:right="3459" w:firstLine="509"/>
        <w:spacing w:after="0" w:line="263" w:lineRule="auto"/>
        <w:rPr>
          <w:sz w:val="20"/>
          <w:szCs w:val="20"/>
          <w:color w:val="auto"/>
        </w:rPr>
      </w:pPr>
      <w:r>
        <w:rPr>
          <w:rFonts w:ascii="Courier New" w:cs="Courier New" w:eastAsia="Courier New" w:hAnsi="Courier New"/>
          <w:sz w:val="14"/>
          <w:szCs w:val="14"/>
          <w:color w:val="auto"/>
        </w:rPr>
        <w:t>Section 6. ORGANIZATION. At every meeting of the stockholders, the Chairman of the Board, if there be one, shall conduct the meeting or, in the case of vacancy in office or absence of the Chairman of the Board, one of the following officers present shall conduct the meeting in the order stated: the Vice Chairman of the Board, if there be one, the President, the Vice Presidents in their order of rank and seniority and the Secretary, or, in his absence, an assistant secretary, or in the absence of both the Secretary and assistant secretaries, a person appointed by the Chairman shall act as Secretary.</w:t>
      </w:r>
    </w:p>
    <w:p>
      <w:pPr>
        <w:spacing w:after="0" w:line="77" w:lineRule="exact"/>
        <w:rPr>
          <w:sz w:val="20"/>
          <w:szCs w:val="20"/>
          <w:color w:val="auto"/>
        </w:rPr>
      </w:pPr>
    </w:p>
    <w:p>
      <w:pPr>
        <w:ind w:right="3359" w:firstLine="509"/>
        <w:spacing w:after="0" w:line="257" w:lineRule="auto"/>
        <w:rPr>
          <w:sz w:val="20"/>
          <w:szCs w:val="20"/>
          <w:color w:val="auto"/>
        </w:rPr>
      </w:pPr>
      <w:r>
        <w:rPr>
          <w:rFonts w:ascii="Courier New" w:cs="Courier New" w:eastAsia="Courier New" w:hAnsi="Courier New"/>
          <w:sz w:val="14"/>
          <w:szCs w:val="14"/>
          <w:color w:val="auto"/>
        </w:rPr>
        <w:t>Section 7. QUORUM. At any meeting of stockholders, the presence in person or by proxy of stockholders entitled to cast a majority of all the votes entitled to be cast at such meeting shall constitute a quorum; but this Section shall not affect any requirement under any statute or the Charter for the vote necessary for the adoption of any measure. If, however, such quorum shall not be present at any meeting of the stockholders, the stockholders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82" w:lineRule="exact"/>
        <w:rPr>
          <w:sz w:val="20"/>
          <w:szCs w:val="20"/>
          <w:color w:val="auto"/>
        </w:rPr>
      </w:pPr>
    </w:p>
    <w:p>
      <w:pPr>
        <w:ind w:right="3359" w:firstLine="509"/>
        <w:spacing w:after="0" w:line="258" w:lineRule="auto"/>
        <w:rPr>
          <w:sz w:val="20"/>
          <w:szCs w:val="20"/>
          <w:color w:val="auto"/>
        </w:rPr>
      </w:pPr>
      <w:r>
        <w:rPr>
          <w:rFonts w:ascii="Courier New" w:cs="Courier New" w:eastAsia="Courier New" w:hAnsi="Courier New"/>
          <w:sz w:val="14"/>
          <w:szCs w:val="14"/>
          <w:color w:val="auto"/>
        </w:rPr>
        <w:t>Section 8. VOTING. A plurality of all the votes cast at a meeting of stockholders duly called and at which a quorum is present shall be sufficient to elect a Director. Each share of stock may be voted for as many individuals as there are Directors to be elected and for whose election the share of stock is entitled to be voted. A majority of the votes cast at a meeting of stockholders duly called and at which a quorum is present shall be sufficient to approve any other matter which may properly come before the meeting, unless more than a majority of the votes cast is required herein or by statute or by the Charter. Unless otherwise provided in the Charter, each outstanding share of stock, regardless of class, shall be entitled to one vote on each matter submitted to a vote at a meeting of stockholders.</w:t>
      </w:r>
    </w:p>
    <w:p>
      <w:pPr>
        <w:spacing w:after="0" w:line="82" w:lineRule="exact"/>
        <w:rPr>
          <w:sz w:val="20"/>
          <w:szCs w:val="20"/>
          <w:color w:val="auto"/>
        </w:rPr>
      </w:pPr>
    </w:p>
    <w:p>
      <w:pPr>
        <w:ind w:right="3459" w:firstLine="509"/>
        <w:spacing w:after="0" w:line="306" w:lineRule="auto"/>
        <w:rPr>
          <w:sz w:val="20"/>
          <w:szCs w:val="20"/>
          <w:color w:val="auto"/>
        </w:rPr>
      </w:pPr>
      <w:r>
        <w:rPr>
          <w:rFonts w:ascii="Courier New" w:cs="Courier New" w:eastAsia="Courier New" w:hAnsi="Courier New"/>
          <w:sz w:val="14"/>
          <w:szCs w:val="14"/>
          <w:color w:val="auto"/>
        </w:rPr>
        <w:t>Section 9. PROXIES. A stockholder may vote the shares of stock owned of record by him, either in person or by proxy. Such proxy shall be filed with the Secretary of the Corporation</w:t>
      </w:r>
    </w:p>
    <w:p>
      <w:pPr>
        <w:spacing w:after="0" w:line="200" w:lineRule="exact"/>
        <w:rPr>
          <w:sz w:val="20"/>
          <w:szCs w:val="20"/>
          <w:color w:val="auto"/>
        </w:rPr>
      </w:pP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57"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94" w:lineRule="exact"/>
        <w:rPr>
          <w:sz w:val="20"/>
          <w:szCs w:val="20"/>
          <w:color w:val="auto"/>
        </w:rPr>
      </w:pPr>
    </w:p>
    <w:p>
      <w:pPr>
        <w:ind w:right="3539"/>
        <w:spacing w:after="0" w:line="366" w:lineRule="auto"/>
        <w:rPr>
          <w:sz w:val="20"/>
          <w:szCs w:val="20"/>
          <w:color w:val="auto"/>
        </w:rPr>
      </w:pPr>
      <w:r>
        <w:rPr>
          <w:rFonts w:ascii="Courier New" w:cs="Courier New" w:eastAsia="Courier New" w:hAnsi="Courier New"/>
          <w:sz w:val="14"/>
          <w:szCs w:val="14"/>
          <w:color w:val="auto"/>
        </w:rPr>
        <w:t>before or at the time of the meeting. No proxy shall be valid after eleven months from the date of its execution, unless otherwise provided in the proxy.</w:t>
      </w:r>
    </w:p>
    <w:p>
      <w:pPr>
        <w:spacing w:after="0" w:line="6" w:lineRule="exact"/>
        <w:rPr>
          <w:sz w:val="20"/>
          <w:szCs w:val="20"/>
          <w:color w:val="auto"/>
        </w:rPr>
      </w:pPr>
    </w:p>
    <w:p>
      <w:pPr>
        <w:ind w:right="3459" w:firstLine="509"/>
        <w:spacing w:after="0" w:line="258" w:lineRule="auto"/>
        <w:rPr>
          <w:sz w:val="20"/>
          <w:szCs w:val="20"/>
          <w:color w:val="auto"/>
        </w:rPr>
      </w:pPr>
      <w:r>
        <w:rPr>
          <w:rFonts w:ascii="Courier New" w:cs="Courier New" w:eastAsia="Courier New" w:hAnsi="Courier New"/>
          <w:sz w:val="14"/>
          <w:szCs w:val="14"/>
          <w:color w:val="auto"/>
        </w:rPr>
        <w:t>Section 10. VOTING OF SHARES OF STOCK BY CERTAIN HOLDERS. Shares of stock of the Corporation registered in the name of a corporation, partnership, trust or other entity, if entitled to be voted, may be voted by the president or a vice president, a general partner or director thereof, as the case may be, or a proxy appointed by any of the foregoing individuals, unless some other person who has been appointed to vote such shares of stock pursuant to a bylaw or a resolution of the governing board of such corporation or other entity or agreement of the partners of the partnership presents a certified copy of such bylaw, resolution or agreement, in which case such person may vote such shares of stock. Any fiduciary may vote shares of stock registered in his name as such fiduciary, either in person or by proxy.</w:t>
      </w:r>
    </w:p>
    <w:p>
      <w:pPr>
        <w:spacing w:after="0" w:line="82" w:lineRule="exact"/>
        <w:rPr>
          <w:sz w:val="20"/>
          <w:szCs w:val="20"/>
          <w:color w:val="auto"/>
        </w:rPr>
      </w:pPr>
    </w:p>
    <w:p>
      <w:pPr>
        <w:ind w:right="3459" w:firstLine="509"/>
        <w:spacing w:after="0" w:line="255" w:lineRule="auto"/>
        <w:rPr>
          <w:sz w:val="20"/>
          <w:szCs w:val="20"/>
          <w:color w:val="auto"/>
        </w:rPr>
      </w:pPr>
      <w:r>
        <w:rPr>
          <w:rFonts w:ascii="Courier New" w:cs="Courier New" w:eastAsia="Courier New" w:hAnsi="Courier New"/>
          <w:sz w:val="14"/>
          <w:szCs w:val="14"/>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 necessary or desirable. On receipt of such certification, the person specified in the certification shall be regarded as, for the purposes set forth in the certification, the stockholder of record of the specified shares of stock in place of the stockholder who makes the certification.</w:t>
      </w:r>
    </w:p>
    <w:p>
      <w:pPr>
        <w:spacing w:after="0" w:line="82" w:lineRule="exact"/>
        <w:rPr>
          <w:sz w:val="20"/>
          <w:szCs w:val="20"/>
          <w:color w:val="auto"/>
        </w:rPr>
      </w:pPr>
    </w:p>
    <w:p>
      <w:pPr>
        <w:ind w:right="3459" w:firstLine="509"/>
        <w:spacing w:after="0" w:line="306" w:lineRule="auto"/>
        <w:rPr>
          <w:sz w:val="20"/>
          <w:szCs w:val="20"/>
          <w:color w:val="auto"/>
        </w:rPr>
      </w:pPr>
      <w:r>
        <w:rPr>
          <w:rFonts w:ascii="Courier New" w:cs="Courier New" w:eastAsia="Courier New" w:hAnsi="Courier New"/>
          <w:sz w:val="14"/>
          <w:szCs w:val="14"/>
          <w:color w:val="auto"/>
        </w:rPr>
        <w:t>Title 3, Subtitle 7 of the Maryland General Corporation Law (the "MGCL"), or any successor statute, shall not apply to any acquisition by any person of shares of stock of the Corporation.</w:t>
      </w:r>
    </w:p>
    <w:p>
      <w:pPr>
        <w:spacing w:after="0" w:line="46" w:lineRule="exact"/>
        <w:rPr>
          <w:sz w:val="20"/>
          <w:szCs w:val="20"/>
          <w:color w:val="auto"/>
        </w:rPr>
      </w:pPr>
    </w:p>
    <w:p>
      <w:pPr>
        <w:ind w:right="3359" w:firstLine="509"/>
        <w:spacing w:after="0" w:line="266" w:lineRule="auto"/>
        <w:rPr>
          <w:sz w:val="20"/>
          <w:szCs w:val="20"/>
          <w:color w:val="auto"/>
        </w:rPr>
      </w:pPr>
      <w:r>
        <w:rPr>
          <w:rFonts w:ascii="Courier New" w:cs="Courier New" w:eastAsia="Courier New" w:hAnsi="Courier New"/>
          <w:sz w:val="14"/>
          <w:szCs w:val="14"/>
          <w:color w:val="auto"/>
        </w:rPr>
        <w:t>Section 11. INSPECTORS. At any meeting of stockholders, the chairman of the meeting may, or upon the request of any stockholder shall, appoint one or more persons as inspectors for such meeting. Such inspectors shall ascertain and report the number of shares of stock represented at the meeting based upon their determination of the validity and effect of proxies, count all votes, report the results and perform such other acts as are proper to conduct the election and voting with impartiality and fairness to all the stockholders.</w:t>
      </w:r>
    </w:p>
    <w:p>
      <w:pPr>
        <w:spacing w:after="0" w:line="74" w:lineRule="exact"/>
        <w:rPr>
          <w:sz w:val="20"/>
          <w:szCs w:val="20"/>
          <w:color w:val="auto"/>
        </w:rPr>
      </w:pPr>
    </w:p>
    <w:p>
      <w:pPr>
        <w:ind w:right="3459" w:firstLine="509"/>
        <w:spacing w:after="0" w:line="270" w:lineRule="auto"/>
        <w:rPr>
          <w:sz w:val="20"/>
          <w:szCs w:val="20"/>
          <w:color w:val="auto"/>
        </w:rPr>
      </w:pPr>
      <w:r>
        <w:rPr>
          <w:rFonts w:ascii="Courier New" w:cs="Courier New" w:eastAsia="Courier New" w:hAnsi="Courier New"/>
          <w:sz w:val="14"/>
          <w:szCs w:val="14"/>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of stock represented at the meeting and the results of the voting shall be prima facie evidence thereof.</w:t>
      </w:r>
    </w:p>
    <w:p>
      <w:pPr>
        <w:spacing w:after="0" w:line="200" w:lineRule="exact"/>
        <w:rPr>
          <w:sz w:val="20"/>
          <w:szCs w:val="20"/>
          <w:color w:val="auto"/>
        </w:rPr>
      </w:pPr>
    </w:p>
    <w:p>
      <w:pPr>
        <w:spacing w:after="0" w:line="3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57" w:right="1440" w:bottom="1440" w:gutter="0" w:footer="0" w:header="0"/>
        </w:sectPr>
      </w:pPr>
    </w:p>
    <w:bookmarkStart w:id="206" w:name="page207"/>
    <w:bookmarkEnd w:id="206"/>
    <w:p>
      <w:pPr>
        <w:ind w:left="253"/>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94" w:lineRule="exact"/>
        <w:rPr>
          <w:sz w:val="20"/>
          <w:szCs w:val="20"/>
          <w:color w:val="auto"/>
        </w:rPr>
      </w:pPr>
    </w:p>
    <w:p>
      <w:pPr>
        <w:ind w:left="673"/>
        <w:spacing w:after="0"/>
        <w:rPr>
          <w:sz w:val="20"/>
          <w:szCs w:val="20"/>
          <w:color w:val="auto"/>
        </w:rPr>
      </w:pPr>
      <w:r>
        <w:rPr>
          <w:rFonts w:ascii="Courier New" w:cs="Courier New" w:eastAsia="Courier New" w:hAnsi="Courier New"/>
          <w:sz w:val="14"/>
          <w:szCs w:val="14"/>
          <w:color w:val="auto"/>
        </w:rPr>
        <w:t>Section 12. NOMINATIONS AND STOCKHOLDER BUSINESS.</w:t>
      </w:r>
    </w:p>
    <w:p>
      <w:pPr>
        <w:spacing w:after="0" w:line="168" w:lineRule="exact"/>
        <w:rPr>
          <w:sz w:val="20"/>
          <w:szCs w:val="20"/>
          <w:color w:val="auto"/>
        </w:rPr>
      </w:pPr>
    </w:p>
    <w:p>
      <w:pPr>
        <w:ind w:left="1613" w:hanging="341"/>
        <w:spacing w:after="0"/>
        <w:tabs>
          <w:tab w:leader="none" w:pos="1613"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Meetings of Stockholders.</w:t>
      </w:r>
    </w:p>
    <w:p>
      <w:pPr>
        <w:spacing w:after="0" w:line="167" w:lineRule="exact"/>
        <w:rPr>
          <w:rFonts w:ascii="Courier New" w:cs="Courier New" w:eastAsia="Courier New" w:hAnsi="Courier New"/>
          <w:sz w:val="14"/>
          <w:szCs w:val="14"/>
          <w:color w:val="auto"/>
        </w:rPr>
      </w:pPr>
    </w:p>
    <w:p>
      <w:pPr>
        <w:ind w:left="-7" w:right="3459" w:firstLine="1618"/>
        <w:spacing w:after="0" w:line="256" w:lineRule="auto"/>
        <w:tabs>
          <w:tab w:leader="none" w:pos="1943" w:val="left"/>
        </w:tabs>
        <w:numPr>
          <w:ilvl w:val="2"/>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Nominations of persons for election to the Board of Directors and the proposal of business to be considered by the stockholders may be made at an annual meeting of stockholders (i) pursuant to the Corporation's notice of meeting, (ii) by or at the direction of the Board of Directors or</w:t>
      </w:r>
    </w:p>
    <w:p>
      <w:pPr>
        <w:spacing w:after="0" w:line="1" w:lineRule="exact"/>
        <w:rPr>
          <w:rFonts w:ascii="Courier New" w:cs="Courier New" w:eastAsia="Courier New" w:hAnsi="Courier New"/>
          <w:sz w:val="14"/>
          <w:szCs w:val="14"/>
          <w:color w:val="auto"/>
        </w:rPr>
      </w:pPr>
    </w:p>
    <w:p>
      <w:pPr>
        <w:ind w:left="-7" w:right="3359" w:firstLine="7"/>
        <w:spacing w:after="0" w:line="273" w:lineRule="auto"/>
        <w:tabs>
          <w:tab w:leader="none" w:pos="50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stockholder of the Corporation who was a stockholder of record at the time of giving of notice provided for in this Section 12(a), who is entitled to vote at the meeting and who complied with the notice procedures set forth in this Section 12(a).</w:t>
      </w:r>
    </w:p>
    <w:p>
      <w:pPr>
        <w:spacing w:after="0" w:line="67" w:lineRule="exact"/>
        <w:rPr>
          <w:rFonts w:ascii="Courier New" w:cs="Courier New" w:eastAsia="Courier New" w:hAnsi="Courier New"/>
          <w:sz w:val="14"/>
          <w:szCs w:val="14"/>
          <w:color w:val="auto"/>
        </w:rPr>
      </w:pPr>
    </w:p>
    <w:p>
      <w:pPr>
        <w:ind w:left="-7" w:right="3359" w:firstLine="1618"/>
        <w:spacing w:after="0" w:line="250" w:lineRule="auto"/>
        <w:tabs>
          <w:tab w:leader="none" w:pos="1943" w:val="left"/>
        </w:tabs>
        <w:numPr>
          <w:ilvl w:val="2"/>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nominations or other business to be properly brought before an annual meeting by a stockholder pursuant to clause (iii) of paragraph (a)(1) of this Section 12, the stockholder must have given timely notice thereof in writing to the Secretary of the Corporation. To be timely, a stockholder's notice shall be delivered to the Secretary at the principal executive offices of the Corporation not less than 60 days nor more than 90 days prior to the first anniversary of the preceding year's annual meeting; provided, however, that in the event that the date of the annual meeting is advanced by more than 30 days or delayed by more than 60 days from such anniversary date, notice by the stockholder to be timely must be so delivered not earlier than the 90th day prior to such annual meeting and not later than the close of business on the later of the 60th day prior to such annual meeting or the tenth day following the day on which public announcement of the date of such meeting is first made. Such stockholder's notice shall set forth: (i)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 (ii)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of the beneficial owner, if any, on whose behalf the proposal is made; and (iii) as to the stockholder giving the notice and the beneficial owner, if any, on whose behalf the nomination or proposal is made, (y) the name and address of such stockholder, as they appear on the Corporation's books, and of such beneficial owner and (z) the number of each class of shares of stock of the Corporation which are owned beneficially and of record by such stockholder and such beneficial owner.</w:t>
      </w:r>
    </w:p>
    <w:p>
      <w:pPr>
        <w:spacing w:after="0" w:line="97" w:lineRule="exact"/>
        <w:rPr>
          <w:rFonts w:ascii="Courier New" w:cs="Courier New" w:eastAsia="Courier New" w:hAnsi="Courier New"/>
          <w:sz w:val="14"/>
          <w:szCs w:val="14"/>
          <w:color w:val="auto"/>
        </w:rPr>
      </w:pPr>
    </w:p>
    <w:p>
      <w:pPr>
        <w:ind w:left="-7" w:right="3459" w:firstLine="1618"/>
        <w:spacing w:after="0" w:line="260" w:lineRule="auto"/>
        <w:tabs>
          <w:tab w:leader="none" w:pos="1943" w:val="left"/>
        </w:tabs>
        <w:numPr>
          <w:ilvl w:val="2"/>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the second sentence of paragraph (a)(2) of this Section 12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70 days prior to the first anniversary of the preceding year's annual meeting, a stockholder's notice required by this Section 12 (a) shall also be considered timely, but only with respect to nominees for any new positions created by such increase, if it shall be delivered to the Secretary at the principal</w:t>
      </w:r>
    </w:p>
    <w:p>
      <w:pPr>
        <w:spacing w:after="0" w:line="200" w:lineRule="exact"/>
        <w:rPr>
          <w:sz w:val="20"/>
          <w:szCs w:val="20"/>
          <w:color w:val="auto"/>
        </w:rPr>
      </w:pPr>
    </w:p>
    <w:p>
      <w:pPr>
        <w:spacing w:after="0" w:line="365" w:lineRule="exact"/>
        <w:rPr>
          <w:sz w:val="20"/>
          <w:szCs w:val="20"/>
          <w:color w:val="auto"/>
        </w:rPr>
      </w:pPr>
    </w:p>
    <w:p>
      <w:pPr>
        <w:ind w:left="3393"/>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2"/>
          </w:cols>
          <w:pgMar w:left="307" w:top="257"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94" w:lineRule="exact"/>
        <w:rPr>
          <w:sz w:val="20"/>
          <w:szCs w:val="20"/>
          <w:color w:val="auto"/>
        </w:rPr>
      </w:pPr>
    </w:p>
    <w:p>
      <w:pPr>
        <w:ind w:right="3359"/>
        <w:spacing w:after="0" w:line="306" w:lineRule="auto"/>
        <w:rPr>
          <w:sz w:val="20"/>
          <w:szCs w:val="20"/>
          <w:color w:val="auto"/>
        </w:rPr>
      </w:pPr>
      <w:r>
        <w:rPr>
          <w:rFonts w:ascii="Courier New" w:cs="Courier New" w:eastAsia="Courier New" w:hAnsi="Courier New"/>
          <w:sz w:val="14"/>
          <w:szCs w:val="14"/>
          <w:color w:val="auto"/>
        </w:rPr>
        <w:t>executive offices of the Corporation not later than the close of business on the tenth day following the day on which such public announcement is first made by the Corporation.</w:t>
      </w:r>
    </w:p>
    <w:p>
      <w:pPr>
        <w:spacing w:after="0" w:line="46" w:lineRule="exact"/>
        <w:rPr>
          <w:sz w:val="20"/>
          <w:szCs w:val="20"/>
          <w:color w:val="auto"/>
        </w:rPr>
      </w:pPr>
    </w:p>
    <w:p>
      <w:pPr>
        <w:ind w:right="3359" w:firstLine="1279"/>
        <w:spacing w:after="0" w:line="252" w:lineRule="auto"/>
        <w:tabs>
          <w:tab w:leader="none" w:pos="1611"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Meetings of Stockholders.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(i) pursuant to the Corporation's notice of meeting, (ii) by or at the direction of the Board of Directors or (iii) provided that the Board of Directors has determined that Directors shall be elected at such special meeting, by any stockholder of the Corporation who was a stockholder of record at the time of giving of notice provided for in this Section 12(b), who is entitled to vote at the meeting and who complied with the notice procedures set forth in this Section 12(b). In the event the Corporation calls a special meeting of stockholders for the purpose of electing one or more Directors to the Board of Directors, any such stockholder may nominate a person or persons (as the case may be) for election to such position as specified in the Corporation's notice of meeting, if the stockholder's notice containing the information required by paragraph (a)(2) of this Section 12 shall be delivered to the Secretary at the principal executive offices of the Corporation not earlier than the 90th day prior to such special meeting and not later than the close of business on the later of the 60th day prior to such special meeting or the tenth day following the day on which public announcement is first made of the date of the special meeting and of the nominees proposed by the Board of Directors to be elected at such meeting.</w:t>
      </w:r>
    </w:p>
    <w:p>
      <w:pPr>
        <w:spacing w:after="0" w:line="87" w:lineRule="exact"/>
        <w:rPr>
          <w:rFonts w:ascii="Courier New" w:cs="Courier New" w:eastAsia="Courier New" w:hAnsi="Courier New"/>
          <w:sz w:val="14"/>
          <w:szCs w:val="14"/>
          <w:color w:val="auto"/>
        </w:rPr>
      </w:pPr>
    </w:p>
    <w:p>
      <w:pPr>
        <w:ind w:left="1620" w:hanging="341"/>
        <w:spacing w:after="0"/>
        <w:tabs>
          <w:tab w:leader="none" w:pos="16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67" w:lineRule="exact"/>
        <w:rPr>
          <w:rFonts w:ascii="Courier New" w:cs="Courier New" w:eastAsia="Courier New" w:hAnsi="Courier New"/>
          <w:sz w:val="14"/>
          <w:szCs w:val="14"/>
          <w:color w:val="auto"/>
        </w:rPr>
      </w:pPr>
    </w:p>
    <w:p>
      <w:pPr>
        <w:ind w:right="3539" w:firstLine="1618"/>
        <w:spacing w:after="0" w:line="260" w:lineRule="auto"/>
        <w:tabs>
          <w:tab w:leader="none" w:pos="195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such persons who are nominated in accordance with the procedures set forth in this Section 12 shall be eligible to serve as Directors, and only such business shall be conducted at a meeting of stockholders as shall have been brought before the meeting in accordance with the procedures set forth in this Section 12. The presiding officer of the meeting shall have the power and duty to determine whether a nomination or any business proposed to be brought before the meeting was made in accordance with the procedures set forth in this Section 12 and, if any proposed nomination or business is not in compliance with this Section 12, to declare that such defective nomination or proposal be disregarded.</w:t>
      </w:r>
    </w:p>
    <w:p>
      <w:pPr>
        <w:spacing w:after="0" w:line="75" w:lineRule="exact"/>
        <w:rPr>
          <w:rFonts w:ascii="Courier New" w:cs="Courier New" w:eastAsia="Courier New" w:hAnsi="Courier New"/>
          <w:sz w:val="14"/>
          <w:szCs w:val="14"/>
          <w:color w:val="auto"/>
        </w:rPr>
      </w:pPr>
    </w:p>
    <w:p>
      <w:pPr>
        <w:ind w:right="3359" w:firstLine="1618"/>
        <w:spacing w:after="0" w:line="276" w:lineRule="auto"/>
        <w:tabs>
          <w:tab w:leader="none" w:pos="195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12, "public announcement" shall mean disclosure in a press release reported by the Dow Jones News Service, Associated Press or comparable news service or in a document publicly filed by the Corporation with the Securities and Exchange Commission pursuant to Sections 12, 14 or 15(d) of the Exchange Act.</w:t>
      </w:r>
    </w:p>
    <w:p>
      <w:pPr>
        <w:spacing w:after="0" w:line="66" w:lineRule="exact"/>
        <w:rPr>
          <w:rFonts w:ascii="Courier New" w:cs="Courier New" w:eastAsia="Courier New" w:hAnsi="Courier New"/>
          <w:sz w:val="14"/>
          <w:szCs w:val="14"/>
          <w:color w:val="auto"/>
        </w:rPr>
      </w:pPr>
    </w:p>
    <w:p>
      <w:pPr>
        <w:ind w:right="3459" w:firstLine="1618"/>
        <w:spacing w:after="0" w:line="266" w:lineRule="auto"/>
        <w:tabs>
          <w:tab w:leader="none" w:pos="195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Section 12, a stockholder shall also comply with all applicable requirements of state law and of the Exchange Act and the rules and regulations thereunder with respect to the matters set forth in this Section 12. Nothing in this Section 12 shall be deemed to affect any rights of stockholders to request inclusion of proposals in the Corporation's proxy statement pursuant to Rule 14a-8 under the Exchange Act.</w:t>
      </w:r>
    </w:p>
    <w:p>
      <w:pPr>
        <w:spacing w:after="0" w:line="200" w:lineRule="exact"/>
        <w:rPr>
          <w:sz w:val="20"/>
          <w:szCs w:val="20"/>
          <w:color w:val="auto"/>
        </w:rPr>
      </w:pPr>
    </w:p>
    <w:p>
      <w:pPr>
        <w:spacing w:after="0" w:line="3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57"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94" w:lineRule="exact"/>
        <w:rPr>
          <w:sz w:val="20"/>
          <w:szCs w:val="20"/>
          <w:color w:val="auto"/>
        </w:rPr>
      </w:pPr>
    </w:p>
    <w:p>
      <w:pPr>
        <w:jc w:val="both"/>
        <w:ind w:right="3619" w:firstLine="509"/>
        <w:spacing w:after="0" w:line="306" w:lineRule="auto"/>
        <w:rPr>
          <w:sz w:val="20"/>
          <w:szCs w:val="20"/>
          <w:color w:val="auto"/>
        </w:rPr>
      </w:pPr>
      <w:r>
        <w:rPr>
          <w:rFonts w:ascii="Courier New" w:cs="Courier New" w:eastAsia="Courier New" w:hAnsi="Courier New"/>
          <w:sz w:val="14"/>
          <w:szCs w:val="14"/>
          <w:color w:val="auto"/>
        </w:rPr>
        <w:t>Section 13. VOTING BY BALLOT. Voting on any question or in any election may be viva voce unless the presiding officer shall order or any stockholder shall demand that voting be by ballot.</w:t>
      </w:r>
    </w:p>
    <w:p>
      <w:pPr>
        <w:spacing w:after="0" w:line="46"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ARTICLE III</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BOARD OF DIRECTORS</w:t>
      </w:r>
    </w:p>
    <w:p>
      <w:pPr>
        <w:spacing w:after="0" w:line="168" w:lineRule="exact"/>
        <w:rPr>
          <w:sz w:val="20"/>
          <w:szCs w:val="20"/>
          <w:color w:val="auto"/>
        </w:rPr>
      </w:pPr>
    </w:p>
    <w:p>
      <w:pPr>
        <w:ind w:right="3459" w:firstLine="509"/>
        <w:spacing w:after="0" w:line="255" w:lineRule="auto"/>
        <w:rPr>
          <w:sz w:val="20"/>
          <w:szCs w:val="20"/>
          <w:color w:val="auto"/>
        </w:rPr>
      </w:pPr>
      <w:r>
        <w:rPr>
          <w:rFonts w:ascii="Courier New" w:cs="Courier New" w:eastAsia="Courier New" w:hAnsi="Courier New"/>
          <w:sz w:val="14"/>
          <w:szCs w:val="14"/>
          <w:color w:val="auto"/>
        </w:rPr>
        <w:t>Section 1. GENERAL POWERS; QUALIFICATIONS; DIRECTORS HOLDING OVER. The business and affairs of the Corporation shall be managed under the direction of its Board of Directors. A Director shall be an individual at least 21 years of age who is not under legal disability. Unless otherwise agreed between the Corporation and the Director, each individual Director, including each Independent Director (as defined in the Corporation's Charter), may engage in other business activities of the type conducted by the Corporation and is not required to present to the Corporation investment opportunities presented to such Director (other than those presented to such Director in his or her capacity as a Director of the Corporation) even though the investment opportunities may be within the scope of the Corporation's investment policies. In case of failure to elect Directors at an annual meeting of the stockholders, the Directors holding over shall continue to direct the management of the business and affairs of the Corporation until their successors are elected and qualify.</w:t>
      </w:r>
    </w:p>
    <w:p>
      <w:pPr>
        <w:spacing w:after="0" w:line="82" w:lineRule="exact"/>
        <w:rPr>
          <w:sz w:val="20"/>
          <w:szCs w:val="20"/>
          <w:color w:val="auto"/>
        </w:rPr>
      </w:pPr>
    </w:p>
    <w:p>
      <w:pPr>
        <w:ind w:right="3359" w:firstLine="509"/>
        <w:spacing w:after="0" w:line="270" w:lineRule="auto"/>
        <w:rPr>
          <w:sz w:val="20"/>
          <w:szCs w:val="20"/>
          <w:color w:val="auto"/>
        </w:rPr>
      </w:pPr>
      <w:r>
        <w:rPr>
          <w:rFonts w:ascii="Courier New" w:cs="Courier New" w:eastAsia="Courier New" w:hAnsi="Courier New"/>
          <w:sz w:val="14"/>
          <w:szCs w:val="14"/>
          <w:color w:val="auto"/>
        </w:rPr>
        <w:t>Section 2. ANNUAL AND REGULAR MEETINGS. An annual meeting of the Directors shall be held immediately after and at the same place as the annual meeting of stockholders, no notice other than this Bylaw being necessary. The Directors may provide, by resolution, the time and place, either within or without the State of Maryland, for the holding of regular meetings of the Directors without other notice than such resolution.</w:t>
      </w:r>
    </w:p>
    <w:p>
      <w:pPr>
        <w:spacing w:after="0" w:line="71" w:lineRule="exact"/>
        <w:rPr>
          <w:sz w:val="20"/>
          <w:szCs w:val="20"/>
          <w:color w:val="auto"/>
        </w:rPr>
      </w:pPr>
    </w:p>
    <w:p>
      <w:pPr>
        <w:ind w:right="3539" w:firstLine="509"/>
        <w:spacing w:after="0" w:line="270" w:lineRule="auto"/>
        <w:rPr>
          <w:sz w:val="20"/>
          <w:szCs w:val="20"/>
          <w:color w:val="auto"/>
        </w:rPr>
      </w:pPr>
      <w:r>
        <w:rPr>
          <w:rFonts w:ascii="Courier New" w:cs="Courier New" w:eastAsia="Courier New" w:hAnsi="Courier New"/>
          <w:sz w:val="14"/>
          <w:szCs w:val="14"/>
          <w:color w:val="auto"/>
        </w:rPr>
        <w:t>Section 3. SPECIAL MEETINGS. Special meetings of the Directors may be called by or at the request of the Chairman of the Board, the Chief Executive Officer or the President or by a majority of the Directors then in office. The person or persons authorized to call special meetings of the Directors may fix any place, either within or without the State of Maryland, as the place for holding any special meeting of the Directors called by them.</w:t>
      </w:r>
    </w:p>
    <w:p>
      <w:pPr>
        <w:spacing w:after="0" w:line="71" w:lineRule="exact"/>
        <w:rPr>
          <w:sz w:val="20"/>
          <w:szCs w:val="20"/>
          <w:color w:val="auto"/>
        </w:rPr>
      </w:pPr>
    </w:p>
    <w:p>
      <w:pPr>
        <w:ind w:right="3359" w:firstLine="509"/>
        <w:spacing w:after="0" w:line="257" w:lineRule="auto"/>
        <w:rPr>
          <w:sz w:val="20"/>
          <w:szCs w:val="20"/>
          <w:color w:val="auto"/>
        </w:rPr>
      </w:pPr>
      <w:r>
        <w:rPr>
          <w:rFonts w:ascii="Courier New" w:cs="Courier New" w:eastAsia="Courier New" w:hAnsi="Courier New"/>
          <w:sz w:val="14"/>
          <w:szCs w:val="14"/>
          <w:color w:val="auto"/>
        </w:rPr>
        <w:t>Section 4. NOTICE. Notice of any special meeting shall be given by written notice delivered personally, telegraphed or mailed to each Director at his business or residence address. Personally delivered or telegraphed notices shall be given at least two days prior to the meeting. Notice by mail shall be given at least five days prior to the meeting. Telephone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Director is personally given such notice in a telephone call to which he is a party. Neither the business to be transacted at, nor the purpose</w:t>
      </w:r>
    </w:p>
    <w:p>
      <w:pPr>
        <w:spacing w:after="0" w:line="200" w:lineRule="exact"/>
        <w:rPr>
          <w:sz w:val="20"/>
          <w:szCs w:val="20"/>
          <w:color w:val="auto"/>
        </w:rPr>
      </w:pPr>
    </w:p>
    <w:p>
      <w:pPr>
        <w:spacing w:after="0" w:line="20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57"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94" w:lineRule="exact"/>
        <w:rPr>
          <w:sz w:val="20"/>
          <w:szCs w:val="20"/>
          <w:color w:val="auto"/>
        </w:rPr>
      </w:pPr>
    </w:p>
    <w:p>
      <w:pPr>
        <w:ind w:right="3619"/>
        <w:spacing w:after="0" w:line="366" w:lineRule="auto"/>
        <w:rPr>
          <w:sz w:val="20"/>
          <w:szCs w:val="20"/>
          <w:color w:val="auto"/>
        </w:rPr>
      </w:pPr>
      <w:r>
        <w:rPr>
          <w:rFonts w:ascii="Courier New" w:cs="Courier New" w:eastAsia="Courier New" w:hAnsi="Courier New"/>
          <w:sz w:val="14"/>
          <w:szCs w:val="14"/>
          <w:color w:val="auto"/>
        </w:rPr>
        <w:t>of, any annual, regular or special meeting of the Directors need be stated in the notice, unless specifically required by statute or these Bylaws.</w:t>
      </w:r>
    </w:p>
    <w:p>
      <w:pPr>
        <w:spacing w:after="0" w:line="6" w:lineRule="exact"/>
        <w:rPr>
          <w:sz w:val="20"/>
          <w:szCs w:val="20"/>
          <w:color w:val="auto"/>
        </w:rPr>
      </w:pPr>
    </w:p>
    <w:p>
      <w:pPr>
        <w:ind w:right="3359" w:firstLine="509"/>
        <w:spacing w:after="0" w:line="263" w:lineRule="auto"/>
        <w:rPr>
          <w:sz w:val="20"/>
          <w:szCs w:val="20"/>
          <w:color w:val="auto"/>
        </w:rPr>
      </w:pPr>
      <w:r>
        <w:rPr>
          <w:rFonts w:ascii="Courier New" w:cs="Courier New" w:eastAsia="Courier New" w:hAnsi="Courier New"/>
          <w:sz w:val="14"/>
          <w:szCs w:val="14"/>
          <w:color w:val="auto"/>
        </w:rPr>
        <w:t>Section 5. QUORUM. Except as provided in subsection (b) of Section 6, a majority of the entire Board of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the Charter or these Bylaws, the vote of a majority of a particular group of Directors is required for action, a quorum must also include a majority of such group.</w:t>
      </w:r>
    </w:p>
    <w:p>
      <w:pPr>
        <w:spacing w:after="0" w:line="77" w:lineRule="exact"/>
        <w:rPr>
          <w:sz w:val="20"/>
          <w:szCs w:val="20"/>
          <w:color w:val="auto"/>
        </w:rPr>
      </w:pPr>
    </w:p>
    <w:p>
      <w:pPr>
        <w:ind w:right="3359" w:firstLine="509"/>
        <w:spacing w:after="0" w:line="306" w:lineRule="auto"/>
        <w:rPr>
          <w:sz w:val="20"/>
          <w:szCs w:val="20"/>
          <w:color w:val="auto"/>
        </w:rPr>
      </w:pPr>
      <w:r>
        <w:rPr>
          <w:rFonts w:ascii="Courier New" w:cs="Courier New" w:eastAsia="Courier New" w:hAnsi="Courier New"/>
          <w:sz w:val="14"/>
          <w:szCs w:val="14"/>
          <w:color w:val="auto"/>
        </w:rPr>
        <w:t>The Directors present at a meeting which has been duly called and convened may continue to transact business until adjournment, notwithstanding the withdrawal of enough Directors to leave less than a quorum.</w:t>
      </w:r>
    </w:p>
    <w:p>
      <w:pPr>
        <w:spacing w:after="0" w:line="4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6. VOTING.</w:t>
      </w:r>
    </w:p>
    <w:p>
      <w:pPr>
        <w:spacing w:after="0" w:line="168" w:lineRule="exact"/>
        <w:rPr>
          <w:sz w:val="20"/>
          <w:szCs w:val="20"/>
          <w:color w:val="auto"/>
        </w:rPr>
      </w:pPr>
    </w:p>
    <w:p>
      <w:pPr>
        <w:ind w:right="3359" w:firstLine="1109"/>
        <w:spacing w:after="0" w:line="276" w:lineRule="auto"/>
        <w:tabs>
          <w:tab w:leader="none" w:pos="1442"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subsection (b) of this Section 6, the action of the majority of the Board of Directors present at a meeting at which a quorum is present shall be the action of the Directors, unless the concurrence of a greater proportion is required for such action by the Charter, these Bylaws or applicable statute.</w:t>
      </w:r>
    </w:p>
    <w:p>
      <w:pPr>
        <w:spacing w:after="0" w:line="66" w:lineRule="exact"/>
        <w:rPr>
          <w:rFonts w:ascii="Courier New" w:cs="Courier New" w:eastAsia="Courier New" w:hAnsi="Courier New"/>
          <w:sz w:val="14"/>
          <w:szCs w:val="14"/>
          <w:color w:val="auto"/>
        </w:rPr>
      </w:pPr>
    </w:p>
    <w:p>
      <w:pPr>
        <w:ind w:right="3619" w:firstLine="1109"/>
        <w:spacing w:after="0" w:line="276" w:lineRule="auto"/>
        <w:tabs>
          <w:tab w:leader="none" w:pos="1442"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two-thirds (2/3) of the Directors then in office shall be necessary to constitute a quorum to approve the actions set forth below in clauses (1) through (5), and such action shall not be effective unless approved by two-thirds (2/3) of the Directors then in office. Such action includes:</w:t>
      </w:r>
    </w:p>
    <w:p>
      <w:pPr>
        <w:spacing w:after="0" w:line="66" w:lineRule="exact"/>
        <w:rPr>
          <w:rFonts w:ascii="Courier New" w:cs="Courier New" w:eastAsia="Courier New" w:hAnsi="Courier New"/>
          <w:sz w:val="14"/>
          <w:szCs w:val="14"/>
          <w:color w:val="auto"/>
        </w:rPr>
      </w:pPr>
    </w:p>
    <w:p>
      <w:pPr>
        <w:ind w:left="1780" w:hanging="331"/>
        <w:spacing w:after="0"/>
        <w:tabs>
          <w:tab w:leader="none" w:pos="178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Control (as hereinafter defined) of the</w:t>
      </w:r>
    </w:p>
    <w:p>
      <w:pPr>
        <w:spacing w:after="0" w:line="3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w:t>
      </w:r>
    </w:p>
    <w:p>
      <w:pPr>
        <w:spacing w:after="0" w:line="141" w:lineRule="exact"/>
        <w:rPr>
          <w:rFonts w:ascii="Courier New" w:cs="Courier New" w:eastAsia="Courier New" w:hAnsi="Courier New"/>
          <w:sz w:val="14"/>
          <w:szCs w:val="14"/>
          <w:color w:val="auto"/>
        </w:rPr>
      </w:pPr>
    </w:p>
    <w:p>
      <w:pPr>
        <w:jc w:val="both"/>
        <w:ind w:right="3539" w:firstLine="1449"/>
        <w:spacing w:after="0" w:line="286" w:lineRule="auto"/>
        <w:tabs>
          <w:tab w:leader="none" w:pos="1781"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to the Charter or these Bylaws (except for such amendments as may be required in the reasonable discretion of two-thirds (2/3) of the Board of Directors to maintain the Corporation's status as a real estate investment trust under the Internal Revenue Code of 1986, as amended);</w:t>
      </w:r>
    </w:p>
    <w:p>
      <w:pPr>
        <w:spacing w:after="0" w:line="59" w:lineRule="exact"/>
        <w:rPr>
          <w:rFonts w:ascii="Courier New" w:cs="Courier New" w:eastAsia="Courier New" w:hAnsi="Courier New"/>
          <w:sz w:val="14"/>
          <w:szCs w:val="14"/>
          <w:color w:val="auto"/>
        </w:rPr>
      </w:pPr>
    </w:p>
    <w:p>
      <w:pPr>
        <w:ind w:right="3879" w:firstLine="1449"/>
        <w:spacing w:after="0" w:line="366" w:lineRule="auto"/>
        <w:tabs>
          <w:tab w:leader="none" w:pos="1781"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waiver or modification of the Ownership Limit (as defined in the Charter); and</w:t>
      </w:r>
    </w:p>
    <w:p>
      <w:pPr>
        <w:spacing w:after="0" w:line="5" w:lineRule="exact"/>
        <w:rPr>
          <w:rFonts w:ascii="Courier New" w:cs="Courier New" w:eastAsia="Courier New" w:hAnsi="Courier New"/>
          <w:sz w:val="14"/>
          <w:szCs w:val="14"/>
          <w:color w:val="auto"/>
        </w:rPr>
      </w:pPr>
    </w:p>
    <w:p>
      <w:pPr>
        <w:ind w:right="3359" w:firstLine="1449"/>
        <w:spacing w:after="0" w:line="270" w:lineRule="auto"/>
        <w:tabs>
          <w:tab w:leader="none" w:pos="1781"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dispositions or financings of assets by the Corporation in excess of 25% of Total Market Capitalization (as hereinafter defined) whether by merger, purchase, sale or otherwise. The value of the assets of the Corporation for the purpose of determining whether such assets constitute in excess of 25% of Total Market Capitalization shall be the book value of such assets as reflected in the Corporation's most recent fiscal year-end</w:t>
      </w:r>
    </w:p>
    <w:p>
      <w:pPr>
        <w:spacing w:after="0" w:line="200" w:lineRule="exact"/>
        <w:rPr>
          <w:sz w:val="20"/>
          <w:szCs w:val="20"/>
          <w:color w:val="auto"/>
        </w:rPr>
      </w:pPr>
    </w:p>
    <w:p>
      <w:pPr>
        <w:spacing w:after="0" w:line="3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57"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94" w:lineRule="exact"/>
        <w:rPr>
          <w:sz w:val="20"/>
          <w:szCs w:val="20"/>
          <w:color w:val="auto"/>
        </w:rPr>
      </w:pPr>
    </w:p>
    <w:p>
      <w:pPr>
        <w:ind w:right="3459"/>
        <w:spacing w:after="0" w:line="276" w:lineRule="auto"/>
        <w:rPr>
          <w:sz w:val="20"/>
          <w:szCs w:val="20"/>
          <w:color w:val="auto"/>
        </w:rPr>
      </w:pPr>
      <w:r>
        <w:rPr>
          <w:rFonts w:ascii="Courier New" w:cs="Courier New" w:eastAsia="Courier New" w:hAnsi="Courier New"/>
          <w:sz w:val="14"/>
          <w:szCs w:val="14"/>
          <w:color w:val="auto"/>
        </w:rPr>
        <w:t>consolidation balance sheet at the time the determination is being made or, if materially different and the transaction involves (A) an acquisition or disposition, the amount of the consideration involved in such acquisition or disposition or (B) a financing, the value of assets being financed as reflected in the financing transaction.</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purposes of this Section 6(b):</w:t>
      </w:r>
    </w:p>
    <w:p>
      <w:pPr>
        <w:spacing w:after="0" w:line="168" w:lineRule="exact"/>
        <w:rPr>
          <w:sz w:val="20"/>
          <w:szCs w:val="20"/>
          <w:color w:val="auto"/>
        </w:rPr>
      </w:pPr>
    </w:p>
    <w:p>
      <w:pPr>
        <w:ind w:right="3459" w:firstLine="685"/>
        <w:spacing w:after="0" w:line="256" w:lineRule="auto"/>
        <w:tabs>
          <w:tab w:leader="none" w:pos="101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"Change in Control" of the Corporation shall mean any transaction or series of transactions (whether by purchase of existing Common Stock, issuance of Common Stock, merger, consolidation or otherwise) the result of which is that either (i) any Person or Group becomes the Beneficial Owner, directly or indirectly, of 20% or more of the total voting power in the aggregate of all classes of Capital Stock of the Corporation then outstanding normally entitled to vote in the election of Directors of the Corporation (or any surviving entity) or (ii) the Beneficial Owners of the Capital Stock of the Corporation normally entitled to vote in the election of Directors immediately prior to the transaction beneficially own less than 80% of the total voting power in the aggregate of all classes of Capital Stock of the Corporation then outstanding normally entitled to vote in the election of Directors of the Corporation (or any surviving entity) immediately after such transaction.</w:t>
      </w:r>
    </w:p>
    <w:p>
      <w:pPr>
        <w:spacing w:after="0" w:line="83" w:lineRule="exact"/>
        <w:rPr>
          <w:rFonts w:ascii="Courier New" w:cs="Courier New" w:eastAsia="Courier New" w:hAnsi="Courier New"/>
          <w:sz w:val="14"/>
          <w:szCs w:val="14"/>
          <w:color w:val="auto"/>
        </w:rPr>
      </w:pPr>
    </w:p>
    <w:p>
      <w:pPr>
        <w:ind w:right="3359" w:firstLine="685"/>
        <w:spacing w:after="0" w:line="366" w:lineRule="auto"/>
        <w:tabs>
          <w:tab w:leader="none" w:pos="101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"Person" as used herein shall have the same meaning as such term has for purposes of Sections 13(d) and 14(d) of the Exchange Act.</w:t>
      </w:r>
    </w:p>
    <w:p>
      <w:pPr>
        <w:spacing w:after="0" w:line="5" w:lineRule="exact"/>
        <w:rPr>
          <w:rFonts w:ascii="Courier New" w:cs="Courier New" w:eastAsia="Courier New" w:hAnsi="Courier New"/>
          <w:sz w:val="14"/>
          <w:szCs w:val="14"/>
          <w:color w:val="auto"/>
        </w:rPr>
      </w:pPr>
    </w:p>
    <w:p>
      <w:pPr>
        <w:ind w:right="3359" w:firstLine="685"/>
        <w:spacing w:after="0" w:line="366" w:lineRule="auto"/>
        <w:tabs>
          <w:tab w:leader="none" w:pos="101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"Group" has used herein shall have the same meaning as such term has for purposes of Sections 13(d) and 14(d) of the Exchange Act.</w:t>
      </w:r>
    </w:p>
    <w:p>
      <w:pPr>
        <w:spacing w:after="0" w:line="5" w:lineRule="exact"/>
        <w:rPr>
          <w:rFonts w:ascii="Courier New" w:cs="Courier New" w:eastAsia="Courier New" w:hAnsi="Courier New"/>
          <w:sz w:val="14"/>
          <w:szCs w:val="14"/>
          <w:color w:val="auto"/>
        </w:rPr>
      </w:pPr>
    </w:p>
    <w:p>
      <w:pPr>
        <w:ind w:right="3459" w:firstLine="685"/>
        <w:spacing w:after="0" w:line="276" w:lineRule="auto"/>
        <w:tabs>
          <w:tab w:leader="none" w:pos="101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"Beneficial Owner" as used herein shall have the same meaning as such term has for purposes of Rule 13d-3 promulgated under the Exchange Act, except that a Person shall be deemed to have beneficial ownership of all shares of stock that a Person has the right to acquire, whether or not such right is immediately exercisable.</w:t>
      </w:r>
    </w:p>
    <w:p>
      <w:pPr>
        <w:spacing w:after="0" w:line="66" w:lineRule="exact"/>
        <w:rPr>
          <w:rFonts w:ascii="Courier New" w:cs="Courier New" w:eastAsia="Courier New" w:hAnsi="Courier New"/>
          <w:sz w:val="14"/>
          <w:szCs w:val="14"/>
          <w:color w:val="auto"/>
        </w:rPr>
      </w:pPr>
    </w:p>
    <w:p>
      <w:pPr>
        <w:ind w:right="3959" w:firstLine="685"/>
        <w:spacing w:after="0" w:line="366" w:lineRule="auto"/>
        <w:tabs>
          <w:tab w:leader="none" w:pos="101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"Ownership Limit" as used herein shall have the same meaning as such term has in the Charter.</w:t>
      </w:r>
    </w:p>
    <w:p>
      <w:pPr>
        <w:spacing w:after="0" w:line="5" w:lineRule="exact"/>
        <w:rPr>
          <w:rFonts w:ascii="Courier New" w:cs="Courier New" w:eastAsia="Courier New" w:hAnsi="Courier New"/>
          <w:sz w:val="14"/>
          <w:szCs w:val="14"/>
          <w:color w:val="auto"/>
        </w:rPr>
      </w:pPr>
    </w:p>
    <w:p>
      <w:pPr>
        <w:ind w:right="3359" w:firstLine="685"/>
        <w:spacing w:after="0" w:line="266" w:lineRule="auto"/>
        <w:tabs>
          <w:tab w:leader="none" w:pos="101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"Total Market Capitalization" shall mean the sum of (i) the Market Value (as hereinafter defined) of the then outstanding Common Stock and Preferred Stock, and (ii) the total principal amount of indebtedness of the Corporation as reflected in the Corporation's most recent fiscal year-end consolidation balance sheet existing at the time the Board of Directors would be required to approve a transaction set forth in subparagraph (5) of this Section 6(b).</w:t>
      </w:r>
    </w:p>
    <w:p>
      <w:pPr>
        <w:spacing w:after="0" w:line="74" w:lineRule="exact"/>
        <w:rPr>
          <w:rFonts w:ascii="Courier New" w:cs="Courier New" w:eastAsia="Courier New" w:hAnsi="Courier New"/>
          <w:sz w:val="14"/>
          <w:szCs w:val="14"/>
          <w:color w:val="auto"/>
        </w:rPr>
      </w:pPr>
    </w:p>
    <w:p>
      <w:pPr>
        <w:ind w:right="3359" w:firstLine="685"/>
        <w:spacing w:after="0" w:line="276" w:lineRule="auto"/>
        <w:tabs>
          <w:tab w:leader="none" w:pos="101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"Market Value" with respect to Common Stock shall mean the average of the daily market price for the ten (10) consecutive trading days immediately prior to the date beginning fifteen (15) days before the Directors would be required to approve a transaction set forth in subparagraph (5) of this Section 6(b). The market price for each such trading date shall be the last</w:t>
      </w:r>
    </w:p>
    <w:p>
      <w:pPr>
        <w:spacing w:after="0" w:line="39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57"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94"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reported sales price of such stock reported on the New York Stock Exchange on the trading day immediately preceding the relevant date, or if such stock is not then traded on the New York Stock Exchange, the last reported sales price of such stock on the trading day immediately preceding the relevant date as reported on any exchange or quotation system over which such stock may be traded, or if such stock is not then traded over any exchange or quotation system, then the market price of such stock on the relevant date as determined in good faith by the Board of Directors of the Corporation.</w:t>
      </w:r>
    </w:p>
    <w:p>
      <w:pPr>
        <w:spacing w:after="0" w:line="77" w:lineRule="exact"/>
        <w:rPr>
          <w:sz w:val="20"/>
          <w:szCs w:val="20"/>
          <w:color w:val="auto"/>
        </w:rPr>
      </w:pPr>
    </w:p>
    <w:p>
      <w:pPr>
        <w:ind w:right="3359" w:firstLine="509"/>
        <w:spacing w:after="0" w:line="276" w:lineRule="auto"/>
        <w:rPr>
          <w:sz w:val="20"/>
          <w:szCs w:val="20"/>
          <w:color w:val="auto"/>
        </w:rPr>
      </w:pPr>
      <w:r>
        <w:rPr>
          <w:rFonts w:ascii="Courier New" w:cs="Courier New" w:eastAsia="Courier New" w:hAnsi="Courier New"/>
          <w:sz w:val="14"/>
          <w:szCs w:val="14"/>
          <w:color w:val="auto"/>
        </w:rPr>
        <w:t>Section 7. TELEPHONE MEETINGS.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67" w:lineRule="exact"/>
        <w:rPr>
          <w:sz w:val="20"/>
          <w:szCs w:val="20"/>
          <w:color w:val="auto"/>
        </w:rPr>
      </w:pPr>
    </w:p>
    <w:p>
      <w:pPr>
        <w:ind w:right="3459" w:firstLine="509"/>
        <w:spacing w:after="0" w:line="276" w:lineRule="auto"/>
        <w:rPr>
          <w:sz w:val="20"/>
          <w:szCs w:val="20"/>
          <w:color w:val="auto"/>
        </w:rPr>
      </w:pPr>
      <w:r>
        <w:rPr>
          <w:rFonts w:ascii="Courier New" w:cs="Courier New" w:eastAsia="Courier New" w:hAnsi="Courier New"/>
          <w:sz w:val="14"/>
          <w:szCs w:val="14"/>
          <w:color w:val="auto"/>
        </w:rPr>
        <w:t>Section 8. INFORMAL ACTION BY DIRECTORS. Any action required or permitted to be taken at any meeting of the Board of Directors may be taken without a meeting, if a consent in writing to such action is signed by each Director and such written consent is filed with the minutes of proceedings of the Board of Directors.</w:t>
      </w:r>
    </w:p>
    <w:p>
      <w:pPr>
        <w:spacing w:after="0" w:line="67" w:lineRule="exact"/>
        <w:rPr>
          <w:sz w:val="20"/>
          <w:szCs w:val="20"/>
          <w:color w:val="auto"/>
        </w:rPr>
      </w:pPr>
    </w:p>
    <w:p>
      <w:pPr>
        <w:ind w:right="3459" w:firstLine="509"/>
        <w:spacing w:after="0" w:line="260" w:lineRule="auto"/>
        <w:rPr>
          <w:sz w:val="20"/>
          <w:szCs w:val="20"/>
          <w:color w:val="auto"/>
        </w:rPr>
      </w:pPr>
      <w:r>
        <w:rPr>
          <w:rFonts w:ascii="Courier New" w:cs="Courier New" w:eastAsia="Courier New" w:hAnsi="Courier New"/>
          <w:sz w:val="14"/>
          <w:szCs w:val="14"/>
          <w:color w:val="auto"/>
        </w:rPr>
        <w:t>Section 9. VACANCIES. If for any reason any or all of the Directors cease to be Directors, such event shall not terminate the Corporation or affect these Bylaws or the powers of the remaining Directors hereunder (even if fewer than two Directors remain). Any vacancy (including a vacancy created by an increase in the number of Directors) shall be filled, at any regular meeting or at any special meeting called for that purpose, by a majority of the Board of Directors. Any individual so elected as a Director shall hold office until the next annual meeting of stockholders and until his or her successor is elected and qualifies. Notwithstanding the foregoing, the stockholders may elect a successor to fill a vacancy which results from the removal of a Director.</w:t>
      </w:r>
    </w:p>
    <w:p>
      <w:pPr>
        <w:spacing w:after="0" w:line="76" w:lineRule="exact"/>
        <w:rPr>
          <w:sz w:val="20"/>
          <w:szCs w:val="20"/>
          <w:color w:val="auto"/>
        </w:rPr>
      </w:pPr>
    </w:p>
    <w:p>
      <w:pPr>
        <w:ind w:right="3359" w:firstLine="509"/>
        <w:spacing w:after="0" w:line="257" w:lineRule="auto"/>
        <w:rPr>
          <w:sz w:val="20"/>
          <w:szCs w:val="20"/>
          <w:color w:val="auto"/>
        </w:rPr>
      </w:pPr>
      <w:r>
        <w:rPr>
          <w:rFonts w:ascii="Courier New" w:cs="Courier New" w:eastAsia="Courier New" w:hAnsi="Courier New"/>
          <w:sz w:val="14"/>
          <w:szCs w:val="14"/>
          <w:color w:val="auto"/>
        </w:rPr>
        <w:t>Section 10. COMPENSATION. Directors shall not receive any stated salary for their services as Directors but, by resolution of the Board of Directors, may receive cash compensation or a fixed sum of Common Stock of the Corporation for any service or activity they performed or engaged in as Directors. By resolution of the Board of Directors, Directors may receive a fee for and may be reimbursed for expenses in connection with attendance, if any, at each annual, regular or special meeting of the Board of Directors or of any committee thereof; and for their expenses, if any, in connection with each property visit and any other service or activity performed or engaged in as Directors; but nothing herein contained shall be construed to preclude any Directors from serving the Corporation in any other capacity and receiving compensation therefor.</w:t>
      </w:r>
    </w:p>
    <w:p>
      <w:pPr>
        <w:spacing w:after="0" w:line="82" w:lineRule="exact"/>
        <w:rPr>
          <w:sz w:val="20"/>
          <w:szCs w:val="20"/>
          <w:color w:val="auto"/>
        </w:rPr>
      </w:pPr>
    </w:p>
    <w:p>
      <w:pPr>
        <w:ind w:right="3879" w:firstLine="509"/>
        <w:spacing w:after="0" w:line="366" w:lineRule="auto"/>
        <w:rPr>
          <w:sz w:val="20"/>
          <w:szCs w:val="20"/>
          <w:color w:val="auto"/>
        </w:rPr>
      </w:pPr>
      <w:r>
        <w:rPr>
          <w:rFonts w:ascii="Courier New" w:cs="Courier New" w:eastAsia="Courier New" w:hAnsi="Courier New"/>
          <w:sz w:val="14"/>
          <w:szCs w:val="14"/>
          <w:color w:val="auto"/>
        </w:rPr>
        <w:t>Section 11. REMOVAL OF DIRECTORS. The stockholders may, at any time, remove any Director in the manner provided in the Charter.</w:t>
      </w:r>
    </w:p>
    <w:p>
      <w:pPr>
        <w:spacing w:after="0" w:line="6" w:lineRule="exact"/>
        <w:rPr>
          <w:sz w:val="20"/>
          <w:szCs w:val="20"/>
          <w:color w:val="auto"/>
        </w:rPr>
      </w:pPr>
    </w:p>
    <w:p>
      <w:pPr>
        <w:ind w:right="3359" w:firstLine="509"/>
        <w:spacing w:after="0" w:line="286" w:lineRule="auto"/>
        <w:rPr>
          <w:sz w:val="20"/>
          <w:szCs w:val="20"/>
          <w:color w:val="auto"/>
        </w:rPr>
      </w:pPr>
      <w:r>
        <w:rPr>
          <w:rFonts w:ascii="Courier New" w:cs="Courier New" w:eastAsia="Courier New" w:hAnsi="Courier New"/>
          <w:sz w:val="14"/>
          <w:szCs w:val="14"/>
          <w:color w:val="auto"/>
        </w:rPr>
        <w:t>Section 12. LOSS OF DEPOSITS. No Director shall be liable for any loss which may occur by reason of the failure of the bank, trust company, savings and loan association, or other institution with whom moneys or shares of stock have been deposited.</w:t>
      </w:r>
    </w:p>
    <w:p>
      <w:pPr>
        <w:spacing w:after="0" w:line="38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57"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294" w:lineRule="exact"/>
        <w:rPr>
          <w:sz w:val="20"/>
          <w:szCs w:val="20"/>
          <w:color w:val="auto"/>
        </w:rPr>
      </w:pPr>
    </w:p>
    <w:p>
      <w:pPr>
        <w:ind w:right="3619" w:firstLine="509"/>
        <w:spacing w:after="0" w:line="306" w:lineRule="auto"/>
        <w:rPr>
          <w:sz w:val="20"/>
          <w:szCs w:val="20"/>
          <w:color w:val="auto"/>
        </w:rPr>
      </w:pPr>
      <w:r>
        <w:rPr>
          <w:rFonts w:ascii="Courier New" w:cs="Courier New" w:eastAsia="Courier New" w:hAnsi="Courier New"/>
          <w:sz w:val="14"/>
          <w:szCs w:val="14"/>
          <w:color w:val="auto"/>
        </w:rPr>
        <w:t>Section 13 SURETY BONDS. Unless required by law, no Director shall be obligated to give any bond or surety or other security for the performance of any of his duties.</w:t>
      </w:r>
    </w:p>
    <w:p>
      <w:pPr>
        <w:spacing w:after="0" w:line="46" w:lineRule="exact"/>
        <w:rPr>
          <w:sz w:val="20"/>
          <w:szCs w:val="20"/>
          <w:color w:val="auto"/>
        </w:rPr>
      </w:pPr>
    </w:p>
    <w:p>
      <w:pPr>
        <w:jc w:val="both"/>
        <w:ind w:right="3359" w:firstLine="509"/>
        <w:spacing w:after="0" w:line="286" w:lineRule="auto"/>
        <w:rPr>
          <w:sz w:val="20"/>
          <w:szCs w:val="20"/>
          <w:color w:val="auto"/>
        </w:rPr>
      </w:pPr>
      <w:r>
        <w:rPr>
          <w:rFonts w:ascii="Courier New" w:cs="Courier New" w:eastAsia="Courier New" w:hAnsi="Courier New"/>
          <w:sz w:val="14"/>
          <w:szCs w:val="14"/>
          <w:color w:val="auto"/>
        </w:rPr>
        <w:t>Section 14. NUMBER, TENURE AND QUALIFICATIONS. The number of Directors of the Corporation shall not be less than three (3) nor more than sixteen (16), as determined from time to time by resolution adopted by a majority of the Board of Directors. Directors need not be stockholders of the Corporation.</w:t>
      </w:r>
    </w:p>
    <w:p>
      <w:pPr>
        <w:spacing w:after="0" w:line="59" w:lineRule="exact"/>
        <w:rPr>
          <w:sz w:val="20"/>
          <w:szCs w:val="20"/>
          <w:color w:val="auto"/>
        </w:rPr>
      </w:pPr>
    </w:p>
    <w:p>
      <w:pPr>
        <w:ind w:right="3359" w:firstLine="509"/>
        <w:spacing w:after="0" w:line="258" w:lineRule="auto"/>
        <w:rPr>
          <w:sz w:val="20"/>
          <w:szCs w:val="20"/>
          <w:color w:val="auto"/>
        </w:rPr>
      </w:pPr>
      <w:r>
        <w:rPr>
          <w:rFonts w:ascii="Courier New" w:cs="Courier New" w:eastAsia="Courier New" w:hAnsi="Courier New"/>
          <w:sz w:val="14"/>
          <w:szCs w:val="14"/>
          <w:color w:val="auto"/>
        </w:rPr>
        <w:t>Section 15. INTERESTED DIRECTOR TRANSACTIONS. Notwithstanding any other provision of these Bylaws, the following actions of the Board of Directors shall require the approval of the Independent Committee, as defined in Article IV of these Bylaws: (i) the election of operators for the Corporation's properties; and (ii) all transactions between the Corporation and any tenant of the Corporation's properties, Prison Management Services, Inc., a Tennessee corporation, or any predecessor thereto or successor thereof, and Juvenile and Jail Facility Management Services, Inc., a Tennessee corporation, or any predecessor thereto or successor thereof, and each of their affiliates, including, but not limited to, the negotiation, enforcement and renegotiation of the terms of any lease of any of the Corporation's properties.</w:t>
      </w:r>
    </w:p>
    <w:p>
      <w:pPr>
        <w:spacing w:after="0" w:line="8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ARTICLE IV</w:t>
      </w:r>
    </w:p>
    <w:p>
      <w:pPr>
        <w:spacing w:after="0" w:line="168"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COMMITTEES OF BOARD OF DIRECTORS</w:t>
      </w:r>
    </w:p>
    <w:p>
      <w:pPr>
        <w:spacing w:after="0" w:line="168" w:lineRule="exact"/>
        <w:rPr>
          <w:sz w:val="20"/>
          <w:szCs w:val="20"/>
          <w:color w:val="auto"/>
        </w:rPr>
      </w:pPr>
    </w:p>
    <w:p>
      <w:pPr>
        <w:ind w:right="3359" w:firstLine="509"/>
        <w:spacing w:after="0" w:line="252" w:lineRule="auto"/>
        <w:rPr>
          <w:sz w:val="20"/>
          <w:szCs w:val="20"/>
          <w:color w:val="auto"/>
        </w:rPr>
      </w:pPr>
      <w:r>
        <w:rPr>
          <w:rFonts w:ascii="Courier New" w:cs="Courier New" w:eastAsia="Courier New" w:hAnsi="Courier New"/>
          <w:sz w:val="14"/>
          <w:szCs w:val="14"/>
          <w:color w:val="auto"/>
        </w:rPr>
        <w:t>Section 1. GENERAL. The Board of Directors may, by resolution passed by a majority of the whole board, designate one or more committees, each such committee to consist of one or more of the Directors of the Corporation. The Board of Directors may designate one or more Directors as alternate members of any committee,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to authorize dividends on stock; (ii) to authorize the issuance of stock (except that, if the Board of Directors has given general authorization for the issuance of stock providing for or establishing a method or procedure for determining the maximum number of shares to be issued, a committee may, in accordance with the general authorization or any stock option or other plan or program adopted by the Board, authorize or fix the terms of stock subject to classification or reclassification and the terms on which any stock may be issued); (iii) to recommend to the stockholders any action which requires stockholder approval; (iv) to amend the Bylaws; or (v) to approve any merger or share exchange which does not require stockholder approval.</w:t>
      </w:r>
    </w:p>
    <w:p>
      <w:pPr>
        <w:spacing w:after="0" w:line="91" w:lineRule="exact"/>
        <w:rPr>
          <w:sz w:val="20"/>
          <w:szCs w:val="20"/>
          <w:color w:val="auto"/>
        </w:rPr>
      </w:pPr>
    </w:p>
    <w:p>
      <w:pPr>
        <w:jc w:val="both"/>
        <w:ind w:right="3619" w:firstLine="509"/>
        <w:spacing w:after="0" w:line="306" w:lineRule="auto"/>
        <w:rPr>
          <w:sz w:val="20"/>
          <w:szCs w:val="20"/>
          <w:color w:val="auto"/>
        </w:rPr>
      </w:pPr>
      <w:r>
        <w:rPr>
          <w:rFonts w:ascii="Courier New" w:cs="Courier New" w:eastAsia="Courier New" w:hAnsi="Courier New"/>
          <w:sz w:val="14"/>
          <w:szCs w:val="14"/>
          <w:color w:val="auto"/>
        </w:rPr>
        <w:t>Section 2. COMMITTEES. The Board of Directors shall initially have the following committees, the specific authority and members of which shall be as designated herein or by</w:t>
      </w:r>
    </w:p>
    <w:p>
      <w:pPr>
        <w:spacing w:after="0" w:line="37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57"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resolution of the Board of Directors.</w:t>
      </w:r>
    </w:p>
    <w:p>
      <w:pPr>
        <w:spacing w:after="0" w:line="168" w:lineRule="exact"/>
        <w:rPr>
          <w:sz w:val="20"/>
          <w:szCs w:val="20"/>
          <w:color w:val="auto"/>
        </w:rPr>
      </w:pPr>
    </w:p>
    <w:p>
      <w:pPr>
        <w:ind w:right="3459" w:firstLine="1279"/>
        <w:spacing w:after="0" w:line="306" w:lineRule="auto"/>
        <w:tabs>
          <w:tab w:leader="none" w:pos="161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Independent Committee, which shall consist solely of Independent Directors and which shall have the authority to approve the actions of the Board of Directors as specified in Section 15 of Article III.</w:t>
      </w:r>
    </w:p>
    <w:p>
      <w:pPr>
        <w:spacing w:after="0" w:line="45" w:lineRule="exact"/>
        <w:rPr>
          <w:rFonts w:ascii="Courier New" w:cs="Courier New" w:eastAsia="Courier New" w:hAnsi="Courier New"/>
          <w:sz w:val="14"/>
          <w:szCs w:val="14"/>
          <w:color w:val="auto"/>
        </w:rPr>
      </w:pPr>
    </w:p>
    <w:p>
      <w:pPr>
        <w:ind w:right="3459" w:firstLine="1279"/>
        <w:spacing w:after="0" w:line="266" w:lineRule="auto"/>
        <w:tabs>
          <w:tab w:leader="none" w:pos="161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Audit Committee, which will consist solely of Independent Directors and which shall make recommendations concerning the engagement of independent public accounts, review with the independent public accountants the plans and results of the audit engagement, approve professional services provided by the independent public accountants, review the independence of the independent public accountants, consider the range of audit and non-audit fees and review the adequacy of the Corporation's initial accounting controls.</w:t>
      </w:r>
    </w:p>
    <w:p>
      <w:pPr>
        <w:spacing w:after="0" w:line="74" w:lineRule="exact"/>
        <w:rPr>
          <w:rFonts w:ascii="Courier New" w:cs="Courier New" w:eastAsia="Courier New" w:hAnsi="Courier New"/>
          <w:sz w:val="14"/>
          <w:szCs w:val="14"/>
          <w:color w:val="auto"/>
        </w:rPr>
      </w:pPr>
    </w:p>
    <w:p>
      <w:pPr>
        <w:ind w:right="3459" w:firstLine="1279"/>
        <w:spacing w:after="0" w:line="306" w:lineRule="auto"/>
        <w:tabs>
          <w:tab w:leader="none" w:pos="161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Compensation Committee, which shall determine compensation for the Corporation's executive officers and administer any stock incentive plans adopted by the Corporation.</w:t>
      </w:r>
    </w:p>
    <w:p>
      <w:pPr>
        <w:spacing w:after="0" w:line="46" w:lineRule="exact"/>
        <w:rPr>
          <w:sz w:val="20"/>
          <w:szCs w:val="20"/>
          <w:color w:val="auto"/>
        </w:rPr>
      </w:pPr>
    </w:p>
    <w:p>
      <w:pPr>
        <w:ind w:right="3619" w:firstLine="678"/>
        <w:spacing w:after="0" w:line="270" w:lineRule="auto"/>
        <w:rPr>
          <w:sz w:val="20"/>
          <w:szCs w:val="20"/>
          <w:color w:val="auto"/>
        </w:rPr>
      </w:pPr>
      <w:r>
        <w:rPr>
          <w:rFonts w:ascii="Courier New" w:cs="Courier New" w:eastAsia="Courier New" w:hAnsi="Courier New"/>
          <w:sz w:val="14"/>
          <w:szCs w:val="14"/>
          <w:color w:val="auto"/>
        </w:rPr>
        <w:t>Section 3. RECORDS OF COMMITTEE MEETINGS. Each committee shall keep regular minutes of its meetings and report the same to the Board of Directors when required. The presence of a majority of the total membership of any committee shall constitute a quorum for the transaction of business at any meeting of such committee and the act of a majority of those present shall be necessary and sufficient for the taking of any action at such meeting.</w:t>
      </w:r>
    </w:p>
    <w:p>
      <w:pPr>
        <w:spacing w:after="0" w:line="7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ARTICLE V</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OFFICERS</w:t>
      </w:r>
    </w:p>
    <w:p>
      <w:pPr>
        <w:spacing w:after="0" w:line="168" w:lineRule="exact"/>
        <w:rPr>
          <w:sz w:val="20"/>
          <w:szCs w:val="20"/>
          <w:color w:val="auto"/>
        </w:rPr>
      </w:pPr>
    </w:p>
    <w:p>
      <w:pPr>
        <w:ind w:right="3359" w:firstLine="678"/>
        <w:spacing w:after="0" w:line="254" w:lineRule="auto"/>
        <w:rPr>
          <w:sz w:val="20"/>
          <w:szCs w:val="20"/>
          <w:color w:val="auto"/>
        </w:rPr>
      </w:pPr>
      <w:r>
        <w:rPr>
          <w:rFonts w:ascii="Courier New" w:cs="Courier New" w:eastAsia="Courier New" w:hAnsi="Courier New"/>
          <w:sz w:val="14"/>
          <w:szCs w:val="14"/>
          <w:color w:val="auto"/>
        </w:rPr>
        <w:t>Section 1. GENERAL PROVISIONS. The officers of the Corporation may consist of a Chairman of the Board, a Vice Chairman of the Board, a Chief Executive Officer, a President, one or more Vice Presidents, a Treasurer, one or more assistant treasurers, a Secretary, and one or more assistant secretaries. In addition, the Board of Directors may from time to time appoint such other officers with such powers and duties as they shall deem necessary or desirable. The officers of the Corporation shall be elected annually by the Board of Directors at the first meeting of the Board of Directors held after each annual meeting of stockholders. If the election of officers shall not be held at such meeting, such election shall be held as soon thereafter as may be convenient. Each officer shall hold office until his successor is elected and qualifies or until his death, resignation or removal in the manner hereinafter provided. Any two or more offices except President and Vice President may be held by the same person. In their discretion, the Board of Directors may leave unfilled any office except that of President, Secretary and Treasurer. Election of an officer or agent shall not of itself create contract rights between the Corporation and such officer or agent.</w:t>
      </w:r>
    </w:p>
    <w:p>
      <w:pPr>
        <w:spacing w:after="0" w:line="200" w:lineRule="exact"/>
        <w:rPr>
          <w:sz w:val="20"/>
          <w:szCs w:val="20"/>
          <w:color w:val="auto"/>
        </w:rPr>
      </w:pPr>
    </w:p>
    <w:p>
      <w:pPr>
        <w:spacing w:after="0" w:line="20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57"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94" w:lineRule="exact"/>
        <w:rPr>
          <w:sz w:val="20"/>
          <w:szCs w:val="20"/>
          <w:color w:val="auto"/>
        </w:rPr>
      </w:pPr>
    </w:p>
    <w:p>
      <w:pPr>
        <w:ind w:right="3359" w:firstLine="509"/>
        <w:spacing w:after="0" w:line="257" w:lineRule="auto"/>
        <w:rPr>
          <w:sz w:val="20"/>
          <w:szCs w:val="20"/>
          <w:color w:val="auto"/>
        </w:rPr>
      </w:pPr>
      <w:r>
        <w:rPr>
          <w:rFonts w:ascii="Courier New" w:cs="Courier New" w:eastAsia="Courier New" w:hAnsi="Courier New"/>
          <w:sz w:val="14"/>
          <w:szCs w:val="14"/>
          <w:color w:val="auto"/>
        </w:rPr>
        <w:t>Section 2. REMOVAL AND RESIGNATION. Any officer or agent of the Corporation may be removed by the Board of Directors if in their judgment the best interests of the Corporation would be served thereby, but such removal shall be without prejudice to the contract rights, if any, of the person so removed. Any officer of the Corporation may resign at any time by giving written notice of his resignation to the Board of Directors, the Chairman of the Board,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Corporation.</w:t>
      </w:r>
    </w:p>
    <w:p>
      <w:pPr>
        <w:spacing w:after="0" w:line="82" w:lineRule="exact"/>
        <w:rPr>
          <w:sz w:val="20"/>
          <w:szCs w:val="20"/>
          <w:color w:val="auto"/>
        </w:rPr>
      </w:pPr>
    </w:p>
    <w:p>
      <w:pPr>
        <w:ind w:right="3539" w:firstLine="509"/>
        <w:spacing w:after="0" w:line="366" w:lineRule="auto"/>
        <w:rPr>
          <w:sz w:val="20"/>
          <w:szCs w:val="20"/>
          <w:color w:val="auto"/>
        </w:rPr>
      </w:pPr>
      <w:r>
        <w:rPr>
          <w:rFonts w:ascii="Courier New" w:cs="Courier New" w:eastAsia="Courier New" w:hAnsi="Courier New"/>
          <w:sz w:val="14"/>
          <w:szCs w:val="14"/>
          <w:color w:val="auto"/>
        </w:rPr>
        <w:t>Section 3. VACANCIES. A vacancy in any office may be filled by the Board of Directors for the balance of the term.</w:t>
      </w:r>
    </w:p>
    <w:p>
      <w:pPr>
        <w:spacing w:after="0" w:line="6" w:lineRule="exact"/>
        <w:rPr>
          <w:sz w:val="20"/>
          <w:szCs w:val="20"/>
          <w:color w:val="auto"/>
        </w:rPr>
      </w:pPr>
    </w:p>
    <w:p>
      <w:pPr>
        <w:ind w:right="3459" w:firstLine="509"/>
        <w:spacing w:after="0" w:line="257" w:lineRule="auto"/>
        <w:rPr>
          <w:sz w:val="20"/>
          <w:szCs w:val="20"/>
          <w:color w:val="auto"/>
        </w:rPr>
      </w:pPr>
      <w:r>
        <w:rPr>
          <w:rFonts w:ascii="Courier New" w:cs="Courier New" w:eastAsia="Courier New" w:hAnsi="Courier New"/>
          <w:sz w:val="14"/>
          <w:szCs w:val="14"/>
          <w:color w:val="auto"/>
        </w:rPr>
        <w:t>Section 4. CHAIRMAN AND VICE-CHAIRMAN OF THE BOARD. The Chairman of the Board shall preside over the meetings of the Board of Directors and of the stockholders at which he shall be present and shall in general oversee all of the business and affairs of the Corporation. In the absence of the Chairman of the Board, the Vice Chairman of the Board shall preside at such meetings at which he shall be present. The Chairman and the Vice Chairman of the Board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The Chairman of the Board and the Vice Chairman of the Board shall perform such other duties as may be assigned to him or them by the Board of Directors.</w:t>
      </w:r>
    </w:p>
    <w:p>
      <w:pPr>
        <w:spacing w:after="0" w:line="82" w:lineRule="exact"/>
        <w:rPr>
          <w:sz w:val="20"/>
          <w:szCs w:val="20"/>
          <w:color w:val="auto"/>
        </w:rPr>
      </w:pPr>
    </w:p>
    <w:p>
      <w:pPr>
        <w:ind w:right="3359" w:firstLine="509"/>
        <w:spacing w:after="0" w:line="263" w:lineRule="auto"/>
        <w:rPr>
          <w:sz w:val="20"/>
          <w:szCs w:val="20"/>
          <w:color w:val="auto"/>
        </w:rPr>
      </w:pPr>
      <w:r>
        <w:rPr>
          <w:rFonts w:ascii="Courier New" w:cs="Courier New" w:eastAsia="Courier New" w:hAnsi="Courier New"/>
          <w:sz w:val="14"/>
          <w:szCs w:val="14"/>
          <w:color w:val="auto"/>
        </w:rPr>
        <w:t>Section 5. CHIEF EXECUTIVE OFFICER. The Board of Directors may designate a Chief Executive Officer from among the elected officers. The Chief Executive Officer shall have responsibility for implementation of the policies of the Corporation, as determined by the Board of Directors, and for the administration of the business affairs of the Corporation. In the absence of both the Chairman and Vice Chairman of the Board, the Chief Executive Officer shall preside over the meetings of the Board of Directors and of the stockholders at which he shall be present.</w:t>
      </w:r>
    </w:p>
    <w:p>
      <w:pPr>
        <w:spacing w:after="0" w:line="77" w:lineRule="exact"/>
        <w:rPr>
          <w:sz w:val="20"/>
          <w:szCs w:val="20"/>
          <w:color w:val="auto"/>
        </w:rPr>
      </w:pPr>
    </w:p>
    <w:p>
      <w:pPr>
        <w:ind w:right="3359" w:firstLine="509"/>
        <w:spacing w:after="0" w:line="286" w:lineRule="auto"/>
        <w:rPr>
          <w:sz w:val="20"/>
          <w:szCs w:val="20"/>
          <w:color w:val="auto"/>
        </w:rPr>
      </w:pPr>
      <w:r>
        <w:rPr>
          <w:rFonts w:ascii="Courier New" w:cs="Courier New" w:eastAsia="Courier New" w:hAnsi="Courier New"/>
          <w:sz w:val="14"/>
          <w:szCs w:val="14"/>
          <w:color w:val="auto"/>
        </w:rPr>
        <w:t>Section 6. CHIEF OPERATING OFFICER. The Board of Directors may designate a Chief Operating Officer from among the elected officers. Said officer will have the responsibilities and duties as set forth by the Board of Directors or the Chief Executive Officer.</w:t>
      </w:r>
    </w:p>
    <w:p>
      <w:pPr>
        <w:spacing w:after="0" w:line="59" w:lineRule="exact"/>
        <w:rPr>
          <w:sz w:val="20"/>
          <w:szCs w:val="20"/>
          <w:color w:val="auto"/>
        </w:rPr>
      </w:pPr>
    </w:p>
    <w:p>
      <w:pPr>
        <w:ind w:right="3359" w:firstLine="509"/>
        <w:spacing w:after="0" w:line="286" w:lineRule="auto"/>
        <w:rPr>
          <w:sz w:val="20"/>
          <w:szCs w:val="20"/>
          <w:color w:val="auto"/>
        </w:rPr>
      </w:pPr>
      <w:r>
        <w:rPr>
          <w:rFonts w:ascii="Courier New" w:cs="Courier New" w:eastAsia="Courier New" w:hAnsi="Courier New"/>
          <w:sz w:val="14"/>
          <w:szCs w:val="14"/>
          <w:color w:val="auto"/>
        </w:rPr>
        <w:t>Section 7. CHIEF DEVELOPMENT OFFICER. The Board of Directors may designate a Chief Development Officer from among the elected officers. Said officer will have the responsibilities and duties as set forth by the Board of Directors or the Chief Executive Officer.</w:t>
      </w:r>
    </w:p>
    <w:p>
      <w:pPr>
        <w:spacing w:after="0" w:line="59" w:lineRule="exact"/>
        <w:rPr>
          <w:sz w:val="20"/>
          <w:szCs w:val="20"/>
          <w:color w:val="auto"/>
        </w:rPr>
      </w:pPr>
    </w:p>
    <w:p>
      <w:pPr>
        <w:ind w:right="3359" w:firstLine="509"/>
        <w:spacing w:after="0" w:line="286" w:lineRule="auto"/>
        <w:rPr>
          <w:sz w:val="20"/>
          <w:szCs w:val="20"/>
          <w:color w:val="auto"/>
        </w:rPr>
      </w:pPr>
      <w:r>
        <w:rPr>
          <w:rFonts w:ascii="Courier New" w:cs="Courier New" w:eastAsia="Courier New" w:hAnsi="Courier New"/>
          <w:sz w:val="14"/>
          <w:szCs w:val="14"/>
          <w:color w:val="auto"/>
        </w:rPr>
        <w:t>Section 8. CHIEF FINANCIAL OFFICER. The Board of Directors may designate a Chief Financial Officer from among the elected officers. Said officer will have the responsibilities and duties as set forth by the Board of Directors or the Chief Executive Officer.</w:t>
      </w:r>
    </w:p>
    <w:p>
      <w:pPr>
        <w:spacing w:after="0" w:line="38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57"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294" w:lineRule="exact"/>
        <w:rPr>
          <w:sz w:val="20"/>
          <w:szCs w:val="20"/>
          <w:color w:val="auto"/>
        </w:rPr>
      </w:pPr>
    </w:p>
    <w:p>
      <w:pPr>
        <w:ind w:right="3359" w:firstLine="509"/>
        <w:spacing w:after="0" w:line="256" w:lineRule="auto"/>
        <w:rPr>
          <w:sz w:val="20"/>
          <w:szCs w:val="20"/>
          <w:color w:val="auto"/>
        </w:rPr>
      </w:pPr>
      <w:r>
        <w:rPr>
          <w:rFonts w:ascii="Courier New" w:cs="Courier New" w:eastAsia="Courier New" w:hAnsi="Courier New"/>
          <w:sz w:val="14"/>
          <w:szCs w:val="14"/>
          <w:color w:val="auto"/>
        </w:rPr>
        <w:t>Section 9. PRESIDENT. In the absence of the Chairman, the Vice Chairman of the Board and the Chief Executive Officer, the President shall preside over the meetings of the Board of Directors and of the stockholders at which he shall be present. In the absence of a designation of a Chief Executive Officer by the Board of Directors, the President shall be the Chief Executive Officer and shall be ex officio a member of all committees that may, from time to time, be constituted by the Board of Directors. The President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84" w:lineRule="exact"/>
        <w:rPr>
          <w:sz w:val="20"/>
          <w:szCs w:val="20"/>
          <w:color w:val="auto"/>
        </w:rPr>
      </w:pPr>
    </w:p>
    <w:p>
      <w:pPr>
        <w:ind w:right="3359" w:firstLine="509"/>
        <w:spacing w:after="0" w:line="260" w:lineRule="auto"/>
        <w:rPr>
          <w:sz w:val="20"/>
          <w:szCs w:val="20"/>
          <w:color w:val="auto"/>
        </w:rPr>
      </w:pPr>
      <w:r>
        <w:rPr>
          <w:rFonts w:ascii="Courier New" w:cs="Courier New" w:eastAsia="Courier New" w:hAnsi="Courier New"/>
          <w:sz w:val="14"/>
          <w:szCs w:val="14"/>
          <w:color w:val="auto"/>
        </w:rPr>
        <w:t>Section 10.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Board of Directors. The Board of Directors may designate one or more Vice Presidents as Executive Vice President or as Vice President for particular areas of responsibility.</w:t>
      </w:r>
    </w:p>
    <w:p>
      <w:pPr>
        <w:spacing w:after="0" w:line="76" w:lineRule="exact"/>
        <w:rPr>
          <w:sz w:val="20"/>
          <w:szCs w:val="20"/>
          <w:color w:val="auto"/>
        </w:rPr>
      </w:pPr>
    </w:p>
    <w:p>
      <w:pPr>
        <w:ind w:right="3359" w:firstLine="509"/>
        <w:spacing w:after="0" w:line="260" w:lineRule="auto"/>
        <w:rPr>
          <w:sz w:val="20"/>
          <w:szCs w:val="20"/>
          <w:color w:val="auto"/>
        </w:rPr>
      </w:pPr>
      <w:r>
        <w:rPr>
          <w:rFonts w:ascii="Courier New" w:cs="Courier New" w:eastAsia="Courier New" w:hAnsi="Courier New"/>
          <w:sz w:val="14"/>
          <w:szCs w:val="14"/>
          <w:color w:val="auto"/>
        </w:rPr>
        <w:t>Section 11. SECRETARY.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76" w:lineRule="exact"/>
        <w:rPr>
          <w:sz w:val="20"/>
          <w:szCs w:val="20"/>
          <w:color w:val="auto"/>
        </w:rPr>
      </w:pPr>
    </w:p>
    <w:p>
      <w:pPr>
        <w:ind w:right="3539" w:firstLine="509"/>
        <w:spacing w:after="0" w:line="270" w:lineRule="auto"/>
        <w:rPr>
          <w:sz w:val="20"/>
          <w:szCs w:val="20"/>
          <w:color w:val="auto"/>
        </w:rPr>
      </w:pPr>
      <w:r>
        <w:rPr>
          <w:rFonts w:ascii="Courier New" w:cs="Courier New" w:eastAsia="Courier New" w:hAnsi="Courier New"/>
          <w:sz w:val="14"/>
          <w:szCs w:val="14"/>
          <w:color w:val="auto"/>
        </w:rPr>
        <w:t>Section 12. TREASURER. The Treasurer shall have the custody of the funds and securities of the Corporation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71" w:lineRule="exact"/>
        <w:rPr>
          <w:sz w:val="20"/>
          <w:szCs w:val="20"/>
          <w:color w:val="auto"/>
        </w:rPr>
      </w:pPr>
    </w:p>
    <w:p>
      <w:pPr>
        <w:ind w:right="3539" w:firstLine="509"/>
        <w:spacing w:after="0" w:line="270" w:lineRule="auto"/>
        <w:rPr>
          <w:sz w:val="20"/>
          <w:szCs w:val="20"/>
          <w:color w:val="auto"/>
        </w:rPr>
      </w:pPr>
      <w:r>
        <w:rPr>
          <w:rFonts w:ascii="Courier New" w:cs="Courier New" w:eastAsia="Courier New" w:hAnsi="Courier New"/>
          <w:sz w:val="14"/>
          <w:szCs w:val="14"/>
          <w:color w:val="auto"/>
        </w:rPr>
        <w:t>The Treasurer shall disburse the funds of the Corporation as may be ordered by the Board of Directors, taking proper vouchers for such disbursements, and shall render to the President and Directors, at the regular meetings of the Board of Directors or whenever they may require it, an account of all his transactions as Treasurer and of the financial condition of the Corporation.</w:t>
      </w:r>
    </w:p>
    <w:p>
      <w:pPr>
        <w:spacing w:after="0" w:line="71" w:lineRule="exact"/>
        <w:rPr>
          <w:sz w:val="20"/>
          <w:szCs w:val="20"/>
          <w:color w:val="auto"/>
        </w:rPr>
      </w:pPr>
    </w:p>
    <w:p>
      <w:pPr>
        <w:ind w:right="3799" w:firstLine="509"/>
        <w:spacing w:after="0" w:line="306" w:lineRule="auto"/>
        <w:rPr>
          <w:sz w:val="20"/>
          <w:szCs w:val="20"/>
          <w:color w:val="auto"/>
        </w:rPr>
      </w:pPr>
      <w:r>
        <w:rPr>
          <w:rFonts w:ascii="Courier New" w:cs="Courier New" w:eastAsia="Courier New" w:hAnsi="Courier New"/>
          <w:sz w:val="14"/>
          <w:szCs w:val="14"/>
          <w:color w:val="auto"/>
        </w:rPr>
        <w:t>If required by the Board of Directors, the Treasurer shall give the Corporation a bond in such sum and with such surety or sureties as shall be satisfactory to the Board of Directors for the faithful</w:t>
      </w:r>
    </w:p>
    <w:p>
      <w:pPr>
        <w:spacing w:after="0" w:line="200" w:lineRule="exact"/>
        <w:rPr>
          <w:sz w:val="20"/>
          <w:szCs w:val="20"/>
          <w:color w:val="auto"/>
        </w:rPr>
      </w:pP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56"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294" w:lineRule="exact"/>
        <w:rPr>
          <w:sz w:val="20"/>
          <w:szCs w:val="20"/>
          <w:color w:val="auto"/>
        </w:rPr>
      </w:pPr>
    </w:p>
    <w:p>
      <w:pPr>
        <w:ind w:right="3619"/>
        <w:spacing w:after="0" w:line="286" w:lineRule="auto"/>
        <w:rPr>
          <w:sz w:val="20"/>
          <w:szCs w:val="20"/>
          <w:color w:val="auto"/>
        </w:rPr>
      </w:pPr>
      <w:r>
        <w:rPr>
          <w:rFonts w:ascii="Courier New" w:cs="Courier New" w:eastAsia="Courier New" w:hAnsi="Courier New"/>
          <w:sz w:val="14"/>
          <w:szCs w:val="14"/>
          <w:color w:val="auto"/>
        </w:rPr>
        <w:t>performance of the duties of his office and for the restoration to the Corporation, in case of his death, resignation, retirement or removal from office, of all books, papers, vouchers, moneys and other property of whatever kind in his possession or under his control belonging to the Corporation.</w:t>
      </w:r>
    </w:p>
    <w:p>
      <w:pPr>
        <w:spacing w:after="0" w:line="59" w:lineRule="exact"/>
        <w:rPr>
          <w:sz w:val="20"/>
          <w:szCs w:val="20"/>
          <w:color w:val="auto"/>
        </w:rPr>
      </w:pPr>
    </w:p>
    <w:p>
      <w:pPr>
        <w:ind w:right="3359" w:firstLine="509"/>
        <w:spacing w:after="0" w:line="266" w:lineRule="auto"/>
        <w:rPr>
          <w:sz w:val="20"/>
          <w:szCs w:val="20"/>
          <w:color w:val="auto"/>
        </w:rPr>
      </w:pPr>
      <w:r>
        <w:rPr>
          <w:rFonts w:ascii="Courier New" w:cs="Courier New" w:eastAsia="Courier New" w:hAnsi="Courier New"/>
          <w:sz w:val="14"/>
          <w:szCs w:val="14"/>
          <w:color w:val="auto"/>
        </w:rPr>
        <w:t>Section 13. ASSISTANT SECRETARIES AND ASSISTANT TREASURERS.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74" w:lineRule="exact"/>
        <w:rPr>
          <w:sz w:val="20"/>
          <w:szCs w:val="20"/>
          <w:color w:val="auto"/>
        </w:rPr>
      </w:pPr>
    </w:p>
    <w:p>
      <w:pPr>
        <w:ind w:right="3539" w:firstLine="509"/>
        <w:spacing w:after="0" w:line="306" w:lineRule="auto"/>
        <w:rPr>
          <w:sz w:val="20"/>
          <w:szCs w:val="20"/>
          <w:color w:val="auto"/>
        </w:rPr>
      </w:pPr>
      <w:r>
        <w:rPr>
          <w:rFonts w:ascii="Courier New" w:cs="Courier New" w:eastAsia="Courier New" w:hAnsi="Courier New"/>
          <w:sz w:val="14"/>
          <w:szCs w:val="14"/>
          <w:color w:val="auto"/>
        </w:rPr>
        <w:t>Section 14. SALARIES. The salaries of the officers shall be fixed from time to time by the Board of Directors, and no officer shall be prevented from receiving such salary by reason of the fact that he is also a Director.</w:t>
      </w:r>
    </w:p>
    <w:p>
      <w:pPr>
        <w:spacing w:after="0" w:line="4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ARTICLE VI</w:t>
      </w:r>
    </w:p>
    <w:p>
      <w:pPr>
        <w:spacing w:after="0" w:line="168"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CONTRACTS, LOANS, CHECKS AND DEPOSITS</w:t>
      </w:r>
    </w:p>
    <w:p>
      <w:pPr>
        <w:spacing w:after="0" w:line="168" w:lineRule="exact"/>
        <w:rPr>
          <w:sz w:val="20"/>
          <w:szCs w:val="20"/>
          <w:color w:val="auto"/>
        </w:rPr>
      </w:pPr>
    </w:p>
    <w:p>
      <w:pPr>
        <w:ind w:right="3359" w:firstLine="509"/>
        <w:spacing w:after="0" w:line="266" w:lineRule="auto"/>
        <w:rPr>
          <w:sz w:val="20"/>
          <w:szCs w:val="20"/>
          <w:color w:val="auto"/>
        </w:rPr>
      </w:pPr>
      <w:r>
        <w:rPr>
          <w:rFonts w:ascii="Courier New" w:cs="Courier New" w:eastAsia="Courier New" w:hAnsi="Courier New"/>
          <w:sz w:val="14"/>
          <w:szCs w:val="14"/>
          <w:color w:val="auto"/>
        </w:rPr>
        <w:t>Section 1. CONTRACTS.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executed by one or more of the Board of Directors or by an authorized person shall be valid and binding upon the Board of Directors and upon the Corporation when authorized or ratified by action of the Directors.</w:t>
      </w:r>
    </w:p>
    <w:p>
      <w:pPr>
        <w:spacing w:after="0" w:line="74" w:lineRule="exact"/>
        <w:rPr>
          <w:sz w:val="20"/>
          <w:szCs w:val="20"/>
          <w:color w:val="auto"/>
        </w:rPr>
      </w:pPr>
    </w:p>
    <w:p>
      <w:pPr>
        <w:ind w:right="3359" w:firstLine="509"/>
        <w:spacing w:after="0" w:line="276" w:lineRule="auto"/>
        <w:rPr>
          <w:sz w:val="20"/>
          <w:szCs w:val="20"/>
          <w:color w:val="auto"/>
        </w:rPr>
      </w:pPr>
      <w:r>
        <w:rPr>
          <w:rFonts w:ascii="Courier New" w:cs="Courier New" w:eastAsia="Courier New" w:hAnsi="Courier New"/>
          <w:sz w:val="14"/>
          <w:szCs w:val="14"/>
          <w:color w:val="auto"/>
        </w:rPr>
        <w:t>Section 2. CHECKS AND DRAFTS. All checks, drafts or other orders for the payment of money, notes or other evidences of indebtedness issued in the name of the Corporation shall be signed by such officer or officers, agent or agents of the Corporation in such manner as shall from time to time be determined by the Board of Directors.</w:t>
      </w:r>
    </w:p>
    <w:p>
      <w:pPr>
        <w:spacing w:after="0" w:line="67" w:lineRule="exact"/>
        <w:rPr>
          <w:sz w:val="20"/>
          <w:szCs w:val="20"/>
          <w:color w:val="auto"/>
        </w:rPr>
      </w:pPr>
    </w:p>
    <w:p>
      <w:pPr>
        <w:ind w:right="3539" w:firstLine="509"/>
        <w:spacing w:after="0" w:line="286" w:lineRule="auto"/>
        <w:rPr>
          <w:sz w:val="20"/>
          <w:szCs w:val="20"/>
          <w:color w:val="auto"/>
        </w:rPr>
      </w:pPr>
      <w:r>
        <w:rPr>
          <w:rFonts w:ascii="Courier New" w:cs="Courier New" w:eastAsia="Courier New" w:hAnsi="Courier New"/>
          <w:sz w:val="14"/>
          <w:szCs w:val="14"/>
          <w:color w:val="auto"/>
        </w:rPr>
        <w:t>Section 3. DEPOSITS. All funds of the Corporation not otherwise employed shall be deposited from time to time to the credit of the Corporation in such banks, trust companies or other depositories as the Board of Directors may designate.</w:t>
      </w:r>
    </w:p>
    <w:p>
      <w:pPr>
        <w:spacing w:after="0" w:line="5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ARTICLE VII</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STOCK</w:t>
      </w:r>
    </w:p>
    <w:p>
      <w:pPr>
        <w:spacing w:after="0" w:line="168" w:lineRule="exact"/>
        <w:rPr>
          <w:sz w:val="20"/>
          <w:szCs w:val="20"/>
          <w:color w:val="auto"/>
        </w:rPr>
      </w:pPr>
    </w:p>
    <w:p>
      <w:pPr>
        <w:ind w:right="3539" w:firstLine="509"/>
        <w:spacing w:after="0" w:line="286" w:lineRule="auto"/>
        <w:rPr>
          <w:sz w:val="20"/>
          <w:szCs w:val="20"/>
          <w:color w:val="auto"/>
        </w:rPr>
      </w:pPr>
      <w:r>
        <w:rPr>
          <w:rFonts w:ascii="Courier New" w:cs="Courier New" w:eastAsia="Courier New" w:hAnsi="Courier New"/>
          <w:sz w:val="14"/>
          <w:szCs w:val="14"/>
          <w:color w:val="auto"/>
        </w:rPr>
        <w:t>Section 1. CERTIFICATES. Each stockholder shall be entitled to a certificate or certificates which shall represent and certify the number of shares of each class of stock held by him in the Corporation. Each certificate shall be signed by the President, a Vice President or the</w:t>
      </w:r>
    </w:p>
    <w:p>
      <w:pPr>
        <w:spacing w:after="0" w:line="38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57"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294"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Chairman of the Board and countersigned by the Secretary or an assistant secretary or the Treasurer or an assistant treasurer and may be sealed with the seal, if any, of the Corporation. The signatures may be either manual or facsimile. Certificates shall be consecutively numbered; and if the Corporation shall, from time to time, issue several classes of shares of stock, each class may have its own number series. A certificate is valid and may be issued whether or not an officer who signed it is still an officer when it is issued. Each certificate shall contain on its face or back a full statement or summary of such information with respect to the stock of the Corporation as is required by the MGCL. In lieu of such statement or summary, the Corporation may set forth upon the face or back of the certificate a statement that the Corporation will furnish to any stockholder, upon request and without charge, a full statement of such information.</w:t>
      </w:r>
    </w:p>
    <w:p>
      <w:pPr>
        <w:spacing w:after="0" w:line="84" w:lineRule="exact"/>
        <w:rPr>
          <w:sz w:val="20"/>
          <w:szCs w:val="20"/>
          <w:color w:val="auto"/>
        </w:rPr>
      </w:pPr>
    </w:p>
    <w:p>
      <w:pPr>
        <w:ind w:right="3359" w:firstLine="678"/>
        <w:spacing w:after="0" w:line="253" w:lineRule="auto"/>
        <w:rPr>
          <w:sz w:val="20"/>
          <w:szCs w:val="20"/>
          <w:color w:val="auto"/>
        </w:rPr>
      </w:pPr>
      <w:r>
        <w:rPr>
          <w:rFonts w:ascii="Courier New" w:cs="Courier New" w:eastAsia="Courier New" w:hAnsi="Courier New"/>
          <w:sz w:val="14"/>
          <w:szCs w:val="14"/>
          <w:color w:val="auto"/>
        </w:rPr>
        <w:t>Section 2. TRANSFERS. Certificates shall be treated as negotiable, and title thereto and to the shares of stock they represent shall be transferred by delivery thereof. No transfers of shares of stock of the Corporation shall be made if (i) void ab initio pursuant to any provision of the Charter or (ii) the Board of Directors, pursuant to any provision of the Charter, shall have refused to permit the transfer of such shares of stock. Permitted transfers of shares of stock of the Corporation shall be made on the stock records of the Corporation only upon the instruction of the registered holder thereof, or by his attorney thereunto authorized by power of attorney duly executed and filed with the Secretary or with a transfer agent or transfer clerk, and upon surrender of the certificate or certificates, if issued, for such shares of stock properly endorsed or accompanied by a duly executed stock transfer power and the payment of all taxes thereon. Upon surrender to the Corporation or the transfer agent of the Corporation of a certificate for shares of stock duly endorsed or accompanied by proper evidence of succession, assignment or authority to transfer, as to any transfers not prohibited by any provision of the Charter or by action of the Board of Directors thereunder, it shall be the duty of the Corporation to issue a new certificate to the person entitled thereto, cancel the old certificate and record the transaction upon its books.</w:t>
      </w:r>
    </w:p>
    <w:p>
      <w:pPr>
        <w:spacing w:after="0" w:line="85" w:lineRule="exact"/>
        <w:rPr>
          <w:sz w:val="20"/>
          <w:szCs w:val="20"/>
          <w:color w:val="auto"/>
        </w:rPr>
      </w:pPr>
    </w:p>
    <w:p>
      <w:pPr>
        <w:ind w:right="3459" w:firstLine="678"/>
        <w:spacing w:after="0" w:line="257" w:lineRule="auto"/>
        <w:rPr>
          <w:sz w:val="20"/>
          <w:szCs w:val="20"/>
          <w:color w:val="auto"/>
        </w:rPr>
      </w:pPr>
      <w:r>
        <w:rPr>
          <w:rFonts w:ascii="Courier New" w:cs="Courier New" w:eastAsia="Courier New" w:hAnsi="Courier New"/>
          <w:sz w:val="14"/>
          <w:szCs w:val="14"/>
          <w:color w:val="auto"/>
        </w:rPr>
        <w:t>Section 3. REPLACEMENT CERTIFICATE.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When authorizing the issuance of a new certificate, the officer designated by the Board of Directors may, in his discretion and as a condition precedent to the issuance thereof, require the owner of such lost, stolen or destroyed certificate or the owner's legal representative to advertise the same in such manner as he shall require and/or to give bond, with sufficient surety, to the Corporation to indemnify it against any loss or claim which may arise as a result of the issuance of a new certificate.</w:t>
      </w:r>
    </w:p>
    <w:p>
      <w:pPr>
        <w:spacing w:after="0" w:line="82" w:lineRule="exact"/>
        <w:rPr>
          <w:sz w:val="20"/>
          <w:szCs w:val="20"/>
          <w:color w:val="auto"/>
        </w:rPr>
      </w:pPr>
    </w:p>
    <w:p>
      <w:pPr>
        <w:ind w:right="3359" w:firstLine="678"/>
        <w:spacing w:after="0" w:line="263" w:lineRule="auto"/>
        <w:rPr>
          <w:sz w:val="20"/>
          <w:szCs w:val="20"/>
          <w:color w:val="auto"/>
        </w:rPr>
      </w:pPr>
      <w:r>
        <w:rPr>
          <w:rFonts w:ascii="Courier New" w:cs="Courier New" w:eastAsia="Courier New" w:hAnsi="Courier New"/>
          <w:sz w:val="14"/>
          <w:szCs w:val="14"/>
          <w:color w:val="auto"/>
        </w:rPr>
        <w:t>Section 4. CLOSING OF TRANSFER BOOKS OR FIXING OF RECORD DATE.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purpose. Such date, in any case, shall not be prior to the close of business on the day the record date is fixed and shall be not more than 90 days, and in the</w:t>
      </w:r>
    </w:p>
    <w:p>
      <w:pPr>
        <w:spacing w:after="0" w:line="200" w:lineRule="exact"/>
        <w:rPr>
          <w:sz w:val="20"/>
          <w:szCs w:val="20"/>
          <w:color w:val="auto"/>
        </w:rPr>
      </w:pPr>
    </w:p>
    <w:p>
      <w:pPr>
        <w:spacing w:after="0" w:line="20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57"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294" w:lineRule="exact"/>
        <w:rPr>
          <w:sz w:val="20"/>
          <w:szCs w:val="20"/>
          <w:color w:val="auto"/>
        </w:rPr>
      </w:pPr>
    </w:p>
    <w:p>
      <w:pPr>
        <w:ind w:right="3699"/>
        <w:spacing w:after="0" w:line="306" w:lineRule="auto"/>
        <w:rPr>
          <w:sz w:val="20"/>
          <w:szCs w:val="20"/>
          <w:color w:val="auto"/>
        </w:rPr>
      </w:pPr>
      <w:r>
        <w:rPr>
          <w:rFonts w:ascii="Courier New" w:cs="Courier New" w:eastAsia="Courier New" w:hAnsi="Courier New"/>
          <w:sz w:val="14"/>
          <w:szCs w:val="14"/>
          <w:color w:val="auto"/>
        </w:rPr>
        <w:t>case of a meeting of stockholders not less than ten days, before the date on which the meeting or particular action requiring such determination of stockholders of record is to be held or taken.</w:t>
      </w:r>
    </w:p>
    <w:p>
      <w:pPr>
        <w:spacing w:after="0" w:line="46" w:lineRule="exact"/>
        <w:rPr>
          <w:sz w:val="20"/>
          <w:szCs w:val="20"/>
          <w:color w:val="auto"/>
        </w:rPr>
      </w:pPr>
    </w:p>
    <w:p>
      <w:pPr>
        <w:ind w:right="3359" w:firstLine="678"/>
        <w:spacing w:after="0" w:line="276" w:lineRule="auto"/>
        <w:rPr>
          <w:sz w:val="20"/>
          <w:szCs w:val="20"/>
          <w:color w:val="auto"/>
        </w:rPr>
      </w:pPr>
      <w:r>
        <w:rPr>
          <w:rFonts w:ascii="Courier New" w:cs="Courier New" w:eastAsia="Courier New" w:hAnsi="Courier New"/>
          <w:sz w:val="14"/>
          <w:szCs w:val="14"/>
          <w:color w:val="auto"/>
        </w:rPr>
        <w:t>In lieu of fixing a record date, the Board of Directors may provide that the stock transfer books shall be closed for a stated period but not longer than 20 days. If the stock transfer books are closed for the purpose of determining stockholders entitled to notice of or to vote at a meeting of stockholders, such books shall be closed for at least ten days before the date of such meeting.</w:t>
      </w:r>
    </w:p>
    <w:p>
      <w:pPr>
        <w:spacing w:after="0" w:line="67" w:lineRule="exact"/>
        <w:rPr>
          <w:sz w:val="20"/>
          <w:szCs w:val="20"/>
          <w:color w:val="auto"/>
        </w:rPr>
      </w:pPr>
    </w:p>
    <w:p>
      <w:pPr>
        <w:ind w:right="3359" w:firstLine="678"/>
        <w:spacing w:after="0" w:line="261" w:lineRule="auto"/>
        <w:rPr>
          <w:sz w:val="20"/>
          <w:szCs w:val="20"/>
          <w:color w:val="auto"/>
        </w:rPr>
      </w:pPr>
      <w:r>
        <w:rPr>
          <w:rFonts w:ascii="Courier New" w:cs="Courier New" w:eastAsia="Courier New" w:hAnsi="Courier New"/>
          <w:sz w:val="14"/>
          <w:szCs w:val="14"/>
          <w:color w:val="auto"/>
        </w:rPr>
        <w:t>If no record date is fixed and the stock transfer books are not closed for the determination of stockholders,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Board of Directors declaring the dividend or allotment of rights is adopted.</w:t>
      </w:r>
    </w:p>
    <w:p>
      <w:pPr>
        <w:spacing w:after="0" w:line="78" w:lineRule="exact"/>
        <w:rPr>
          <w:sz w:val="20"/>
          <w:szCs w:val="20"/>
          <w:color w:val="auto"/>
        </w:rPr>
      </w:pPr>
    </w:p>
    <w:p>
      <w:pPr>
        <w:ind w:right="3359" w:firstLine="678"/>
        <w:spacing w:after="0" w:line="266" w:lineRule="auto"/>
        <w:rPr>
          <w:sz w:val="20"/>
          <w:szCs w:val="20"/>
          <w:color w:val="auto"/>
        </w:rPr>
      </w:pPr>
      <w:r>
        <w:rPr>
          <w:rFonts w:ascii="Courier New" w:cs="Courier New" w:eastAsia="Courier New" w:hAnsi="Courier New"/>
          <w:sz w:val="14"/>
          <w:szCs w:val="14"/>
          <w:color w:val="auto"/>
        </w:rPr>
        <w:t>When a determination of stockholders entitled to vote at any meeting of stockholders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74" w:lineRule="exact"/>
        <w:rPr>
          <w:sz w:val="20"/>
          <w:szCs w:val="20"/>
          <w:color w:val="auto"/>
        </w:rPr>
      </w:pPr>
    </w:p>
    <w:p>
      <w:pPr>
        <w:ind w:right="3359" w:firstLine="678"/>
        <w:spacing w:after="0" w:line="276" w:lineRule="auto"/>
        <w:rPr>
          <w:sz w:val="20"/>
          <w:szCs w:val="20"/>
          <w:color w:val="auto"/>
        </w:rPr>
      </w:pPr>
      <w:r>
        <w:rPr>
          <w:rFonts w:ascii="Courier New" w:cs="Courier New" w:eastAsia="Courier New" w:hAnsi="Courier New"/>
          <w:sz w:val="14"/>
          <w:szCs w:val="14"/>
          <w:color w:val="auto"/>
        </w:rPr>
        <w:t>Section 5. STOCK LEDGER. The Corporation shall maintain at its principal office or at the office of its counsel, accountants or transfer agent, an original or duplicate stock ledger containing the name and address of each stockholder and the number of shares of each class of stock held by such stockholder.</w:t>
      </w:r>
    </w:p>
    <w:p>
      <w:pPr>
        <w:spacing w:after="0" w:line="67" w:lineRule="exact"/>
        <w:rPr>
          <w:sz w:val="20"/>
          <w:szCs w:val="20"/>
          <w:color w:val="auto"/>
        </w:rPr>
      </w:pPr>
    </w:p>
    <w:p>
      <w:pPr>
        <w:ind w:right="3359" w:firstLine="678"/>
        <w:spacing w:after="0" w:line="260" w:lineRule="auto"/>
        <w:rPr>
          <w:sz w:val="20"/>
          <w:szCs w:val="20"/>
          <w:color w:val="auto"/>
        </w:rPr>
      </w:pPr>
      <w:r>
        <w:rPr>
          <w:rFonts w:ascii="Courier New" w:cs="Courier New" w:eastAsia="Courier New" w:hAnsi="Courier New"/>
          <w:sz w:val="14"/>
          <w:szCs w:val="14"/>
          <w:color w:val="auto"/>
        </w:rPr>
        <w:t>Section 6. FRACTIONAL SHARES OF STOCK; ISSUANCE OF UNITS. The Board of Directors may issue fractional shares of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76"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VIII</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DIVIDENDS AND DISTRIBUTIONS</w:t>
      </w:r>
    </w:p>
    <w:p>
      <w:pPr>
        <w:spacing w:after="0" w:line="168" w:lineRule="exact"/>
        <w:rPr>
          <w:sz w:val="20"/>
          <w:szCs w:val="20"/>
          <w:color w:val="auto"/>
        </w:rPr>
      </w:pPr>
    </w:p>
    <w:p>
      <w:pPr>
        <w:ind w:right="3539" w:firstLine="678"/>
        <w:spacing w:after="0" w:line="306" w:lineRule="auto"/>
        <w:rPr>
          <w:sz w:val="20"/>
          <w:szCs w:val="20"/>
          <w:color w:val="auto"/>
        </w:rPr>
      </w:pPr>
      <w:r>
        <w:rPr>
          <w:rFonts w:ascii="Courier New" w:cs="Courier New" w:eastAsia="Courier New" w:hAnsi="Courier New"/>
          <w:sz w:val="14"/>
          <w:szCs w:val="14"/>
          <w:color w:val="auto"/>
        </w:rPr>
        <w:t>Section 1. AUTHORIZATION. Dividends and other distributions upon the shares of stock of the Corporation may be authorized and declared by the Board of Directors, subject to the</w:t>
      </w:r>
    </w:p>
    <w:p>
      <w:pPr>
        <w:spacing w:after="0" w:line="37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257"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294" w:lineRule="exact"/>
        <w:rPr>
          <w:sz w:val="20"/>
          <w:szCs w:val="20"/>
          <w:color w:val="auto"/>
        </w:rPr>
      </w:pPr>
    </w:p>
    <w:p>
      <w:pPr>
        <w:jc w:val="both"/>
        <w:ind w:right="3619"/>
        <w:spacing w:after="0" w:line="306" w:lineRule="auto"/>
        <w:rPr>
          <w:sz w:val="20"/>
          <w:szCs w:val="20"/>
          <w:color w:val="auto"/>
        </w:rPr>
      </w:pPr>
      <w:r>
        <w:rPr>
          <w:rFonts w:ascii="Courier New" w:cs="Courier New" w:eastAsia="Courier New" w:hAnsi="Courier New"/>
          <w:sz w:val="14"/>
          <w:szCs w:val="14"/>
          <w:color w:val="auto"/>
        </w:rPr>
        <w:t>provisions of law and the Charter. Dividends may be paid in cash, property or shares of stock of the Corporation, subject to the provisions of law and the Charter.</w:t>
      </w:r>
    </w:p>
    <w:p>
      <w:pPr>
        <w:spacing w:after="0" w:line="46" w:lineRule="exact"/>
        <w:rPr>
          <w:sz w:val="20"/>
          <w:szCs w:val="20"/>
          <w:color w:val="auto"/>
        </w:rPr>
      </w:pPr>
    </w:p>
    <w:p>
      <w:pPr>
        <w:ind w:right="3539" w:firstLine="509"/>
        <w:spacing w:after="0" w:line="263" w:lineRule="auto"/>
        <w:rPr>
          <w:sz w:val="20"/>
          <w:szCs w:val="20"/>
          <w:color w:val="auto"/>
        </w:rPr>
      </w:pPr>
      <w:r>
        <w:rPr>
          <w:rFonts w:ascii="Courier New" w:cs="Courier New" w:eastAsia="Courier New" w:hAnsi="Courier New"/>
          <w:sz w:val="14"/>
          <w:szCs w:val="14"/>
          <w:color w:val="auto"/>
        </w:rPr>
        <w:t>Section 2. CONTINGENCIES. Before payment of any dividends, there may be set aside out of any funds of the Corporation available for dividends such sum or sums as the Board of Directors may from time to time, in their absolute discretion, think proper as a reserve fund for contingencies, for equalizing dividends, for repairing or maintaining any property of the Corporation or for such other purpose as the Board of Directors shall determine to be in the best interest of the Corporation; and the Board of Directors may modify or abolish any such reserve in the manner in which it was created.</w:t>
      </w:r>
    </w:p>
    <w:p>
      <w:pPr>
        <w:spacing w:after="0" w:line="7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ARTICLE IX</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SEAL</w:t>
      </w:r>
    </w:p>
    <w:p>
      <w:pPr>
        <w:spacing w:after="0" w:line="168" w:lineRule="exact"/>
        <w:rPr>
          <w:sz w:val="20"/>
          <w:szCs w:val="20"/>
          <w:color w:val="auto"/>
        </w:rPr>
      </w:pPr>
    </w:p>
    <w:p>
      <w:pPr>
        <w:ind w:right="3459" w:firstLine="509"/>
        <w:spacing w:after="0" w:line="286" w:lineRule="auto"/>
        <w:rPr>
          <w:sz w:val="20"/>
          <w:szCs w:val="20"/>
          <w:color w:val="auto"/>
        </w:rPr>
      </w:pPr>
      <w:r>
        <w:rPr>
          <w:rFonts w:ascii="Courier New" w:cs="Courier New" w:eastAsia="Courier New" w:hAnsi="Courier New"/>
          <w:sz w:val="14"/>
          <w:szCs w:val="14"/>
          <w:color w:val="auto"/>
        </w:rPr>
        <w:t>Section 1. SEAL. The Board of Directors may authorize the adoption of a seal by the Corporation. The seal shall have inscribed thereon the name of the Corporation and the year of its formation. The Board of Directors may authorize one or more duplicate seals and provide for the custody thereof.</w:t>
      </w:r>
    </w:p>
    <w:p>
      <w:pPr>
        <w:spacing w:after="0" w:line="59" w:lineRule="exact"/>
        <w:rPr>
          <w:sz w:val="20"/>
          <w:szCs w:val="20"/>
          <w:color w:val="auto"/>
        </w:rPr>
      </w:pPr>
    </w:p>
    <w:p>
      <w:pPr>
        <w:ind w:right="3539" w:firstLine="509"/>
        <w:spacing w:after="0" w:line="276" w:lineRule="auto"/>
        <w:rPr>
          <w:sz w:val="20"/>
          <w:szCs w:val="20"/>
          <w:color w:val="auto"/>
        </w:rPr>
      </w:pPr>
      <w:r>
        <w:rPr>
          <w:rFonts w:ascii="Courier New" w:cs="Courier New" w:eastAsia="Courier New" w:hAnsi="Courier New"/>
          <w:sz w:val="14"/>
          <w:szCs w:val="14"/>
          <w:color w:val="auto"/>
        </w:rPr>
        <w:t>Section 2. AFFIXING SEAL. Whenever the Corporation is required to place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6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ARTICLE X</w:t>
      </w:r>
    </w:p>
    <w:p>
      <w:pPr>
        <w:spacing w:after="0" w:line="16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INDEMNIFICATION AND ADVANCES FOR EXPENSES</w:t>
      </w:r>
    </w:p>
    <w:p>
      <w:pPr>
        <w:spacing w:after="0" w:line="168" w:lineRule="exact"/>
        <w:rPr>
          <w:sz w:val="20"/>
          <w:szCs w:val="20"/>
          <w:color w:val="auto"/>
        </w:rPr>
      </w:pPr>
    </w:p>
    <w:p>
      <w:pPr>
        <w:ind w:right="3359" w:firstLine="509"/>
        <w:spacing w:after="0" w:line="255" w:lineRule="auto"/>
        <w:rPr>
          <w:sz w:val="20"/>
          <w:szCs w:val="20"/>
          <w:color w:val="auto"/>
        </w:rPr>
      </w:pPr>
      <w:r>
        <w:rPr>
          <w:rFonts w:ascii="Courier New" w:cs="Courier New" w:eastAsia="Courier New" w:hAnsi="Courier New"/>
          <w:sz w:val="14"/>
          <w:szCs w:val="14"/>
          <w:color w:val="auto"/>
        </w:rPr>
        <w:t>To the maximum extent permitted by Maryland law in effect from time to time, the Corporation, without requiring a preliminary determination of the ultimate entitlement to indemnification, shall indemnify (a) any Director or officer or any former Director or officer (including among the foregoing, for all purposes of this Article X and without limitation, any individual who, while a Director or officer and at the express request of the Corporation, serves or has served another corporation, partnership, joint venture, trust, employee benefit plan or any other enterprise as a director, officer or partner of such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and (b) any Director or officer or any former Director or officer against any claim or liability to which he may become subject by reason of such status unless it is established that (i) his act or omission was material to</w:t>
      </w:r>
    </w:p>
    <w:p>
      <w:pPr>
        <w:spacing w:after="0" w:line="200" w:lineRule="exact"/>
        <w:rPr>
          <w:sz w:val="20"/>
          <w:szCs w:val="20"/>
          <w:color w:val="auto"/>
        </w:rPr>
      </w:pPr>
    </w:p>
    <w:p>
      <w:pPr>
        <w:spacing w:after="0" w:line="20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257"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294"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4"/>
          <w:szCs w:val="14"/>
          <w:color w:val="auto"/>
        </w:rPr>
        <w:t>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In addition, the Corporation shall pay or reimburse, in advance of final disposition of a proceeding, reasonable expenses incurred by a Director or officer or former Director or officer made a party to a proceeding by reason of such status, provided that, in the case of a Director or officer, the Corporation shall have received (i) a written affirmation by the Director or officer of his good faith belief that he has met the applicable standard of conduct necessary for indemnification by the Corporation as authorized by these Bylaws and (ii) a written undertaking by or on the Director's or officer's behalf to repay the amount paid or reimbursed by the Corporation if it shall ultimately be determined that the applicable standard of conduct was not met. The Corporation may, with the approval of its Directors, provide such indemnification or payment or reimbursement of expenses to any Director or officer or any former Director or officer who served a predecessor of the Corporation and to any employee or agent of the Corporation or a predecessor of the Corporation. Neither the amendment nor repeal of this Article, nor the adoption or amendment of any other provision of the Charter or these Bylaws inconsistent with this Article, shall apply to or affect in any respect the applicability of this Article with respect to any act or failure to act which occurred prior to such amendment, repeal or adoption.</w:t>
      </w:r>
    </w:p>
    <w:p>
      <w:pPr>
        <w:spacing w:after="0" w:line="84" w:lineRule="exact"/>
        <w:rPr>
          <w:sz w:val="20"/>
          <w:szCs w:val="20"/>
          <w:color w:val="auto"/>
        </w:rPr>
      </w:pPr>
    </w:p>
    <w:p>
      <w:pPr>
        <w:ind w:right="3359" w:firstLine="678"/>
        <w:spacing w:after="0" w:line="263" w:lineRule="auto"/>
        <w:rPr>
          <w:sz w:val="20"/>
          <w:szCs w:val="20"/>
          <w:color w:val="auto"/>
        </w:rPr>
      </w:pPr>
      <w:r>
        <w:rPr>
          <w:rFonts w:ascii="Courier New" w:cs="Courier New" w:eastAsia="Courier New" w:hAnsi="Courier New"/>
          <w:sz w:val="14"/>
          <w:szCs w:val="14"/>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Corporation may provide to Directors or officers such other and further indemnification or payment or reimbursement of expenses, as the case may be, to the fullest extent permitted by the MGCL, as in effect from time to time, for directors of Maryland corporations.</w:t>
      </w:r>
    </w:p>
    <w:p>
      <w:pPr>
        <w:spacing w:after="0" w:line="7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ARTICLE XI</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WAIVER OF NOTICE</w:t>
      </w:r>
    </w:p>
    <w:p>
      <w:pPr>
        <w:spacing w:after="0" w:line="168" w:lineRule="exact"/>
        <w:rPr>
          <w:sz w:val="20"/>
          <w:szCs w:val="20"/>
          <w:color w:val="auto"/>
        </w:rPr>
      </w:pPr>
    </w:p>
    <w:p>
      <w:pPr>
        <w:ind w:right="3359" w:firstLine="678"/>
        <w:spacing w:after="0" w:line="260" w:lineRule="auto"/>
        <w:rPr>
          <w:sz w:val="20"/>
          <w:szCs w:val="20"/>
          <w:color w:val="auto"/>
        </w:rPr>
      </w:pPr>
      <w:r>
        <w:rPr>
          <w:rFonts w:ascii="Courier New" w:cs="Courier New" w:eastAsia="Courier New" w:hAnsi="Courier New"/>
          <w:sz w:val="14"/>
          <w:szCs w:val="14"/>
          <w:color w:val="auto"/>
        </w:rPr>
        <w:t>Whenever any notice is required to be given pursuant to the Charter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00" w:lineRule="exact"/>
        <w:rPr>
          <w:sz w:val="20"/>
          <w:szCs w:val="20"/>
          <w:color w:val="auto"/>
        </w:rPr>
      </w:pPr>
    </w:p>
    <w:p>
      <w:pPr>
        <w:spacing w:after="0" w:line="20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257"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29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ARTICLE XII</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AMENDMENT OF BYLAWS</w:t>
      </w:r>
    </w:p>
    <w:p>
      <w:pPr>
        <w:spacing w:after="0" w:line="168" w:lineRule="exact"/>
        <w:rPr>
          <w:sz w:val="20"/>
          <w:szCs w:val="20"/>
          <w:color w:val="auto"/>
        </w:rPr>
      </w:pPr>
    </w:p>
    <w:p>
      <w:pPr>
        <w:ind w:right="3359" w:firstLine="678"/>
        <w:spacing w:after="0" w:line="306" w:lineRule="auto"/>
        <w:rPr>
          <w:sz w:val="20"/>
          <w:szCs w:val="20"/>
          <w:color w:val="auto"/>
        </w:rPr>
      </w:pPr>
      <w:r>
        <w:rPr>
          <w:rFonts w:ascii="Courier New" w:cs="Courier New" w:eastAsia="Courier New" w:hAnsi="Courier New"/>
          <w:sz w:val="14"/>
          <w:szCs w:val="14"/>
          <w:color w:val="auto"/>
        </w:rPr>
        <w:t>The Board of Directors shall have the exclusive power to adopt, alter or repeal any provision of these Bylaws and to make new Bylaws in accordance with Article III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257"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4"/>
          <w:szCs w:val="14"/>
          <w:color w:val="auto"/>
        </w:rPr>
        <w:t>1</w:t>
      </w:r>
    </w:p>
    <w:p>
      <w:pPr>
        <w:spacing w:after="0" w:line="168"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EXHIBIT 10.67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FIRST AMENDMENT TO MASTER AGREEMENT TO LEASE</w:t>
      </w:r>
    </w:p>
    <w:p>
      <w:pPr>
        <w:spacing w:after="0" w:line="168" w:lineRule="exact"/>
        <w:rPr>
          <w:sz w:val="20"/>
          <w:szCs w:val="20"/>
          <w:color w:val="auto"/>
        </w:rPr>
      </w:pPr>
    </w:p>
    <w:p>
      <w:pPr>
        <w:ind w:right="3459" w:firstLine="678"/>
        <w:spacing w:after="0" w:line="276" w:lineRule="auto"/>
        <w:rPr>
          <w:sz w:val="20"/>
          <w:szCs w:val="20"/>
          <w:color w:val="auto"/>
        </w:rPr>
      </w:pPr>
      <w:r>
        <w:rPr>
          <w:rFonts w:ascii="Courier New" w:cs="Courier New" w:eastAsia="Courier New" w:hAnsi="Courier New"/>
          <w:sz w:val="14"/>
          <w:szCs w:val="14"/>
          <w:color w:val="auto"/>
        </w:rPr>
        <w:t>THIS FIRST AMENDMENT TO MASTER AGREEMENT TO LEASE ("Amendment") is made and entered into as of the 31st day of December, 1999, by and between PRISON REALTY TRUST, INC. (formerly Prison Realty Corporation), a Maryland corporation ("Landlord") and CORRECTIONS CORPORATION OF AMERICA (formerly Correctional Management Services Corporation), a Tennessee corporation ("Tenant").</w:t>
      </w:r>
    </w:p>
    <w:p>
      <w:pPr>
        <w:spacing w:after="0" w:line="6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WITNESSETH:</w:t>
      </w:r>
    </w:p>
    <w:p>
      <w:pPr>
        <w:spacing w:after="0" w:line="168" w:lineRule="exact"/>
        <w:rPr>
          <w:sz w:val="20"/>
          <w:szCs w:val="20"/>
          <w:color w:val="auto"/>
        </w:rPr>
      </w:pPr>
    </w:p>
    <w:p>
      <w:pPr>
        <w:ind w:right="3539" w:firstLine="678"/>
        <w:spacing w:after="0" w:line="286" w:lineRule="auto"/>
        <w:rPr>
          <w:sz w:val="20"/>
          <w:szCs w:val="20"/>
          <w:color w:val="auto"/>
        </w:rPr>
      </w:pPr>
      <w:r>
        <w:rPr>
          <w:rFonts w:ascii="Courier New" w:cs="Courier New" w:eastAsia="Courier New" w:hAnsi="Courier New"/>
          <w:sz w:val="14"/>
          <w:szCs w:val="14"/>
          <w:color w:val="auto"/>
        </w:rPr>
        <w:t>WHEREAS, Landlord and Tenant have previously entered into the Master Agreement to Lease, dated January 1, 1999 (the "Master Agreement"), which sets forth certain terms and conditions pursuant to which Landlord leases certain properties to the Tenant; and</w:t>
      </w:r>
    </w:p>
    <w:p>
      <w:pPr>
        <w:spacing w:after="0" w:line="59" w:lineRule="exact"/>
        <w:rPr>
          <w:sz w:val="20"/>
          <w:szCs w:val="20"/>
          <w:color w:val="auto"/>
        </w:rPr>
      </w:pPr>
    </w:p>
    <w:p>
      <w:pPr>
        <w:jc w:val="both"/>
        <w:ind w:right="3879" w:firstLine="678"/>
        <w:spacing w:after="0" w:line="366" w:lineRule="auto"/>
        <w:rPr>
          <w:sz w:val="20"/>
          <w:szCs w:val="20"/>
          <w:color w:val="auto"/>
        </w:rPr>
      </w:pPr>
      <w:r>
        <w:rPr>
          <w:rFonts w:ascii="Courier New" w:cs="Courier New" w:eastAsia="Courier New" w:hAnsi="Courier New"/>
          <w:sz w:val="14"/>
          <w:szCs w:val="14"/>
          <w:color w:val="auto"/>
        </w:rPr>
        <w:t>WHEREAS, Landlord and Tenant now desire to amend certain terms and provisions of the Master Agreement, as more particularly set forth herein.</w:t>
      </w:r>
    </w:p>
    <w:p>
      <w:pPr>
        <w:spacing w:after="0" w:line="6" w:lineRule="exact"/>
        <w:rPr>
          <w:sz w:val="20"/>
          <w:szCs w:val="20"/>
          <w:color w:val="auto"/>
        </w:rPr>
      </w:pPr>
    </w:p>
    <w:p>
      <w:pPr>
        <w:ind w:right="3359" w:firstLine="678"/>
        <w:spacing w:after="0" w:line="286" w:lineRule="auto"/>
        <w:rPr>
          <w:sz w:val="20"/>
          <w:szCs w:val="20"/>
          <w:color w:val="auto"/>
        </w:rPr>
      </w:pPr>
      <w:r>
        <w:rPr>
          <w:rFonts w:ascii="Courier New" w:cs="Courier New" w:eastAsia="Courier New" w:hAnsi="Courier New"/>
          <w:sz w:val="14"/>
          <w:szCs w:val="14"/>
          <w:color w:val="auto"/>
        </w:rPr>
        <w:t>NOW, THEREFORE, in consideration of the foregoing and their respective agreements and undertakings herein, and other good and valuable consideration, the receipt and sufficiency of which is hereby acknowledged, Landlord and Tenant hereby agree as follows:</w:t>
      </w:r>
    </w:p>
    <w:p>
      <w:pPr>
        <w:spacing w:after="0" w:line="59" w:lineRule="exact"/>
        <w:rPr>
          <w:sz w:val="20"/>
          <w:szCs w:val="20"/>
          <w:color w:val="auto"/>
        </w:rPr>
      </w:pPr>
    </w:p>
    <w:p>
      <w:pPr>
        <w:ind w:right="3359" w:firstLine="685"/>
        <w:spacing w:after="0" w:line="366" w:lineRule="auto"/>
        <w:tabs>
          <w:tab w:leader="none" w:pos="93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2.02 of the Master Agreement shall be deleted in its entirety and the following shall be inserted in lieu thereof:</w:t>
      </w:r>
    </w:p>
    <w:p>
      <w:pPr>
        <w:spacing w:after="0" w:line="6" w:lineRule="exact"/>
        <w:rPr>
          <w:sz w:val="20"/>
          <w:szCs w:val="20"/>
          <w:color w:val="auto"/>
        </w:rPr>
      </w:pPr>
    </w:p>
    <w:p>
      <w:pPr>
        <w:ind w:left="680" w:right="3359" w:firstLine="594"/>
        <w:spacing w:after="0" w:line="255" w:lineRule="auto"/>
        <w:rPr>
          <w:sz w:val="20"/>
          <w:szCs w:val="20"/>
          <w:color w:val="auto"/>
        </w:rPr>
      </w:pPr>
      <w:r>
        <w:rPr>
          <w:rFonts w:ascii="Courier New" w:cs="Courier New" w:eastAsia="Courier New" w:hAnsi="Courier New"/>
          <w:sz w:val="14"/>
          <w:szCs w:val="14"/>
          <w:color w:val="auto"/>
        </w:rPr>
        <w:t>2.02 Additional Rent. On each Rent Escalation Date (as defined in each Lease), the Tenant shall pay Landlord an amount (the "Additional Rent") each year equal to the lesser of (i) four percent (4%) of the Total Rent (for the purposes hereof Total Rent is equal to the product of (a) the aggregate rental payments due and payable by Tenant to Landlord for the month immediately preceding the Rent Escalation Date and (b) twelve (12)) or (ii) ten percent (10%) of the excess of the Tenant's aggregate gross management revenues for the prior year over the Tenant's Base Revenue (for purposes hereof, the Tenant's Base Revenue shall be $325,000,000). The Additional Rent shall be payable monthly, along with Base Rent, and otherwise in the manner as set forth in Section 2.01 above. Tenant shall provide to Landlord, not later than thirty (30) days following each Rent Escalation Date, Tenant's statement, certified by Tenant's chief financial officer, setting forth Tenants' aggregate gross management revenues for each prior year.</w:t>
      </w:r>
    </w:p>
    <w:p>
      <w:pPr>
        <w:spacing w:after="0" w:line="82" w:lineRule="exact"/>
        <w:rPr>
          <w:sz w:val="20"/>
          <w:szCs w:val="20"/>
          <w:color w:val="auto"/>
        </w:rPr>
      </w:pPr>
    </w:p>
    <w:p>
      <w:pPr>
        <w:ind w:right="3539" w:firstLine="685"/>
        <w:spacing w:after="0" w:line="306" w:lineRule="auto"/>
        <w:tabs>
          <w:tab w:leader="none" w:pos="933"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modified or amended herein, all terms and provisions of the Master Agreement shall continue and remain in full force and effect.</w:t>
      </w:r>
    </w:p>
    <w:p>
      <w:pPr>
        <w:spacing w:after="0" w:line="46"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[signatures on following page]</w:t>
      </w:r>
    </w:p>
    <w:p>
      <w:pPr>
        <w:sectPr>
          <w:pgSz w:w="11900" w:h="16838" w:orient="portrait"/>
          <w:cols w:equalWidth="0" w:num="1">
            <w:col w:w="10159"/>
          </w:cols>
          <w:pgMar w:left="300" w:top="115"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4"/>
          <w:szCs w:val="14"/>
          <w:color w:val="auto"/>
        </w:rPr>
        <w:t>2</w:t>
      </w:r>
    </w:p>
    <w:p>
      <w:pPr>
        <w:spacing w:after="0" w:line="331" w:lineRule="exact"/>
        <w:rPr>
          <w:sz w:val="20"/>
          <w:szCs w:val="20"/>
          <w:color w:val="auto"/>
        </w:rPr>
      </w:pPr>
    </w:p>
    <w:p>
      <w:pPr>
        <w:ind w:right="3539" w:firstLine="678"/>
        <w:spacing w:after="0" w:line="366" w:lineRule="auto"/>
        <w:rPr>
          <w:sz w:val="20"/>
          <w:szCs w:val="20"/>
          <w:color w:val="auto"/>
        </w:rPr>
      </w:pPr>
      <w:r>
        <w:rPr>
          <w:rFonts w:ascii="Courier New" w:cs="Courier New" w:eastAsia="Courier New" w:hAnsi="Courier New"/>
          <w:sz w:val="14"/>
          <w:szCs w:val="14"/>
          <w:color w:val="auto"/>
        </w:rPr>
        <w:t>IN WITNESS WHEREOF, the parties hereto have executed this Amendment as of the date first set forth above:</w:t>
      </w:r>
    </w:p>
    <w:p>
      <w:pPr>
        <w:spacing w:after="0" w:line="332"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LANDLORD:</w:t>
      </w:r>
    </w:p>
    <w:p>
      <w:pPr>
        <w:spacing w:after="0" w:line="33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PRISON REALTY TRUST, INC.</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By: /s/ Doctor R. Crants</w:t>
      </w:r>
    </w:p>
    <w:p>
      <w:pPr>
        <w:spacing w:after="0" w:line="3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Its: Chief Executive Officer</w:t>
      </w:r>
    </w:p>
    <w:p>
      <w:pPr>
        <w:spacing w:after="0" w:line="3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TENANT:</w:t>
      </w:r>
    </w:p>
    <w:p>
      <w:pPr>
        <w:spacing w:after="0" w:line="33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 Darrell K. Massengale</w:t>
      </w:r>
    </w:p>
    <w:p>
      <w:pPr>
        <w:spacing w:after="0" w:line="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4"/>
          <w:szCs w:val="14"/>
          <w:color w:val="auto"/>
        </w:rPr>
        <w:t>Its: Chief Financial Officer and Secretary</w:t>
      </w:r>
    </w:p>
    <w:p>
      <w:pPr>
        <w:spacing w:after="0" w:line="3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57"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4"/>
          <w:szCs w:val="14"/>
          <w:color w:val="auto"/>
        </w:rPr>
        <w:t>1</w:t>
      </w:r>
    </w:p>
    <w:p>
      <w:pPr>
        <w:spacing w:after="0" w:line="30"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Exhibit 10.68</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MASTER AMENDMENT TO LEASE AGREEMENTS</w:t>
      </w:r>
    </w:p>
    <w:p>
      <w:pPr>
        <w:spacing w:after="0" w:line="168" w:lineRule="exact"/>
        <w:rPr>
          <w:sz w:val="20"/>
          <w:szCs w:val="20"/>
          <w:color w:val="auto"/>
        </w:rPr>
      </w:pPr>
    </w:p>
    <w:p>
      <w:pPr>
        <w:ind w:right="3459" w:firstLine="678"/>
        <w:spacing w:after="0" w:line="276" w:lineRule="auto"/>
        <w:rPr>
          <w:sz w:val="20"/>
          <w:szCs w:val="20"/>
          <w:color w:val="auto"/>
        </w:rPr>
      </w:pPr>
      <w:r>
        <w:rPr>
          <w:rFonts w:ascii="Courier New" w:cs="Courier New" w:eastAsia="Courier New" w:hAnsi="Courier New"/>
          <w:sz w:val="14"/>
          <w:szCs w:val="14"/>
          <w:color w:val="auto"/>
        </w:rPr>
        <w:t>THIS MASTER AMENDMENT TO LEASE AGREEMENTS ("Amendment") is made and entered into as of the 31st day of December, 1999, by and between PRISON REALTY TRUST, INC. (formerly Prison Realty Corporation), a Maryland corporation ("Landlord") and CORRECTIONS CORPORATION OF AMERICA (formerly Correctional Management Services Corporation), a Tennessee corporation ("Tenant").</w:t>
      </w:r>
    </w:p>
    <w:p>
      <w:pPr>
        <w:spacing w:after="0" w:line="6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WITNESSETH:</w:t>
      </w:r>
    </w:p>
    <w:p>
      <w:pPr>
        <w:spacing w:after="0" w:line="168" w:lineRule="exact"/>
        <w:rPr>
          <w:sz w:val="20"/>
          <w:szCs w:val="20"/>
          <w:color w:val="auto"/>
        </w:rPr>
      </w:pPr>
    </w:p>
    <w:p>
      <w:pPr>
        <w:ind w:right="3359" w:firstLine="678"/>
        <w:spacing w:after="0" w:line="263" w:lineRule="auto"/>
        <w:rPr>
          <w:sz w:val="20"/>
          <w:szCs w:val="20"/>
          <w:color w:val="auto"/>
        </w:rPr>
      </w:pPr>
      <w:r>
        <w:rPr>
          <w:rFonts w:ascii="Courier New" w:cs="Courier New" w:eastAsia="Courier New" w:hAnsi="Courier New"/>
          <w:sz w:val="14"/>
          <w:szCs w:val="14"/>
          <w:color w:val="auto"/>
        </w:rPr>
        <w:t>WHEREAS, Landlord and Tenant have entered into those certain Lease Agreements dated January 1, 1999, along with all prior amendments thereto, as set forth on Schedule A (each such lease agreement referred to individually as a "Lease," and collectively as the "Leases"), whereby Landlord agreed to lease to Tenant and Tenant agreed to lease from Landlord certain properties (the property that is the subject of an individual Lease being referred to "Leased Property," and the properties that are the subject of the Leases collectively as "Leased Properties"), as more particularly set forth therein; and</w:t>
      </w:r>
    </w:p>
    <w:p>
      <w:pPr>
        <w:spacing w:after="0" w:line="77" w:lineRule="exact"/>
        <w:rPr>
          <w:sz w:val="20"/>
          <w:szCs w:val="20"/>
          <w:color w:val="auto"/>
        </w:rPr>
      </w:pPr>
    </w:p>
    <w:p>
      <w:pPr>
        <w:ind w:right="3539" w:firstLine="678"/>
        <w:spacing w:after="0" w:line="286" w:lineRule="auto"/>
        <w:rPr>
          <w:sz w:val="20"/>
          <w:szCs w:val="20"/>
          <w:color w:val="auto"/>
        </w:rPr>
      </w:pPr>
      <w:r>
        <w:rPr>
          <w:rFonts w:ascii="Courier New" w:cs="Courier New" w:eastAsia="Courier New" w:hAnsi="Courier New"/>
          <w:sz w:val="14"/>
          <w:szCs w:val="14"/>
          <w:color w:val="auto"/>
        </w:rPr>
        <w:t>WHEREAS, Landlord and Tenant have entered into a Master Agreement to Lease dated January 1, 1999 (the "Master Agreement"), which sets forth certain agreements of the parties with respect to the lease of the Leased Properties; and</w:t>
      </w:r>
    </w:p>
    <w:p>
      <w:pPr>
        <w:spacing w:after="0" w:line="59" w:lineRule="exact"/>
        <w:rPr>
          <w:sz w:val="20"/>
          <w:szCs w:val="20"/>
          <w:color w:val="auto"/>
        </w:rPr>
      </w:pPr>
    </w:p>
    <w:p>
      <w:pPr>
        <w:ind w:right="3799" w:firstLine="678"/>
        <w:spacing w:after="0" w:line="366" w:lineRule="auto"/>
        <w:rPr>
          <w:sz w:val="20"/>
          <w:szCs w:val="20"/>
          <w:color w:val="auto"/>
        </w:rPr>
      </w:pPr>
      <w:r>
        <w:rPr>
          <w:rFonts w:ascii="Courier New" w:cs="Courier New" w:eastAsia="Courier New" w:hAnsi="Courier New"/>
          <w:sz w:val="14"/>
          <w:szCs w:val="14"/>
          <w:color w:val="auto"/>
        </w:rPr>
        <w:t>WHEREAS, Landlord and Tenant now desire to amend the Leases as more particularly set forth herein.</w:t>
      </w:r>
    </w:p>
    <w:p>
      <w:pPr>
        <w:spacing w:after="0" w:line="6" w:lineRule="exact"/>
        <w:rPr>
          <w:sz w:val="20"/>
          <w:szCs w:val="20"/>
          <w:color w:val="auto"/>
        </w:rPr>
      </w:pPr>
    </w:p>
    <w:p>
      <w:pPr>
        <w:ind w:right="3359" w:firstLine="678"/>
        <w:spacing w:after="0" w:line="366" w:lineRule="auto"/>
        <w:rPr>
          <w:sz w:val="20"/>
          <w:szCs w:val="20"/>
          <w:color w:val="auto"/>
        </w:rPr>
      </w:pPr>
      <w:r>
        <w:rPr>
          <w:rFonts w:ascii="Courier New" w:cs="Courier New" w:eastAsia="Courier New" w:hAnsi="Courier New"/>
          <w:sz w:val="14"/>
          <w:szCs w:val="14"/>
          <w:color w:val="auto"/>
        </w:rPr>
        <w:t>NOW, THEREFORE, in consideration of the premises and of their respective agreements and undertakings herein, Landlord and Tenant agree as follows:</w:t>
      </w:r>
    </w:p>
    <w:p>
      <w:pPr>
        <w:spacing w:after="0" w:line="6" w:lineRule="exact"/>
        <w:rPr>
          <w:sz w:val="20"/>
          <w:szCs w:val="20"/>
          <w:color w:val="auto"/>
        </w:rPr>
      </w:pPr>
    </w:p>
    <w:p>
      <w:pPr>
        <w:ind w:right="3539" w:firstLine="685"/>
        <w:spacing w:after="0" w:line="366" w:lineRule="auto"/>
        <w:tabs>
          <w:tab w:leader="none" w:pos="93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Rent Schedule which is attached to each Lease as Exhibit B shall be revised to provide that the Rent Escalation Date shall be January 1.</w:t>
      </w:r>
    </w:p>
    <w:p>
      <w:pPr>
        <w:spacing w:after="0" w:line="5" w:lineRule="exact"/>
        <w:rPr>
          <w:rFonts w:ascii="Courier New" w:cs="Courier New" w:eastAsia="Courier New" w:hAnsi="Courier New"/>
          <w:sz w:val="14"/>
          <w:szCs w:val="14"/>
          <w:color w:val="auto"/>
        </w:rPr>
      </w:pPr>
    </w:p>
    <w:p>
      <w:pPr>
        <w:jc w:val="both"/>
        <w:ind w:right="3799" w:firstLine="685"/>
        <w:spacing w:after="0" w:line="366" w:lineRule="auto"/>
        <w:tabs>
          <w:tab w:leader="none" w:pos="93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modified or amended herein, all terms and provisions of the Lease shall continue and remain in full force and effect.</w:t>
      </w:r>
    </w:p>
    <w:p>
      <w:pPr>
        <w:spacing w:after="0" w:line="6"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[signatures on the following page]</w:t>
      </w:r>
    </w:p>
    <w:p>
      <w:pPr>
        <w:sectPr>
          <w:pgSz w:w="11900" w:h="16838" w:orient="portrait"/>
          <w:cols w:equalWidth="0" w:num="1">
            <w:col w:w="10159"/>
          </w:cols>
          <w:pgMar w:left="300" w:top="116"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94" w:lineRule="exact"/>
        <w:rPr>
          <w:sz w:val="20"/>
          <w:szCs w:val="20"/>
          <w:color w:val="auto"/>
        </w:rPr>
      </w:pPr>
    </w:p>
    <w:p>
      <w:pPr>
        <w:ind w:right="3539" w:firstLine="678"/>
        <w:spacing w:after="0" w:line="366" w:lineRule="auto"/>
        <w:rPr>
          <w:sz w:val="20"/>
          <w:szCs w:val="20"/>
          <w:color w:val="auto"/>
        </w:rPr>
      </w:pPr>
      <w:r>
        <w:rPr>
          <w:rFonts w:ascii="Courier New" w:cs="Courier New" w:eastAsia="Courier New" w:hAnsi="Courier New"/>
          <w:sz w:val="14"/>
          <w:szCs w:val="14"/>
          <w:color w:val="auto"/>
        </w:rPr>
        <w:t>IN WITNESS WHEREOF, the parties hereto have executed this Amendment as of the date first set forth above:</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LANDLORD:</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PRISON REALTY TRUST, INC.</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By: /s/ Doctor R. Crants</w:t>
      </w:r>
    </w:p>
    <w:p>
      <w:pPr>
        <w:spacing w:after="0" w:line="3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Its: Chief Executive Officer</w:t>
      </w:r>
    </w:p>
    <w:p>
      <w:pPr>
        <w:spacing w:after="0" w:line="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0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TENANT:</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By: /s/ Darrell K. Massengale</w:t>
      </w:r>
    </w:p>
    <w:p>
      <w:pPr>
        <w:spacing w:after="0" w:line="3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Its: Chief Financial Officer and Secretary</w:t>
      </w:r>
    </w:p>
    <w:p>
      <w:pPr>
        <w:spacing w:after="0" w:line="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57"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4"/>
          <w:szCs w:val="14"/>
          <w:color w:val="auto"/>
        </w:rPr>
        <w:t>3</w:t>
      </w:r>
    </w:p>
    <w:p>
      <w:pPr>
        <w:spacing w:after="0" w:line="331" w:lineRule="exact"/>
        <w:rPr>
          <w:sz w:val="20"/>
          <w:szCs w:val="20"/>
          <w:color w:val="auto"/>
        </w:rPr>
      </w:pPr>
    </w:p>
    <w:p>
      <w:pPr>
        <w:jc w:val="right"/>
        <w:ind w:right="6339"/>
        <w:spacing w:after="0"/>
        <w:rPr>
          <w:sz w:val="20"/>
          <w:szCs w:val="20"/>
          <w:color w:val="auto"/>
        </w:rPr>
      </w:pPr>
      <w:r>
        <w:rPr>
          <w:rFonts w:ascii="Courier New" w:cs="Courier New" w:eastAsia="Courier New" w:hAnsi="Courier New"/>
          <w:sz w:val="14"/>
          <w:szCs w:val="14"/>
          <w:color w:val="auto"/>
        </w:rPr>
        <w:t>SCHEDULE A</w:t>
      </w:r>
    </w:p>
    <w:p>
      <w:pPr>
        <w:spacing w:after="0" w:line="331" w:lineRule="exact"/>
        <w:rPr>
          <w:sz w:val="20"/>
          <w:szCs w:val="20"/>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(Transcor)</w:t>
      </w:r>
    </w:p>
    <w:p>
      <w:pPr>
        <w:spacing w:after="0" w:line="30"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(Headquarters)</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(Bent County)</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(Bridgeport)</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(California City)</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(Central Arizona)</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(Cibola County)</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(Cimarron)</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(Coffee)</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(Crossroads)</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(Davis)</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(Diamondback)</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(Eden)</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(Eloy)</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(Houston)</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(Huerfano)</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(Kit Carson)</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(Laredo)</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(Leavenworth)</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(Lee)</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(Marion)</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(Mineral Wells)</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(NM Women's)</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(North Fork)</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(Northeast Ohio)</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(Otter Creek)</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(Prairie)</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(River City)</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(Shelby)</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(T. Don Hutto)</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(Torrance County)</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(Webb County)</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(West Tennessee)</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(Wheeler)</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(Whiteville)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56"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94"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EXHIBIT 10.69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SEVERANCE AGREEMENT</w:t>
      </w:r>
    </w:p>
    <w:p>
      <w:pPr>
        <w:spacing w:after="0" w:line="168" w:lineRule="exact"/>
        <w:rPr>
          <w:sz w:val="20"/>
          <w:szCs w:val="20"/>
          <w:color w:val="auto"/>
        </w:rPr>
      </w:pPr>
    </w:p>
    <w:p>
      <w:pPr>
        <w:ind w:right="3359" w:firstLine="1272"/>
        <w:spacing w:after="0" w:line="263" w:lineRule="auto"/>
        <w:rPr>
          <w:sz w:val="20"/>
          <w:szCs w:val="20"/>
          <w:color w:val="auto"/>
        </w:rPr>
      </w:pPr>
      <w:r>
        <w:rPr>
          <w:rFonts w:ascii="Courier New" w:cs="Courier New" w:eastAsia="Courier New" w:hAnsi="Courier New"/>
          <w:sz w:val="14"/>
          <w:szCs w:val="14"/>
          <w:color w:val="auto"/>
        </w:rPr>
        <w:t>This SEVERANCE AGREEMENT (the "Agreement"), made and entered into as of the 31st day of December, 1999, by and among Prison Realty Trust, Inc., a Maryland corporation, whose principal place of business is located at 10 Burton Hills Blvd., Suite 100, Nashville, Tennessee 37215 (the "Company"), Corrections Corporation of America, a Tennessee corporation, whose principal place of business is located at 10 Burton Hills Blvd., Nashville, Tennessee 37215 ("CCA"), and D. Robert Crants, III, an individual currently residing in Nashville, Davidson County, Tennessee (the "Executive").</w:t>
      </w:r>
    </w:p>
    <w:p>
      <w:pPr>
        <w:spacing w:after="0" w:line="7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WITNESSETH:</w:t>
      </w:r>
    </w:p>
    <w:p>
      <w:pPr>
        <w:spacing w:after="0" w:line="168" w:lineRule="exact"/>
        <w:rPr>
          <w:sz w:val="20"/>
          <w:szCs w:val="20"/>
          <w:color w:val="auto"/>
        </w:rPr>
      </w:pPr>
    </w:p>
    <w:p>
      <w:pPr>
        <w:jc w:val="both"/>
        <w:ind w:right="3619" w:firstLine="1272"/>
        <w:spacing w:after="0" w:line="306" w:lineRule="auto"/>
        <w:rPr>
          <w:sz w:val="20"/>
          <w:szCs w:val="20"/>
          <w:color w:val="auto"/>
        </w:rPr>
      </w:pPr>
      <w:r>
        <w:rPr>
          <w:rFonts w:ascii="Courier New" w:cs="Courier New" w:eastAsia="Courier New" w:hAnsi="Courier New"/>
          <w:sz w:val="14"/>
          <w:szCs w:val="14"/>
          <w:color w:val="auto"/>
        </w:rPr>
        <w:t>WHEREAS, the Executive is currently serving as a member of the Board of Directors of the Company (the "Board") and President of the Company; and</w:t>
      </w:r>
    </w:p>
    <w:p>
      <w:pPr>
        <w:spacing w:after="0" w:line="46" w:lineRule="exact"/>
        <w:rPr>
          <w:sz w:val="20"/>
          <w:szCs w:val="20"/>
          <w:color w:val="auto"/>
        </w:rPr>
      </w:pPr>
    </w:p>
    <w:p>
      <w:pPr>
        <w:ind w:right="3539" w:firstLine="1272"/>
        <w:spacing w:after="0" w:line="306" w:lineRule="auto"/>
        <w:rPr>
          <w:sz w:val="20"/>
          <w:szCs w:val="20"/>
          <w:color w:val="auto"/>
        </w:rPr>
      </w:pPr>
      <w:r>
        <w:rPr>
          <w:rFonts w:ascii="Courier New" w:cs="Courier New" w:eastAsia="Courier New" w:hAnsi="Courier New"/>
          <w:sz w:val="14"/>
          <w:szCs w:val="14"/>
          <w:color w:val="auto"/>
        </w:rPr>
        <w:t>WHEREAS, the Executive has decided to voluntarily resign as an officer and employee of the Company and as a member of the Board, effective as of December 31, 1999 (the "Resignation Date").</w:t>
      </w:r>
    </w:p>
    <w:p>
      <w:pPr>
        <w:spacing w:after="0" w:line="46" w:lineRule="exact"/>
        <w:rPr>
          <w:sz w:val="20"/>
          <w:szCs w:val="20"/>
          <w:color w:val="auto"/>
        </w:rPr>
      </w:pPr>
    </w:p>
    <w:p>
      <w:pPr>
        <w:jc w:val="both"/>
        <w:ind w:right="3459" w:firstLine="1272"/>
        <w:spacing w:after="0" w:line="306" w:lineRule="auto"/>
        <w:rPr>
          <w:sz w:val="20"/>
          <w:szCs w:val="20"/>
          <w:color w:val="auto"/>
        </w:rPr>
      </w:pPr>
      <w:r>
        <w:rPr>
          <w:rFonts w:ascii="Courier New" w:cs="Courier New" w:eastAsia="Courier New" w:hAnsi="Courier New"/>
          <w:sz w:val="14"/>
          <w:szCs w:val="14"/>
          <w:color w:val="auto"/>
        </w:rPr>
        <w:t>NOW, THEREFORE, for and in consideration of the mutual covenants herein contained and other good and valuable consideration, the Company and the Executive hereby agree as follows:</w:t>
      </w:r>
    </w:p>
    <w:p>
      <w:pPr>
        <w:spacing w:after="0" w:line="46" w:lineRule="exact"/>
        <w:rPr>
          <w:sz w:val="20"/>
          <w:szCs w:val="20"/>
          <w:color w:val="auto"/>
        </w:rPr>
      </w:pPr>
    </w:p>
    <w:p>
      <w:pPr>
        <w:ind w:right="3359" w:firstLine="1279"/>
        <w:spacing w:after="0" w:line="261" w:lineRule="auto"/>
        <w:tabs>
          <w:tab w:leader="none" w:pos="1526"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The Executive shall resign as an officer and employee of the Company and as a member of the Board as of the Resignation Date. The Executive and the Company agree that, effective as of the Resignation Date, any and all existing employment agreements with the Company shall be terminated and cease to have any effect whatsoever notwithstanding any survival or saving clauses therein contained, other than with respect to amounts payable to the Executive thereunder prior to the Resignation Date which remain unpaid, and this Agreement shall control any and all matters relating to the Executive's employment and termination thereof following the Resignation Date.</w:t>
      </w:r>
    </w:p>
    <w:p>
      <w:pPr>
        <w:spacing w:after="0" w:line="78" w:lineRule="exact"/>
        <w:rPr>
          <w:rFonts w:ascii="Courier New" w:cs="Courier New" w:eastAsia="Courier New" w:hAnsi="Courier New"/>
          <w:sz w:val="14"/>
          <w:szCs w:val="14"/>
          <w:color w:val="auto"/>
        </w:rPr>
      </w:pPr>
    </w:p>
    <w:p>
      <w:pPr>
        <w:ind w:left="1540" w:hanging="261"/>
        <w:spacing w:after="0"/>
        <w:tabs>
          <w:tab w:leader="none" w:pos="15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Benefits.</w:t>
      </w:r>
    </w:p>
    <w:p>
      <w:pPr>
        <w:spacing w:after="0" w:line="168" w:lineRule="exact"/>
        <w:rPr>
          <w:sz w:val="20"/>
          <w:szCs w:val="20"/>
          <w:color w:val="auto"/>
        </w:rPr>
      </w:pPr>
    </w:p>
    <w:p>
      <w:pPr>
        <w:ind w:right="3359" w:firstLine="1279"/>
        <w:spacing w:after="0" w:line="257" w:lineRule="auto"/>
        <w:tabs>
          <w:tab w:leader="none" w:pos="161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Executive's valued service to the Company, the Company shall pay the Executive, on the Resignation Date, a lump-sum cash payment of $233,750, representing amounts which would otherwise be payable to the Executive pursuant to an Employment Agreement, dated as of June 1, 1997, by and between the Executive and CCA Prison Realty Trust, a Maryland real estate investment trust and predecessor in interest to the Company, the net proceeds of which, less any amounts required to be withheld therefrom by the Company for income and employment tax purposes, shall be used to immediately repay a portion of the promissory notes dated May 18, 1999, May 28, 1999 and July 6, 1999, evidencing the indebtedness of the Executive to the Company in the aggregate face amount of $1,000,000 made under the Prison Realty Corporation Executive Equity Loan Plan (the "Plan") and the terms of the Plan (the "Loan").</w:t>
      </w:r>
    </w:p>
    <w:p>
      <w:pPr>
        <w:sectPr>
          <w:pgSz w:w="11900" w:h="16838" w:orient="portrait"/>
          <w:cols w:equalWidth="0" w:num="1">
            <w:col w:w="10159"/>
          </w:cols>
          <w:pgMar w:left="300" w:top="115" w:right="1440" w:bottom="1440" w:gutter="0" w:footer="0" w:header="0"/>
        </w:sectPr>
      </w:pPr>
    </w:p>
    <w:bookmarkStart w:id="228" w:name="page229"/>
    <w:bookmarkEnd w:id="228"/>
    <w:p>
      <w:pPr>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94" w:lineRule="exact"/>
        <w:rPr>
          <w:sz w:val="20"/>
          <w:szCs w:val="20"/>
          <w:color w:val="auto"/>
        </w:rPr>
      </w:pPr>
    </w:p>
    <w:p>
      <w:pPr>
        <w:ind w:left="-260" w:right="3359" w:firstLine="1279"/>
        <w:spacing w:after="0" w:line="266" w:lineRule="auto"/>
        <w:tabs>
          <w:tab w:leader="none" w:pos="135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Resignation Date, CCA shall repurchase from the Executive one hundred fifty thousand (150,000) shares of the voting common stock of CCA (representing 75% of the Executive's ownership interest in CCA) for $300,000 in cash, which represents the economic value that the remaining shareholders of CCA will receive in the Combination (as defined in Section 2(c) below), the proceeds of which shall be used to immediately repay a portion of the remaining Loan.</w:t>
      </w:r>
    </w:p>
    <w:p>
      <w:pPr>
        <w:spacing w:after="0" w:line="74" w:lineRule="exact"/>
        <w:rPr>
          <w:rFonts w:ascii="Courier New" w:cs="Courier New" w:eastAsia="Courier New" w:hAnsi="Courier New"/>
          <w:sz w:val="14"/>
          <w:szCs w:val="14"/>
          <w:color w:val="auto"/>
        </w:rPr>
      </w:pPr>
    </w:p>
    <w:p>
      <w:pPr>
        <w:ind w:left="-260" w:right="3359" w:firstLine="1279"/>
        <w:spacing w:after="0" w:line="253" w:lineRule="auto"/>
        <w:tabs>
          <w:tab w:leader="none" w:pos="135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closing of the merger of CCA with and into a wholly-owned subsidiary of the Company pursuant to an Agreement and Plan of Merger (the "Agreement and Plan of Merger"), dated as of December 26, 1999, by and between the Company, CCA Acquisition Sub, Inc., PMSI Acquisition Sub, Inc., and JJFMSI Acquisition Sub, Inc., each a Tennessee corporation and a wholly-owned subsidiary of Prison Realty, CCA, Prison Management Services, Inc., a Tennessee corporation ("PMSI"), and Juvenile and Jail Facility Management Services, Inc., a Tennessee corporation ("JJFMSI") (the "Combination"), the Executive shall sell to the Company, and the Company shall purchase from the Executive, fifty thousand (50,000) shares of the voting common stock of CCA (representing the remaining portion of the Executive's ownership interest in CCA) for $100,000, which represents the economic value that the remaining shareholders of CCA will receive in the Combination, the proceeds of which shall be used to immediately repay a portion of the remaining balance of the Loan; provided, however, that the obligation of the parties hereto to consummate such purchase and sale of the Executive's interest in CCA shall be subject to the satisfaction of the conditions set forth in Sections 6.01, 6.02 and 6.05 (except for the conditions set forth in Sections 6.02(i) and (j) and 6.05(d)) of the Agreement and Plan of Merger.</w:t>
      </w:r>
    </w:p>
    <w:p>
      <w:pPr>
        <w:spacing w:after="0" w:line="84" w:lineRule="exact"/>
        <w:rPr>
          <w:rFonts w:ascii="Courier New" w:cs="Courier New" w:eastAsia="Courier New" w:hAnsi="Courier New"/>
          <w:sz w:val="14"/>
          <w:szCs w:val="14"/>
          <w:color w:val="auto"/>
        </w:rPr>
      </w:pPr>
    </w:p>
    <w:p>
      <w:pPr>
        <w:ind w:left="-260" w:right="3359" w:firstLine="1279"/>
        <w:spacing w:after="0" w:line="255" w:lineRule="auto"/>
        <w:tabs>
          <w:tab w:leader="none" w:pos="135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Resignation Date, the terms of the Plan and Loan shall be amended by this Agreement such that immediately following the Resignation Date, the remaining balance of the Loan, as reduced by the payments set forth in Section 2(a) and Section 2(b) of this Agreement, including all interest accrued thereon as of December 31, 1999, shall be subject to the following: (i) interest only payments on the newly constituted Loan (the "New Loan") shall be due and payable on each of the first three anniversaries of the Resignation Date, with such interest to be accrued annually at a rate of two-hundred fifty (250) basis points over the thirty-day LIBOR rate in effect on such date, and (ii) 33-1/3% of the principal amount of the New Loan, and all accrued and unpaid interest thereon, shall become due and payable on each of the fourth, fifth and sixth anniversaries of the Resignation Date. Upon completion of the stock purchase described in Section 2(c) of this Agreement, the remaining balance of the New Loan shall be reduced by an additional $100,000, in accordance with Section 2(c) of this Agreement.</w:t>
      </w:r>
    </w:p>
    <w:p>
      <w:pPr>
        <w:spacing w:after="0" w:line="82" w:lineRule="exact"/>
        <w:rPr>
          <w:sz w:val="20"/>
          <w:szCs w:val="20"/>
          <w:color w:val="auto"/>
        </w:rPr>
      </w:pPr>
    </w:p>
    <w:p>
      <w:pPr>
        <w:ind w:left="-260" w:right="3359" w:firstLine="1279"/>
        <w:spacing w:after="0" w:line="270" w:lineRule="auto"/>
        <w:tabs>
          <w:tab w:leader="none" w:pos="1266"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 Except as expressly provided herein, the Executive's rights under any employee benefit plan, policy or arrangement maintained by either the Company or CCA shall be unaffected by this Agreement, and such rights shall be determined under such plans, policies and arrangements. Under the terms of such plans, policies and arrangements, any stock options or similar rights which have not been exercised by the Executive, and any other</w:t>
      </w:r>
    </w:p>
    <w:p>
      <w:pPr>
        <w:spacing w:after="0" w:line="200" w:lineRule="exact"/>
        <w:rPr>
          <w:sz w:val="20"/>
          <w:szCs w:val="20"/>
          <w:color w:val="auto"/>
        </w:rPr>
      </w:pPr>
    </w:p>
    <w:p>
      <w:pPr>
        <w:spacing w:after="0" w:line="36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99"/>
          </w:cols>
          <w:pgMar w:left="560" w:top="257"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94" w:lineRule="exact"/>
        <w:rPr>
          <w:sz w:val="20"/>
          <w:szCs w:val="20"/>
          <w:color w:val="auto"/>
        </w:rPr>
      </w:pPr>
    </w:p>
    <w:p>
      <w:pPr>
        <w:ind w:right="3699"/>
        <w:spacing w:after="0" w:line="366" w:lineRule="auto"/>
        <w:rPr>
          <w:sz w:val="20"/>
          <w:szCs w:val="20"/>
          <w:color w:val="auto"/>
        </w:rPr>
      </w:pPr>
      <w:r>
        <w:rPr>
          <w:rFonts w:ascii="Courier New" w:cs="Courier New" w:eastAsia="Courier New" w:hAnsi="Courier New"/>
          <w:sz w:val="14"/>
          <w:szCs w:val="14"/>
          <w:color w:val="auto"/>
        </w:rPr>
        <w:t>grants or awards of stock or equity interests in which the Executive has not become vested, shall be terminated or forfeited to the Company.</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4. Release.</w:t>
      </w:r>
    </w:p>
    <w:p>
      <w:pPr>
        <w:spacing w:after="0" w:line="168" w:lineRule="exact"/>
        <w:rPr>
          <w:sz w:val="20"/>
          <w:szCs w:val="20"/>
          <w:color w:val="auto"/>
        </w:rPr>
      </w:pPr>
    </w:p>
    <w:p>
      <w:pPr>
        <w:ind w:right="3359" w:firstLine="1279"/>
        <w:spacing w:after="0" w:line="250" w:lineRule="auto"/>
        <w:tabs>
          <w:tab w:leader="none" w:pos="161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Company's execution of this Agreement, the Executive, for himself, and for his representatives, heirs, executors, administrators, agents, successors and permitted assigns, irrevocably and unconditionally releases, acquits and forever discharges the Company, CCA and their respective subsidiaries, affiliates, divisions, successors and assigns, officers, employees, directors, consultants, attorneys, agents or other associated entities of the Company or CCA (the "Released Parties"), with respect to and from any and all actions, causes of action, suits, debts, sums of money, attorneys' fees, costs, promises, damages, claims, grievances, arbitrations or demands whatsoever, known or unknown, in law or equity, by contract, or pursuant to statute, rule, code or regulation, which the Executive now has or has had from the beginning of the world until the full execution of this Agreement, expressly including, without limiting the generality of the foregoing, all claims arising out of or from or regarding or pertaining to any transaction, dealing, conduct, act or omission, or any other matters or things relating to the Executive's employment relationship (including his position as a director) and/or the termination of the employment relationship, based upon any contract, whether express or implied, or any allegation of illegal employment practices, or breach of any federal, state or local fair employment practice or equal opportunity law, or wage and hour law, as amended, including, but not limited to, the National Labor Relations Act, Title VII of the Civil Rights Act of 1964, Sections 1981 through 1988 of Title 42 of the United States Code, the Immigration Reform Control Act, the Americans With Disabilities Act of 1990, the Family and Medical Leave Act of 1993, the Fair Labor Standards Act, and the Occupational Safety and Health Act. The Executive intends that this Agreement shall irrevocably discharge the Released Parties to the maximum extent permitted by law. Notwithstanding the foregoing, nothing herein shall release the Released Parties or any successors or assigns thereof from the obligations set forth in this Agreement (specifically including the Company's obligations under Section 11 of this Agreement) or impair the right or ability of the Executive to enforce such provisions in accordance with the terms of this Agreement or pursue any claim for benefits due under any "employee benefit plan" within the meaning of Section 3(3) of the Employee Retirement Income Security Act of 1974, as amended. The Executive acknowledges and agrees that if he should hereafter make any claim or demand or commence or threaten to commence any action, claim or proceeding against the Released Parties with respect to any cause, matter or thing which is released by this Section 4(a) of this Agreement, this Section 4(a) may be raised as a complete bar to any such action, claim or proceedings.</w:t>
      </w:r>
    </w:p>
    <w:p>
      <w:pPr>
        <w:spacing w:after="0" w:line="82" w:lineRule="exact"/>
        <w:rPr>
          <w:rFonts w:ascii="Courier New" w:cs="Courier New" w:eastAsia="Courier New" w:hAnsi="Courier New"/>
          <w:sz w:val="14"/>
          <w:szCs w:val="14"/>
          <w:color w:val="auto"/>
        </w:rPr>
      </w:pPr>
    </w:p>
    <w:p>
      <w:pPr>
        <w:ind w:right="3539" w:firstLine="1279"/>
        <w:spacing w:after="0" w:line="266" w:lineRule="auto"/>
        <w:tabs>
          <w:tab w:leader="none" w:pos="161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Executive's execution of this Agreement, the Company and CCA, for themselves and for their subsidiaries, affiliates, divisions, successors and assigns, officers, employees, directors, consultants, attorneys, agents or other associated entities of the Company and CCA (the "Company Releasors"), agree to and do hereby irrevocably and unconditionally release, acquit and forever discharge the Executive, and his heirs, executors, and</w:t>
      </w:r>
    </w:p>
    <w:p>
      <w:pPr>
        <w:spacing w:after="0" w:line="200" w:lineRule="exact"/>
        <w:rPr>
          <w:sz w:val="20"/>
          <w:szCs w:val="20"/>
          <w:color w:val="auto"/>
        </w:rPr>
      </w:pPr>
    </w:p>
    <w:p>
      <w:pPr>
        <w:spacing w:after="0" w:line="3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57"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94" w:lineRule="exact"/>
        <w:rPr>
          <w:sz w:val="20"/>
          <w:szCs w:val="20"/>
          <w:color w:val="auto"/>
        </w:rPr>
      </w:pPr>
    </w:p>
    <w:p>
      <w:pPr>
        <w:ind w:right="3359"/>
        <w:spacing w:after="0" w:line="254" w:lineRule="auto"/>
        <w:rPr>
          <w:sz w:val="20"/>
          <w:szCs w:val="20"/>
          <w:color w:val="auto"/>
        </w:rPr>
      </w:pPr>
      <w:r>
        <w:rPr>
          <w:rFonts w:ascii="Courier New" w:cs="Courier New" w:eastAsia="Courier New" w:hAnsi="Courier New"/>
          <w:sz w:val="14"/>
          <w:szCs w:val="14"/>
          <w:color w:val="auto"/>
        </w:rPr>
        <w:t>administrators (hereinafter collectively referred to as the "Employee Releasees"), with respect to and from any and all actions, causes of action, suits, debts, sums of money, attorneys' fees, costs, promises, damages, claims, grievances, arbitrations or demands whatsoever, known or unknown, in law or equity, by contract, tort or pursuant to statute, rule, code or regulation, which the Company Releasors now have or have had from the beginning of the world until the full execution of this Agreement, relating to the Executive's employment relationship with the Company; provided, however, that nothing herein shall release the Employee Releasees from the obligations set forth in this Agreement (including the New Loan), or impair the right or ability of the Company to enforce such provisions in accordance with the terms of this Agreement. The Company Releasors acknowledge and agree that if they should hereafter make any claim or demand or commence or threaten to commence any action, claim or proceeding against the Employee Releasees with respect to any cause, matter or thing which is released by this Section 4(b) of this Agreement, this Section 4(b) may be raised as a complete bar to any such action, claim or proceedings.</w:t>
      </w:r>
    </w:p>
    <w:p>
      <w:pPr>
        <w:spacing w:after="0" w:line="82" w:lineRule="exact"/>
        <w:rPr>
          <w:sz w:val="20"/>
          <w:szCs w:val="20"/>
          <w:color w:val="auto"/>
        </w:rPr>
      </w:pPr>
    </w:p>
    <w:p>
      <w:pPr>
        <w:ind w:right="3359" w:firstLine="1364"/>
        <w:spacing w:after="0" w:line="254" w:lineRule="auto"/>
        <w:tabs>
          <w:tab w:leader="none" w:pos="161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The Executive acknowledges and agrees that all confidential or proprietary information, including but not limited to, trade secrets, standards, specifications, systems, customer lists, marketing plans and information, financial information, and all other information (collectively, the "Confidential Information"), and all other tangible or intangible items or ideas making up the Confidential Information owned or developed by the Company or CCA and the goodwill associated with them, which (i) has been obtained by the Executive as a result of his employment with the Company, and (ii) is not generally available to the public, shall remain the sole and exclusive property of the Company or CCA, shall not be used by the Executive for any purpose, and shall not be described or disclosed to any party or person without the express written consent of the Company or CCA. The Executive agrees that no copies will be retained of any written Confidential Information, documentary materials, computer hard drives, diskettes, and/or any other electronic storage devices to which the Executive has access in the course of his employment with the Company or CCA, except with the express written consent and permission of the Company or CCA.</w:t>
      </w:r>
    </w:p>
    <w:p>
      <w:pPr>
        <w:spacing w:after="0" w:line="82" w:lineRule="exact"/>
        <w:rPr>
          <w:sz w:val="20"/>
          <w:szCs w:val="20"/>
          <w:color w:val="auto"/>
        </w:rPr>
      </w:pPr>
    </w:p>
    <w:p>
      <w:pPr>
        <w:ind w:right="3359" w:firstLine="678"/>
        <w:spacing w:after="0" w:line="276" w:lineRule="auto"/>
        <w:rPr>
          <w:sz w:val="20"/>
          <w:szCs w:val="20"/>
          <w:color w:val="auto"/>
        </w:rPr>
      </w:pPr>
      <w:r>
        <w:rPr>
          <w:rFonts w:ascii="Courier New" w:cs="Courier New" w:eastAsia="Courier New" w:hAnsi="Courier New"/>
          <w:sz w:val="14"/>
          <w:szCs w:val="14"/>
          <w:color w:val="auto"/>
        </w:rPr>
        <w:t>The Executive will return all Company or CCA property including, but not limited to, Confidential Information, written notes, photographs, memoranda and other similar items, keys, computers, diskettes, other electronic storage devices, and any copies made thereof, obtained in the course of his employment, to the Company or CCA, as the case may be, upon the Resignation Date.</w:t>
      </w:r>
    </w:p>
    <w:p>
      <w:pPr>
        <w:spacing w:after="0" w:line="67" w:lineRule="exact"/>
        <w:rPr>
          <w:sz w:val="20"/>
          <w:szCs w:val="20"/>
          <w:color w:val="auto"/>
        </w:rPr>
      </w:pPr>
    </w:p>
    <w:p>
      <w:pPr>
        <w:ind w:right="3459" w:firstLine="1279"/>
        <w:spacing w:after="0" w:line="261" w:lineRule="auto"/>
        <w:tabs>
          <w:tab w:leader="none" w:pos="1526"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Nature of this Agreement; Non-disparagement. The Executive agrees that the terms of this Agreement shall remain strictly confidential and that there will be no statements (public or private) with respect to the Company, CCA or any other Released Party, or this Agreement. The Executive acknowledges that he has no basis for any negative statements against the Company, CCA or any other Released Party, and he agrees that he will not directly or indirectly make any negative or derogatory statements to any third parties, or imply any improper conduct regarding the Company, CCA or any other Released Party. The Executive</w:t>
      </w:r>
    </w:p>
    <w:p>
      <w:pPr>
        <w:spacing w:after="0" w:line="200" w:lineRule="exact"/>
        <w:rPr>
          <w:sz w:val="20"/>
          <w:szCs w:val="20"/>
          <w:color w:val="auto"/>
        </w:rPr>
      </w:pPr>
    </w:p>
    <w:p>
      <w:pPr>
        <w:spacing w:after="0" w:line="36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57"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94" w:lineRule="exact"/>
        <w:rPr>
          <w:sz w:val="20"/>
          <w:szCs w:val="20"/>
          <w:color w:val="auto"/>
        </w:rPr>
      </w:pPr>
    </w:p>
    <w:p>
      <w:pPr>
        <w:ind w:right="3699"/>
        <w:spacing w:after="0" w:line="276" w:lineRule="auto"/>
        <w:rPr>
          <w:sz w:val="20"/>
          <w:szCs w:val="20"/>
          <w:color w:val="auto"/>
        </w:rPr>
      </w:pPr>
      <w:r>
        <w:rPr>
          <w:rFonts w:ascii="Courier New" w:cs="Courier New" w:eastAsia="Courier New" w:hAnsi="Courier New"/>
          <w:sz w:val="14"/>
          <w:szCs w:val="14"/>
          <w:color w:val="auto"/>
        </w:rPr>
        <w:t>hereby acknowledges and agrees that there are not, nor have there ever been, disagreements between the Company and the Executive regarding the Company's operations, policies or practices which could give rise to the disclosure of such disagreements by the Company in a Current Report on Form 8-K with the United States Securities and Exchange Commission.</w:t>
      </w:r>
    </w:p>
    <w:p>
      <w:pPr>
        <w:spacing w:after="0" w:line="67" w:lineRule="exact"/>
        <w:rPr>
          <w:sz w:val="20"/>
          <w:szCs w:val="20"/>
          <w:color w:val="auto"/>
        </w:rPr>
      </w:pPr>
    </w:p>
    <w:p>
      <w:pPr>
        <w:ind w:right="3359" w:firstLine="1279"/>
        <w:spacing w:after="0" w:line="261" w:lineRule="auto"/>
        <w:tabs>
          <w:tab w:leader="none" w:pos="1526"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Breach. In the event that the Executive violates the provisions of this Sections 1 through 6 of this Agreement, such a violation will be deemed to constitute a material breach of this Agreement. Immediately after such a breach, the Company's obligations under this Agreement shall cease, and the Company shall be entitled to obtain injunctive and/or other appropriate relief in the event of said breach, including but not limited to accelerating the maturity of the entire principal amount of the New Loan, together with all accrued and unpaid interest thereon, with the effect that all amounts shall become immediately due and payable.</w:t>
      </w:r>
    </w:p>
    <w:p>
      <w:pPr>
        <w:spacing w:after="0" w:line="78" w:lineRule="exact"/>
        <w:rPr>
          <w:rFonts w:ascii="Courier New" w:cs="Courier New" w:eastAsia="Courier New" w:hAnsi="Courier New"/>
          <w:sz w:val="14"/>
          <w:szCs w:val="14"/>
          <w:color w:val="auto"/>
        </w:rPr>
      </w:pPr>
    </w:p>
    <w:p>
      <w:pPr>
        <w:ind w:right="3359" w:firstLine="1279"/>
        <w:spacing w:after="0" w:line="253" w:lineRule="auto"/>
        <w:tabs>
          <w:tab w:leader="none" w:pos="1526"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Lease Agreement as Condition to Company's Obligations. Notwithstanding any other provision of this Agreement, the Company shall not be required to perform its obligations under this Agreement until such time as the Company and DC Investment Partners, LLC, a Tennessee limited liability company ("DC Investment Partners"), and/or any affiliated entities, including, without limitation, Burton Hills Limited, L.P., a Tennessee limited partnership, and Four Corners Capital, LLC, a Tennessee limited liability company (collectively, the "Affiliated Entities"), have entered into an agreement of even date herewith relating to the termination of any and all agreements and understandings, whether written or oral, regarding the lease of rentable space in the building known as the Corrections Corporation of America Building, 10 Burton Hills Boulevard, Nashville, Tennessee 37215 by DC Investment Partners or its Affiliated Entities, specifically including, but not limited to, the lease of approximately 2,284 square feet of rentable space in such building, utilized by DC Investment Partners as its principal place of business, pursuant to that certain Lease Agreement, dated as of November 15, 1997, by and between the former Corrections Corporation of America, a Tennessee corporation and predecessor by merger to the Company, and DC Investment Partners.</w:t>
      </w:r>
    </w:p>
    <w:p>
      <w:pPr>
        <w:spacing w:after="0" w:line="89" w:lineRule="exact"/>
        <w:rPr>
          <w:rFonts w:ascii="Courier New" w:cs="Courier New" w:eastAsia="Courier New" w:hAnsi="Courier New"/>
          <w:sz w:val="14"/>
          <w:szCs w:val="14"/>
          <w:color w:val="auto"/>
        </w:rPr>
      </w:pPr>
    </w:p>
    <w:p>
      <w:pPr>
        <w:ind w:right="3459" w:firstLine="1279"/>
        <w:spacing w:after="0" w:line="263" w:lineRule="auto"/>
        <w:tabs>
          <w:tab w:leader="none" w:pos="1526"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is governed by, and is to be construed and enforced in accordance with, the laws of the State of Tennessee, without regard to principles of conflicts of laws. If, under such law, any portion of this Agreement is at any time deemed to be in conflict with any applicable statute, rule, regulation or ordinance, such portion shall be deemed to be modified or altered to conform thereto or, if that is not possible, to be omitted from this Agreement; and the invalidity of any such portion shall not affect the force, effect and validity of the remaining portion hereof.</w:t>
      </w:r>
    </w:p>
    <w:p>
      <w:pPr>
        <w:spacing w:after="0" w:line="77" w:lineRule="exact"/>
        <w:rPr>
          <w:rFonts w:ascii="Courier New" w:cs="Courier New" w:eastAsia="Courier New" w:hAnsi="Courier New"/>
          <w:sz w:val="14"/>
          <w:szCs w:val="14"/>
          <w:color w:val="auto"/>
        </w:rPr>
      </w:pPr>
    </w:p>
    <w:p>
      <w:pPr>
        <w:ind w:right="3359" w:firstLine="1279"/>
        <w:spacing w:after="0" w:line="263" w:lineRule="auto"/>
        <w:tabs>
          <w:tab w:leader="none" w:pos="1611"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under this Agreement shall be in writing and shall be deemed effective when delivered in person (in the Company's or CCA's case, attn.: Secretary) or twenty-four (24) hours after deposit thereof in the U.S. mails, postage prepaid, for delivery as registered or certified mail; addressed, in the case of the Executive, to him at 521 Westview Avenue, Nashville, Tennessee, 37205, and, in the case of the Company or CCA, to its corporate headquarters, attention of the Secretary, or to such other addresses as the Company, CCA and the</w:t>
      </w:r>
    </w:p>
    <w:p>
      <w:pPr>
        <w:spacing w:after="0" w:line="200" w:lineRule="exact"/>
        <w:rPr>
          <w:sz w:val="20"/>
          <w:szCs w:val="20"/>
          <w:color w:val="auto"/>
        </w:rPr>
      </w:pPr>
    </w:p>
    <w:p>
      <w:pPr>
        <w:spacing w:after="0" w:line="36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57"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94" w:lineRule="exact"/>
        <w:rPr>
          <w:sz w:val="20"/>
          <w:szCs w:val="20"/>
          <w:color w:val="auto"/>
        </w:rPr>
      </w:pPr>
    </w:p>
    <w:p>
      <w:pPr>
        <w:jc w:val="both"/>
        <w:ind w:right="3359"/>
        <w:spacing w:after="0" w:line="306" w:lineRule="auto"/>
        <w:rPr>
          <w:sz w:val="20"/>
          <w:szCs w:val="20"/>
          <w:color w:val="auto"/>
        </w:rPr>
      </w:pPr>
      <w:r>
        <w:rPr>
          <w:rFonts w:ascii="Courier New" w:cs="Courier New" w:eastAsia="Courier New" w:hAnsi="Courier New"/>
          <w:sz w:val="14"/>
          <w:szCs w:val="14"/>
          <w:color w:val="auto"/>
        </w:rPr>
        <w:t>Executive may designate in writing at any time or from time to time to the other party. In lieu of personal notice or notice by deposit in the U.S. mail, a party may give notice by facsimile transmission or telex.</w:t>
      </w:r>
    </w:p>
    <w:p>
      <w:pPr>
        <w:spacing w:after="0" w:line="46" w:lineRule="exact"/>
        <w:rPr>
          <w:sz w:val="20"/>
          <w:szCs w:val="20"/>
          <w:color w:val="auto"/>
        </w:rPr>
      </w:pPr>
    </w:p>
    <w:p>
      <w:pPr>
        <w:ind w:right="3359" w:firstLine="1279"/>
        <w:spacing w:after="0" w:line="266" w:lineRule="auto"/>
        <w:tabs>
          <w:tab w:leader="none" w:pos="161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 of Differences Over Breaches of Agreement. Any controversy or claim arising out of, or relating to this Agreement or the breach thereof, shall be settled by binding arbitration in Nashville, Tennessee in accordance with the rules then obtaining of the Employment Dispute Resolution Rules of the American Arbitration Association, and judgment upon the award rendered by the Arbitrator(s) may be entered in any court having jurisdiction thereof.</w:t>
      </w:r>
    </w:p>
    <w:p>
      <w:pPr>
        <w:spacing w:after="0" w:line="74" w:lineRule="exact"/>
        <w:rPr>
          <w:rFonts w:ascii="Courier New" w:cs="Courier New" w:eastAsia="Courier New" w:hAnsi="Courier New"/>
          <w:sz w:val="14"/>
          <w:szCs w:val="14"/>
          <w:color w:val="auto"/>
        </w:rPr>
      </w:pPr>
    </w:p>
    <w:p>
      <w:pPr>
        <w:ind w:right="3359" w:firstLine="1279"/>
        <w:spacing w:after="0" w:line="254" w:lineRule="auto"/>
        <w:tabs>
          <w:tab w:leader="none" w:pos="161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Except as specifically provided herein, this Agreement constitutes the entire understanding between the Company and the Executive relating to the resignation of the Executive and cancels all prior written and oral agreements and understandings with respect to the subject matter of this Agreement, including any and all existing employment agreements with the Company notwithstanding any survival or saving clauses therein contained, other than with respect to amounts payable to the Executive thereunder prior to the Resignation Date which remain unpaid, and this Agreement shall control any and all matters relating to the Executive's employment and termination thereof following the Resignation Date. This Agreement may be amended only by a subsequent written agreement of the Executive and the Company. This Agreement shall be binding upon and shall inure to the benefit of the Executive, his heirs, executors, administrators, beneficiaries and assigns and shall be binding upon and shall inure to the benefit of the Company and its successors. This Agreement may not be assigned except by written agreement of the parties hereto or by operation of law and any assignor shall remain liable under this Agreement without giving effect to such assignment.</w:t>
      </w:r>
    </w:p>
    <w:p>
      <w:pPr>
        <w:spacing w:after="0" w:line="81" w:lineRule="exact"/>
        <w:rPr>
          <w:rFonts w:ascii="Courier New" w:cs="Courier New" w:eastAsia="Courier New" w:hAnsi="Courier New"/>
          <w:sz w:val="14"/>
          <w:szCs w:val="14"/>
          <w:color w:val="auto"/>
        </w:rPr>
      </w:pPr>
    </w:p>
    <w:p>
      <w:pPr>
        <w:ind w:right="3359" w:firstLine="1279"/>
        <w:spacing w:after="0" w:line="261" w:lineRule="auto"/>
        <w:tabs>
          <w:tab w:leader="none" w:pos="161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The Company shall indemnify and hold the Executive harmless, to the fullest extent permitted by applicable state law, the charter or by-laws of the Company, or any contract obligating the Company to fully indemnify and hold the Executive harmless, with regards to actions or inactions in relation to the Executive's service as a director or officer of the Company prior to the Resignation Date and shall maintain, in respect of the Executive, directors and officers insurance coverage for the Executive which is no less favorable than that maintained from time to time for its executives and officers.</w:t>
      </w:r>
    </w:p>
    <w:p>
      <w:pPr>
        <w:spacing w:after="0" w:line="78" w:lineRule="exact"/>
        <w:rPr>
          <w:rFonts w:ascii="Courier New" w:cs="Courier New" w:eastAsia="Courier New" w:hAnsi="Courier New"/>
          <w:sz w:val="14"/>
          <w:szCs w:val="14"/>
          <w:color w:val="auto"/>
        </w:rPr>
      </w:pPr>
    </w:p>
    <w:p>
      <w:pPr>
        <w:ind w:right="3359" w:firstLine="1279"/>
        <w:spacing w:after="0" w:line="270" w:lineRule="auto"/>
        <w:tabs>
          <w:tab w:leader="none" w:pos="161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Noncontravention. The Company represents that all corporate action necessary to enter into this Agreement has been taken, the Company is not prevented from entering into, or performing this Agreement by the terms of any law, order, rule or regulation, its by-laws or charter, or any agreement to which it is a party, and this Agreement represents the binding obligation of the Company and is enforceable in accordance with its terms.</w:t>
      </w:r>
    </w:p>
    <w:p>
      <w:pPr>
        <w:spacing w:after="0" w:line="200" w:lineRule="exact"/>
        <w:rPr>
          <w:sz w:val="20"/>
          <w:szCs w:val="20"/>
          <w:color w:val="auto"/>
        </w:rPr>
      </w:pPr>
    </w:p>
    <w:p>
      <w:pPr>
        <w:spacing w:after="0" w:line="3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57" w:right="1440" w:bottom="1440" w:gutter="0" w:footer="0" w:header="0"/>
        </w:sectPr>
      </w:pPr>
    </w:p>
    <w:bookmarkStart w:id="233" w:name="page234"/>
    <w:bookmarkEnd w:id="233"/>
    <w:p>
      <w:pPr>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right="3459" w:firstLine="1279"/>
        <w:spacing w:after="0" w:line="306" w:lineRule="auto"/>
        <w:tabs>
          <w:tab w:leader="none" w:pos="1351"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Headings. The section headings in this Agreement are for convenience of reference only, and they form no part of this Agreement and shall not affect its interpretation.</w:t>
      </w:r>
    </w:p>
    <w:p>
      <w:pPr>
        <w:spacing w:after="0" w:line="45" w:lineRule="exact"/>
        <w:rPr>
          <w:rFonts w:ascii="Courier New" w:cs="Courier New" w:eastAsia="Courier New" w:hAnsi="Courier New"/>
          <w:sz w:val="14"/>
          <w:szCs w:val="14"/>
          <w:color w:val="auto"/>
        </w:rPr>
      </w:pPr>
    </w:p>
    <w:p>
      <w:pPr>
        <w:jc w:val="both"/>
        <w:ind w:left="-260" w:right="3539" w:firstLine="1279"/>
        <w:spacing w:after="0" w:line="306" w:lineRule="auto"/>
        <w:tabs>
          <w:tab w:leader="none" w:pos="1351"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one or more counterparts, each of which shall be deemed to be an original but all of which together will constitute one and the same instrument.</w:t>
      </w: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[signatures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899"/>
          </w:cols>
          <w:pgMar w:left="560" w:top="257"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4"/>
          <w:szCs w:val="14"/>
          <w:color w:val="auto"/>
        </w:rPr>
        <w:t>8</w:t>
      </w:r>
    </w:p>
    <w:p>
      <w:pPr>
        <w:spacing w:after="0" w:line="331" w:lineRule="exact"/>
        <w:rPr>
          <w:sz w:val="20"/>
          <w:szCs w:val="20"/>
          <w:color w:val="auto"/>
        </w:rPr>
      </w:pPr>
    </w:p>
    <w:p>
      <w:pPr>
        <w:ind w:right="4039" w:firstLine="1272"/>
        <w:spacing w:after="0" w:line="366"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year and day first above written.</w:t>
      </w:r>
    </w:p>
    <w:p>
      <w:pPr>
        <w:spacing w:after="0" w:line="33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PRISON REALTY TRUST, INC.</w:t>
      </w:r>
    </w:p>
    <w:p>
      <w:pPr>
        <w:spacing w:after="0" w:line="331" w:lineRule="exact"/>
        <w:rPr>
          <w:sz w:val="20"/>
          <w:szCs w:val="20"/>
          <w:color w:val="auto"/>
        </w:rPr>
      </w:pPr>
    </w:p>
    <w:p>
      <w:pPr>
        <w:ind w:left="3560"/>
        <w:spacing w:after="0"/>
        <w:tabs>
          <w:tab w:leader="none" w:pos="3980" w:val="left"/>
        </w:tabs>
        <w:rPr>
          <w:sz w:val="20"/>
          <w:szCs w:val="20"/>
          <w:color w:val="auto"/>
        </w:rPr>
      </w:pPr>
      <w:r>
        <w:rPr>
          <w:rFonts w:ascii="Courier New" w:cs="Courier New" w:eastAsia="Courier New" w:hAnsi="Courier New"/>
          <w:sz w:val="14"/>
          <w:szCs w:val="14"/>
          <w:color w:val="auto"/>
        </w:rPr>
        <w:t>By:</w:t>
        <w:tab/>
        <w:t>/s/ Doctor R. Crants</w:t>
      </w:r>
    </w:p>
    <w:p>
      <w:pPr>
        <w:spacing w:after="0" w:line="30"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331" w:lineRule="exact"/>
        <w:rPr>
          <w:sz w:val="20"/>
          <w:szCs w:val="20"/>
          <w:color w:val="auto"/>
        </w:rPr>
      </w:pPr>
    </w:p>
    <w:p>
      <w:pPr>
        <w:ind w:left="3560"/>
        <w:spacing w:after="0"/>
        <w:tabs>
          <w:tab w:leader="none" w:pos="3980" w:val="left"/>
        </w:tabs>
        <w:rPr>
          <w:sz w:val="20"/>
          <w:szCs w:val="20"/>
          <w:color w:val="auto"/>
        </w:rPr>
      </w:pPr>
      <w:r>
        <w:rPr>
          <w:rFonts w:ascii="Courier New" w:cs="Courier New" w:eastAsia="Courier New" w:hAnsi="Courier New"/>
          <w:sz w:val="14"/>
          <w:szCs w:val="14"/>
          <w:color w:val="auto"/>
        </w:rPr>
        <w:t>By:</w:t>
        <w:tab/>
        <w:t>/s/ Doctor R. Crants</w:t>
      </w:r>
    </w:p>
    <w:p>
      <w:pPr>
        <w:spacing w:after="0" w:line="30"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305"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4"/>
          <w:szCs w:val="14"/>
          <w:color w:val="auto"/>
        </w:rPr>
        <w:t>/s/ D. Robert Crants, III</w:t>
      </w:r>
    </w:p>
    <w:p>
      <w:pPr>
        <w:spacing w:after="0" w:line="30"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D. ROBERT CRANTS, III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57"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94"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EXHIBIT 10.70</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SEVERANCE AGREEMENT</w:t>
      </w:r>
    </w:p>
    <w:p>
      <w:pPr>
        <w:spacing w:after="0" w:line="168" w:lineRule="exact"/>
        <w:rPr>
          <w:sz w:val="20"/>
          <w:szCs w:val="20"/>
          <w:color w:val="auto"/>
        </w:rPr>
      </w:pPr>
    </w:p>
    <w:p>
      <w:pPr>
        <w:ind w:right="3359" w:firstLine="1272"/>
        <w:spacing w:after="0" w:line="263" w:lineRule="auto"/>
        <w:rPr>
          <w:sz w:val="20"/>
          <w:szCs w:val="20"/>
          <w:color w:val="auto"/>
        </w:rPr>
      </w:pPr>
      <w:r>
        <w:rPr>
          <w:rFonts w:ascii="Courier New" w:cs="Courier New" w:eastAsia="Courier New" w:hAnsi="Courier New"/>
          <w:sz w:val="14"/>
          <w:szCs w:val="14"/>
          <w:color w:val="auto"/>
        </w:rPr>
        <w:t>This SEVERANCE AGREEMENT (the "Agreement"), made and entered into as of the 31st day of December, 1999, by and among Prison Realty Trust, Inc., a Maryland corporation, whose principal place of business is located at 10 Burton Hills Blvd., Suite 100, Nashville, Tennessee 37215 (the "Company"), Corrections Corporation of America, a Tennessee corporation, whose principal place of business is located at 10 Burton Hills Blvd., Nashville, Tennessee 37215 ("CCA"), and Michael W. Devlin, an individual currently residing in Nashville, Davidson County, Tennessee (the "Executive").</w:t>
      </w:r>
    </w:p>
    <w:p>
      <w:pPr>
        <w:spacing w:after="0" w:line="7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WITNESSETH:</w:t>
      </w:r>
    </w:p>
    <w:p>
      <w:pPr>
        <w:spacing w:after="0" w:line="168" w:lineRule="exact"/>
        <w:rPr>
          <w:sz w:val="20"/>
          <w:szCs w:val="20"/>
          <w:color w:val="auto"/>
        </w:rPr>
      </w:pPr>
    </w:p>
    <w:p>
      <w:pPr>
        <w:ind w:right="3539" w:firstLine="1272"/>
        <w:spacing w:after="0" w:line="306" w:lineRule="auto"/>
        <w:rPr>
          <w:sz w:val="20"/>
          <w:szCs w:val="20"/>
          <w:color w:val="auto"/>
        </w:rPr>
      </w:pPr>
      <w:r>
        <w:rPr>
          <w:rFonts w:ascii="Courier New" w:cs="Courier New" w:eastAsia="Courier New" w:hAnsi="Courier New"/>
          <w:sz w:val="14"/>
          <w:szCs w:val="14"/>
          <w:color w:val="auto"/>
        </w:rPr>
        <w:t>WHEREAS, the Executive is currently serving as a member of the Board of Directors of the Company (the "Board") and Chief Operating Officer of the Company; and</w:t>
      </w:r>
    </w:p>
    <w:p>
      <w:pPr>
        <w:spacing w:after="0" w:line="46" w:lineRule="exact"/>
        <w:rPr>
          <w:sz w:val="20"/>
          <w:szCs w:val="20"/>
          <w:color w:val="auto"/>
        </w:rPr>
      </w:pPr>
    </w:p>
    <w:p>
      <w:pPr>
        <w:ind w:right="3539" w:firstLine="1272"/>
        <w:spacing w:after="0" w:line="306" w:lineRule="auto"/>
        <w:rPr>
          <w:sz w:val="20"/>
          <w:szCs w:val="20"/>
          <w:color w:val="auto"/>
        </w:rPr>
      </w:pPr>
      <w:r>
        <w:rPr>
          <w:rFonts w:ascii="Courier New" w:cs="Courier New" w:eastAsia="Courier New" w:hAnsi="Courier New"/>
          <w:sz w:val="14"/>
          <w:szCs w:val="14"/>
          <w:color w:val="auto"/>
        </w:rPr>
        <w:t>WHEREAS, the Executive has decided to voluntarily resign as an officer and employee of the Company and as a member of the Board, effective as of December 31, 1999 (the "Resignation Date").</w:t>
      </w:r>
    </w:p>
    <w:p>
      <w:pPr>
        <w:spacing w:after="0" w:line="46" w:lineRule="exact"/>
        <w:rPr>
          <w:sz w:val="20"/>
          <w:szCs w:val="20"/>
          <w:color w:val="auto"/>
        </w:rPr>
      </w:pPr>
    </w:p>
    <w:p>
      <w:pPr>
        <w:jc w:val="both"/>
        <w:ind w:right="3459" w:firstLine="1272"/>
        <w:spacing w:after="0" w:line="306" w:lineRule="auto"/>
        <w:rPr>
          <w:sz w:val="20"/>
          <w:szCs w:val="20"/>
          <w:color w:val="auto"/>
        </w:rPr>
      </w:pPr>
      <w:r>
        <w:rPr>
          <w:rFonts w:ascii="Courier New" w:cs="Courier New" w:eastAsia="Courier New" w:hAnsi="Courier New"/>
          <w:sz w:val="14"/>
          <w:szCs w:val="14"/>
          <w:color w:val="auto"/>
        </w:rPr>
        <w:t>NOW, THEREFORE, for and in consideration of the mutual covenants herein contained and other good and valuable consideration, the Company and the Executive hereby agree as follows:</w:t>
      </w:r>
    </w:p>
    <w:p>
      <w:pPr>
        <w:spacing w:after="0" w:line="46" w:lineRule="exact"/>
        <w:rPr>
          <w:sz w:val="20"/>
          <w:szCs w:val="20"/>
          <w:color w:val="auto"/>
        </w:rPr>
      </w:pPr>
    </w:p>
    <w:p>
      <w:pPr>
        <w:ind w:right="3359" w:firstLine="1279"/>
        <w:spacing w:after="0" w:line="261" w:lineRule="auto"/>
        <w:tabs>
          <w:tab w:leader="none" w:pos="1526"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The Executive shall resign as an officer and employee of the Company and as a member of the Board as of the Resignation Date. The Executive and the Company agree that, effective as of the Resignation Date, any and all existing employment agreements with the Company shall be terminated and cease to have any effect whatsoever notwithstanding any survival or saving clauses therein contained, other than with respect to amounts payable to the Executive thereunder prior to the Resignation Date which remain unpaid, and this Agreement shall control any and all matters relating to the Executive's employment and termination thereof following the Resignation Date.</w:t>
      </w:r>
    </w:p>
    <w:p>
      <w:pPr>
        <w:spacing w:after="0" w:line="78" w:lineRule="exact"/>
        <w:rPr>
          <w:rFonts w:ascii="Courier New" w:cs="Courier New" w:eastAsia="Courier New" w:hAnsi="Courier New"/>
          <w:sz w:val="14"/>
          <w:szCs w:val="14"/>
          <w:color w:val="auto"/>
        </w:rPr>
      </w:pPr>
    </w:p>
    <w:p>
      <w:pPr>
        <w:ind w:left="1540" w:hanging="261"/>
        <w:spacing w:after="0"/>
        <w:tabs>
          <w:tab w:leader="none" w:pos="15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Benefits.</w:t>
      </w:r>
    </w:p>
    <w:p>
      <w:pPr>
        <w:spacing w:after="0" w:line="168" w:lineRule="exact"/>
        <w:rPr>
          <w:sz w:val="20"/>
          <w:szCs w:val="20"/>
          <w:color w:val="auto"/>
        </w:rPr>
      </w:pPr>
    </w:p>
    <w:p>
      <w:pPr>
        <w:ind w:right="3359" w:firstLine="1279"/>
        <w:spacing w:after="0" w:line="257" w:lineRule="auto"/>
        <w:tabs>
          <w:tab w:leader="none" w:pos="1611"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Executive's valued service to the Company, the Company shall pay the Executive, on the Resignation Date, a lump-sum cash payment of $233,750, representing amounts which would otherwise be payable to the Executive pursuant to an Employment Agreement, dated as of June 1, 1997, by and between the Executive and CCA Prison Realty Trust, a Maryland real estate investment trust and predecessor in interest to the Company, the net proceeds of which, less any amounts required to be withheld therefrom by the Company for income and employment tax purposes, shall be used to immediately repay a portion of the promissory notes dated May 18, 1999, May 28, 1999 and July 6, 1999, evidencing the indebtedness of the Executive to the Company in the aggregate face amount of $1,000,000 made under the Prison Realty Corporation Executive Equity Loan Plan (the "Plan") and the terms of the Plan (the "Loan").</w:t>
      </w:r>
    </w:p>
    <w:p>
      <w:pPr>
        <w:sectPr>
          <w:pgSz w:w="11900" w:h="16838" w:orient="portrait"/>
          <w:cols w:equalWidth="0" w:num="1">
            <w:col w:w="10159"/>
          </w:cols>
          <w:pgMar w:left="300" w:top="116" w:right="1440" w:bottom="1440" w:gutter="0" w:footer="0" w:header="0"/>
        </w:sectPr>
      </w:pPr>
    </w:p>
    <w:bookmarkStart w:id="236" w:name="page237"/>
    <w:bookmarkEnd w:id="236"/>
    <w:p>
      <w:pPr>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94" w:lineRule="exact"/>
        <w:rPr>
          <w:sz w:val="20"/>
          <w:szCs w:val="20"/>
          <w:color w:val="auto"/>
        </w:rPr>
      </w:pPr>
    </w:p>
    <w:p>
      <w:pPr>
        <w:ind w:left="-260" w:right="3359" w:firstLine="1279"/>
        <w:spacing w:after="0" w:line="266" w:lineRule="auto"/>
        <w:tabs>
          <w:tab w:leader="none" w:pos="135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Resignation Date, CCA shall repurchase from the Executive one hundred fifty thousand (150,000) shares of the voting common stock of CCA (representing 75% of the Executive's ownership interest in CCA) for $300,000 in cash, which represents the economic value that the remaining shareholders of CCA will receive in the Combination (as defined in Section 2(c) below), the proceeds of which shall be used to immediately repay a portion of the remaining Loan.</w:t>
      </w:r>
    </w:p>
    <w:p>
      <w:pPr>
        <w:spacing w:after="0" w:line="74" w:lineRule="exact"/>
        <w:rPr>
          <w:rFonts w:ascii="Courier New" w:cs="Courier New" w:eastAsia="Courier New" w:hAnsi="Courier New"/>
          <w:sz w:val="14"/>
          <w:szCs w:val="14"/>
          <w:color w:val="auto"/>
        </w:rPr>
      </w:pPr>
    </w:p>
    <w:p>
      <w:pPr>
        <w:ind w:left="-260" w:right="3359" w:firstLine="1279"/>
        <w:spacing w:after="0" w:line="253" w:lineRule="auto"/>
        <w:tabs>
          <w:tab w:leader="none" w:pos="135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closing of the merger of CCA with and into a wholly-owned subsidiary of the Company pursuant to an Agreement and Plan of Merger (the "Agreement and Plan of Merger"), dated as of December 26, 1999, by and between the Company, CCA Acquisition Sub, Inc., PMSI Acquisition Sub, Inc., and JJFMSI Acquisition Sub, Inc., each a Tennessee corporation and a wholly-owned subsidiary of Prison Realty, CCA, Prison Management Services, Inc., a Tennessee corporation ("PMSI"), and Juvenile and Jail Facility Management Services, Inc., a Tennessee corporation ("JJFMSI") (the "Combination"), the Executive shall sell to the Company, and the Company shall purchase from the Executive, fifty thousand (50,000) shares of the voting common stock of CCA (representing the remaining portion of the Executive's ownership interest in CCA) for $100,000, which represents the economic value that the remaining shareholders of CCA will receive in the Combination, the proceeds of which shall be used to immediately repay a portion of the remaining balance of the Loan; provided, however, that the obligation of the parties hereto to consummate such purchase and sale of the Executive's interest in CCA shall be subject to the satisfaction of the conditions set forth in Sections 6.01, 6.02 and 6.05 (except for the conditions set forth in Sections 6.02(i) and (j) and 6.05(d)) of the Agreement and Plan of Merger.</w:t>
      </w:r>
    </w:p>
    <w:p>
      <w:pPr>
        <w:spacing w:after="0" w:line="84" w:lineRule="exact"/>
        <w:rPr>
          <w:rFonts w:ascii="Courier New" w:cs="Courier New" w:eastAsia="Courier New" w:hAnsi="Courier New"/>
          <w:sz w:val="14"/>
          <w:szCs w:val="14"/>
          <w:color w:val="auto"/>
        </w:rPr>
      </w:pPr>
    </w:p>
    <w:p>
      <w:pPr>
        <w:ind w:left="-260" w:right="3359" w:firstLine="1279"/>
        <w:spacing w:after="0" w:line="255" w:lineRule="auto"/>
        <w:tabs>
          <w:tab w:leader="none" w:pos="135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Resignation Date, the terms of the Plan and Loan shall be amended by this Agreement such that immediately following the Resignation Date, the remaining balance of the Loan, as reduced by the payments set forth in Section 2(a) and Section 2(b) of this Agreement, including all interest accrued thereon as of December 31, 1999, shall be subject to the following: (i) interest only payments on the newly constituted Loan (the "New Loan") shall be due and payable on each of the first three anniversaries of the Resignation Date, with such interest to be accrued annually at a rate of two-hundred fifty (250) basis points over the thirty-day LIBOR rate in effect on such date, and (ii) 33-1/3% of the principal amount of the New Loan, and all accrued and unpaid interest thereon, shall become due and payable on each of the fourth, fifth and sixth anniversaries of the Resignation Date. Upon completion of the stock purchase described in Section 2(c) of this Agreement, the remaining balance of the New Loan shall be reduced by an additional $100,000, in accordance with Section 2(c) of this Agreement.</w:t>
      </w:r>
    </w:p>
    <w:p>
      <w:pPr>
        <w:spacing w:after="0" w:line="82" w:lineRule="exact"/>
        <w:rPr>
          <w:sz w:val="20"/>
          <w:szCs w:val="20"/>
          <w:color w:val="auto"/>
        </w:rPr>
      </w:pPr>
    </w:p>
    <w:p>
      <w:pPr>
        <w:ind w:left="-260" w:right="3359" w:firstLine="1279"/>
        <w:spacing w:after="0" w:line="270" w:lineRule="auto"/>
        <w:tabs>
          <w:tab w:leader="none" w:pos="1266"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 Except as expressly provided herein, the Executive's rights under any employee benefit plan, policy or arrangement maintained by either the Company or CCA shall be unaffected by this Agreement, and such rights shall be determined under such plans, policies and arrangements. Under the terms of such plans, policies and arrangements, any stock options or similar rights which have not been exercised by the Executive, and any other</w:t>
      </w:r>
    </w:p>
    <w:p>
      <w:pPr>
        <w:spacing w:after="0" w:line="200" w:lineRule="exact"/>
        <w:rPr>
          <w:sz w:val="20"/>
          <w:szCs w:val="20"/>
          <w:color w:val="auto"/>
        </w:rPr>
      </w:pPr>
    </w:p>
    <w:p>
      <w:pPr>
        <w:spacing w:after="0" w:line="36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99"/>
          </w:cols>
          <w:pgMar w:left="560" w:top="257"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94" w:lineRule="exact"/>
        <w:rPr>
          <w:sz w:val="20"/>
          <w:szCs w:val="20"/>
          <w:color w:val="auto"/>
        </w:rPr>
      </w:pPr>
    </w:p>
    <w:p>
      <w:pPr>
        <w:ind w:right="3699"/>
        <w:spacing w:after="0" w:line="366" w:lineRule="auto"/>
        <w:rPr>
          <w:sz w:val="20"/>
          <w:szCs w:val="20"/>
          <w:color w:val="auto"/>
        </w:rPr>
      </w:pPr>
      <w:r>
        <w:rPr>
          <w:rFonts w:ascii="Courier New" w:cs="Courier New" w:eastAsia="Courier New" w:hAnsi="Courier New"/>
          <w:sz w:val="14"/>
          <w:szCs w:val="14"/>
          <w:color w:val="auto"/>
        </w:rPr>
        <w:t>grants or awards of stock or equity interests in which the Executive has not become vested, shall be terminated or forfeited to the Company.</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4. Release.</w:t>
      </w:r>
    </w:p>
    <w:p>
      <w:pPr>
        <w:spacing w:after="0" w:line="168" w:lineRule="exact"/>
        <w:rPr>
          <w:sz w:val="20"/>
          <w:szCs w:val="20"/>
          <w:color w:val="auto"/>
        </w:rPr>
      </w:pPr>
    </w:p>
    <w:p>
      <w:pPr>
        <w:ind w:right="3359" w:firstLine="1279"/>
        <w:spacing w:after="0" w:line="250" w:lineRule="auto"/>
        <w:tabs>
          <w:tab w:leader="none" w:pos="161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Company's execution of this Agreement, the Executive, for himself, and for his representatives, heirs, executors, administrators, agents, successors and permitted assigns, irrevocably and unconditionally releases, acquits and forever discharges the Company, CCA and their respective subsidiaries, affiliates, divisions, successors and assigns, officers, employees, directors, consultants, attorneys, agents or other associated entities of the Company or CCA (the "Released Parties"), with respect to and from any and all actions, causes of action, suits, debts, sums of money, attorneys' fees, costs, promises, damages, claims, grievances, arbitrations or demands whatsoever, known or unknown, in law or equity, by contract, or pursuant to statute, rule, code or regulation, which the Executive now has or has had from the beginning of the world until the full execution of this Agreement, expressly including, without limiting the generality of the foregoing, all claims arising out of or from or regarding or pertaining to any transaction, dealing, conduct, act or omission, or any other matters or things relating to the Executive's employment relationship (including his position as a director) and/or the termination of the employment relationship, based upon any contract, whether express or implied, or any allegation of illegal employment practices, or breach of any federal, state or local fair employment practice or equal opportunity law, or wage and hour law, as amended, including, but not limited to, the National Labor Relations Act, Title VII of the Civil Rights Act of 1964, Sections 1981 through 1988 of Title 42 of the United States Code, the Immigration Reform Control Act, the Americans With Disabilities Act of 1990, the Family and Medical Leave Act of 1993, the Fair Labor Standards Act, and the Occupational Safety and Health Act. The Executive intends that this Agreement shall irrevocably discharge the Released Parties to the maximum extent permitted by law. Notwithstanding the foregoing, nothing herein shall release the Released Parties or any successors or assigns thereof from the obligations set forth in this Agreement (specifically including the Company's obligations under Section 11 of this Agreement) or impair the right or ability of the Executive to enforce such provisions in accordance with the terms of this Agreement or pursue any claim for benefits due under any "employee benefit plan" within the meaning of Section 3(3) of the Employee Retirement Income Security Act of 1974, as amended. The Executive acknowledges and agrees that if he should hereafter make any claim or demand or commence or threaten to commence any action, claim or proceeding against the Released Parties with respect to any cause, matter or thing which is released by this Section 4(a) of this Agreement, this Section 4(a) may be raised as a complete bar to any such action, claim or proceedings.</w:t>
      </w:r>
    </w:p>
    <w:p>
      <w:pPr>
        <w:spacing w:after="0" w:line="82" w:lineRule="exact"/>
        <w:rPr>
          <w:rFonts w:ascii="Courier New" w:cs="Courier New" w:eastAsia="Courier New" w:hAnsi="Courier New"/>
          <w:sz w:val="14"/>
          <w:szCs w:val="14"/>
          <w:color w:val="auto"/>
        </w:rPr>
      </w:pPr>
    </w:p>
    <w:p>
      <w:pPr>
        <w:ind w:right="3539" w:firstLine="1279"/>
        <w:spacing w:after="0" w:line="266" w:lineRule="auto"/>
        <w:tabs>
          <w:tab w:leader="none" w:pos="161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Executive's execution of this Agreement, the Company and CCA, for themselves and for their subsidiaries, affiliates, divisions, successors and assigns, officers, employees, directors, consultants, attorneys, agents or other associated entities of the Company and CCA (the "Company Releasors"), agree to and do hereby irrevocably and unconditionally release, acquit and forever discharge the Executive, and his heirs, executors, and</w:t>
      </w:r>
    </w:p>
    <w:p>
      <w:pPr>
        <w:spacing w:after="0" w:line="200" w:lineRule="exact"/>
        <w:rPr>
          <w:sz w:val="20"/>
          <w:szCs w:val="20"/>
          <w:color w:val="auto"/>
        </w:rPr>
      </w:pPr>
    </w:p>
    <w:p>
      <w:pPr>
        <w:spacing w:after="0" w:line="3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57"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94" w:lineRule="exact"/>
        <w:rPr>
          <w:sz w:val="20"/>
          <w:szCs w:val="20"/>
          <w:color w:val="auto"/>
        </w:rPr>
      </w:pPr>
    </w:p>
    <w:p>
      <w:pPr>
        <w:ind w:right="3359"/>
        <w:spacing w:after="0" w:line="254" w:lineRule="auto"/>
        <w:rPr>
          <w:sz w:val="20"/>
          <w:szCs w:val="20"/>
          <w:color w:val="auto"/>
        </w:rPr>
      </w:pPr>
      <w:r>
        <w:rPr>
          <w:rFonts w:ascii="Courier New" w:cs="Courier New" w:eastAsia="Courier New" w:hAnsi="Courier New"/>
          <w:sz w:val="14"/>
          <w:szCs w:val="14"/>
          <w:color w:val="auto"/>
        </w:rPr>
        <w:t>administrators (hereinafter collectively referred to as the "Employee Releasees"), with respect to and from any and all actions, causes of action, suits, debts, sums of money, attorneys' fees, costs, promises, damages, claims, grievances, arbitrations or demands whatsoever, known or unknown, in law or equity, by contract, tort or pursuant to statute, rule, code or regulation, which the Company Releasors now have or have had from the beginning of the world until the full execution of this Agreement, relating to the Executive's employment relationship with the Company; provided, however, that nothing herein shall release the Employee Releasees from the obligation set forth in this Agreement (including the New Loan), or impair the right or ability of the Company to enforce such provisions in accordance with the terms of this Agreement. The Company Releasors acknowledge and agree that if they should hereafter make any claim or demand or commence or threaten to commence any action, claim or proceeding against the Employee Releasees with respect to any cause, matter or thing which is released by this Section 4(b) of this Agreement, this Section 4(b) may be raised as a complete bar to any such action, claim or proceedings.</w:t>
      </w:r>
    </w:p>
    <w:p>
      <w:pPr>
        <w:spacing w:after="0" w:line="82" w:lineRule="exact"/>
        <w:rPr>
          <w:sz w:val="20"/>
          <w:szCs w:val="20"/>
          <w:color w:val="auto"/>
        </w:rPr>
      </w:pPr>
    </w:p>
    <w:p>
      <w:pPr>
        <w:ind w:right="3359" w:firstLine="1364"/>
        <w:spacing w:after="0" w:line="254" w:lineRule="auto"/>
        <w:tabs>
          <w:tab w:leader="none" w:pos="1611"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The Executive acknowledges and agrees that all confidential or proprietary information, including but not limited to, trade secrets, standards, specifications, systems, customer lists, marketing plans and information, financial information, and all other information (collectively, the "Confidential Information"), and all other tangible or intangible items or ideas making up the Confidential Information owned or developed by the Company or CCA and the goodwill associated with them, which (i) has been obtained by the Executive as a result of his employment with the Company, and (ii) is not generally available to the public, shall remain the sole and exclusive property of the Company or CCA, shall not be used by the Executive for any purpose, and shall not be described or disclosed to any party or person without the express written consent of the Company or CCA. The Executive agrees that no copies will be retained of any written Confidential Information, documentary materials, computer hard drives, diskettes, and/or any other electronic storage devices to which the Executive has access in the course of his employment with the Company or CCA, except with the express written consent and permission of the Company or CCA.</w:t>
      </w:r>
    </w:p>
    <w:p>
      <w:pPr>
        <w:spacing w:after="0" w:line="82" w:lineRule="exact"/>
        <w:rPr>
          <w:sz w:val="20"/>
          <w:szCs w:val="20"/>
          <w:color w:val="auto"/>
        </w:rPr>
      </w:pPr>
    </w:p>
    <w:p>
      <w:pPr>
        <w:ind w:right="3359" w:firstLine="678"/>
        <w:spacing w:after="0" w:line="276" w:lineRule="auto"/>
        <w:rPr>
          <w:sz w:val="20"/>
          <w:szCs w:val="20"/>
          <w:color w:val="auto"/>
        </w:rPr>
      </w:pPr>
      <w:r>
        <w:rPr>
          <w:rFonts w:ascii="Courier New" w:cs="Courier New" w:eastAsia="Courier New" w:hAnsi="Courier New"/>
          <w:sz w:val="14"/>
          <w:szCs w:val="14"/>
          <w:color w:val="auto"/>
        </w:rPr>
        <w:t>The Executive will return all Company or CCA property including, but not limited to, Confidential Information, written notes, photographs, memoranda and other similar items, keys, computers, diskettes, other electronic storage devices, and any copies made thereof, obtained in the course of his employment, to the Company or CCA, as the case may be, upon the Resignation Date.</w:t>
      </w:r>
    </w:p>
    <w:p>
      <w:pPr>
        <w:spacing w:after="0" w:line="67" w:lineRule="exact"/>
        <w:rPr>
          <w:sz w:val="20"/>
          <w:szCs w:val="20"/>
          <w:color w:val="auto"/>
        </w:rPr>
      </w:pPr>
    </w:p>
    <w:p>
      <w:pPr>
        <w:ind w:right="3459" w:firstLine="1279"/>
        <w:spacing w:after="0" w:line="261" w:lineRule="auto"/>
        <w:tabs>
          <w:tab w:leader="none" w:pos="1526"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Nature of this Agreement; Non-disparagement. The Executive agrees that the terms of this Agreement shall remain strictly confidential and that there will be no statements (public or private) with respect to the Company, CCA or any other Released Party, or this Agreement. The Executive acknowledges that he has no basis for any negative statements against the Company, CCA or any other Released Party, and he agrees that he will not directly or indirectly make any negative or derogatory statements to any third parties, or imply any improper conduct regarding the Company, CCA or any other Released Party. The Executive</w:t>
      </w:r>
    </w:p>
    <w:p>
      <w:pPr>
        <w:spacing w:after="0" w:line="200" w:lineRule="exact"/>
        <w:rPr>
          <w:sz w:val="20"/>
          <w:szCs w:val="20"/>
          <w:color w:val="auto"/>
        </w:rPr>
      </w:pPr>
    </w:p>
    <w:p>
      <w:pPr>
        <w:spacing w:after="0" w:line="36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57"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94" w:lineRule="exact"/>
        <w:rPr>
          <w:sz w:val="20"/>
          <w:szCs w:val="20"/>
          <w:color w:val="auto"/>
        </w:rPr>
      </w:pPr>
    </w:p>
    <w:p>
      <w:pPr>
        <w:ind w:right="3359"/>
        <w:spacing w:after="0" w:line="276" w:lineRule="auto"/>
        <w:rPr>
          <w:sz w:val="20"/>
          <w:szCs w:val="20"/>
          <w:color w:val="auto"/>
        </w:rPr>
      </w:pPr>
      <w:r>
        <w:rPr>
          <w:rFonts w:ascii="Courier New" w:cs="Courier New" w:eastAsia="Courier New" w:hAnsi="Courier New"/>
          <w:sz w:val="14"/>
          <w:szCs w:val="14"/>
          <w:color w:val="auto"/>
        </w:rPr>
        <w:t>hereby acknowledges and agrees that there are not, nor have there ever been, disagreements between the Company and the Executive regarding the Company's operations, policies or practices which could give rise to the disclosure of such disagreement by the Company in a Current Report on Form 8-K with the United States Securities and Exchange Commission.</w:t>
      </w:r>
    </w:p>
    <w:p>
      <w:pPr>
        <w:spacing w:after="0" w:line="67" w:lineRule="exact"/>
        <w:rPr>
          <w:sz w:val="20"/>
          <w:szCs w:val="20"/>
          <w:color w:val="auto"/>
        </w:rPr>
      </w:pPr>
    </w:p>
    <w:p>
      <w:pPr>
        <w:ind w:right="3359" w:firstLine="1279"/>
        <w:spacing w:after="0" w:line="261" w:lineRule="auto"/>
        <w:tabs>
          <w:tab w:leader="none" w:pos="152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Breach. In the event that the Executive violates the provisions of this Sections 1 through 6 of this Agreement, such a violation will be deemed to constitute a material breach of this Agreement. Immediately after such a breach, the Company's obligations under this Agreement shall cease, and the Company shall be entitled to obtain injunctive and/or other appropriate relief in the event of said breach, including but not limited to accelerating the maturity entire principal amount of the New Loan, together with all accrued and unpaid interest thereon, with the effect that such that all such amounts shall become immediately due and payable.</w:t>
      </w:r>
    </w:p>
    <w:p>
      <w:pPr>
        <w:spacing w:after="0" w:line="78" w:lineRule="exact"/>
        <w:rPr>
          <w:rFonts w:ascii="Courier New" w:cs="Courier New" w:eastAsia="Courier New" w:hAnsi="Courier New"/>
          <w:sz w:val="14"/>
          <w:szCs w:val="14"/>
          <w:color w:val="auto"/>
        </w:rPr>
      </w:pPr>
    </w:p>
    <w:p>
      <w:pPr>
        <w:ind w:right="3359" w:firstLine="1279"/>
        <w:spacing w:after="0" w:line="253" w:lineRule="auto"/>
        <w:tabs>
          <w:tab w:leader="none" w:pos="152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Lease Agreement as Condition to Company's Obligations. Notwithstanding any other provision of this Agreement, the Company shall not be required to perform its obligations under this Agreement until such time as the Company and DC Investment Partners, LLC, a Tennessee limited liability company ("DC Investment Partners"), and/or any affiliated entities, including, without limitation, Burton Hills Limited, L.P., a Tennessee limited partnership, and Four Corners Capital, LLC, a Tennessee limited liability company (collectively, the "Affiliated Entities"), have entered into an agreement of even date herewith relating to the termination of any and all agreements and understandings, whether written or oral, regarding the lease of rentable space in the building known as the Corrections Corporation of America Building, 10 Burton Hills Boulevard, Nashville, Tennessee 37215 by DC Investment Partners or its Affiliated Entities, specifically including, but not limited to, the lease of approximately 2,284 square feet of rentable space in such building, utilized by DC Investment Partners as its principal place of business, pursuant to that certain Lease Agreement, dated as of November 15, 1997, by and between the former Corrections Corporation of America, a Tennessee corporation and predecessor by merger to the Company, and DC Investment Partners.</w:t>
      </w:r>
    </w:p>
    <w:p>
      <w:pPr>
        <w:spacing w:after="0" w:line="89" w:lineRule="exact"/>
        <w:rPr>
          <w:rFonts w:ascii="Courier New" w:cs="Courier New" w:eastAsia="Courier New" w:hAnsi="Courier New"/>
          <w:sz w:val="14"/>
          <w:szCs w:val="14"/>
          <w:color w:val="auto"/>
        </w:rPr>
      </w:pPr>
    </w:p>
    <w:p>
      <w:pPr>
        <w:ind w:right="3459" w:firstLine="1279"/>
        <w:spacing w:after="0" w:line="263" w:lineRule="auto"/>
        <w:tabs>
          <w:tab w:leader="none" w:pos="152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is governed by, and is to be construed and enforced in accordance with, the laws of the State of Tennessee, without regard to principles of conflicts of laws. If, under such law, any portion of this Agreement is at any time deemed to be in conflict with any applicable statute, rule, regulation or ordinance, such portion shall be deemed to be modified or altered to conform thereto or, if that is not possible, to be omitted from this Agreement; and the invalidity of any such portion shall not affect the force, effect and validity of the remaining portion hereof.</w:t>
      </w:r>
    </w:p>
    <w:p>
      <w:pPr>
        <w:spacing w:after="0" w:line="77" w:lineRule="exact"/>
        <w:rPr>
          <w:rFonts w:ascii="Courier New" w:cs="Courier New" w:eastAsia="Courier New" w:hAnsi="Courier New"/>
          <w:sz w:val="14"/>
          <w:szCs w:val="14"/>
          <w:color w:val="auto"/>
        </w:rPr>
      </w:pPr>
    </w:p>
    <w:p>
      <w:pPr>
        <w:ind w:right="3359" w:firstLine="1279"/>
        <w:spacing w:after="0" w:line="263" w:lineRule="auto"/>
        <w:tabs>
          <w:tab w:leader="none" w:pos="161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under this Agreement shall be in writing and shall be deemed effective when delivered in person (in the Company's or CCA's case, attn.: Secretary) or twenty-four (24) hours after deposit thereof in the U.S. mails, postage prepaid, for delivery as registered or certified mail; addressed, in the case of the Executive, to him at 313 Lynwood Blvd., Nashville, Tennessee, 37205, and, in the case of the Company or CCA, to its corporate headquarters, attention of the Secretary, or to such other addresses as the Company, CCA and the</w:t>
      </w:r>
    </w:p>
    <w:p>
      <w:pPr>
        <w:spacing w:after="0" w:line="200" w:lineRule="exact"/>
        <w:rPr>
          <w:sz w:val="20"/>
          <w:szCs w:val="20"/>
          <w:color w:val="auto"/>
        </w:rPr>
      </w:pP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57"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94" w:lineRule="exact"/>
        <w:rPr>
          <w:sz w:val="20"/>
          <w:szCs w:val="20"/>
          <w:color w:val="auto"/>
        </w:rPr>
      </w:pPr>
    </w:p>
    <w:p>
      <w:pPr>
        <w:jc w:val="both"/>
        <w:ind w:right="3359"/>
        <w:spacing w:after="0" w:line="306" w:lineRule="auto"/>
        <w:rPr>
          <w:sz w:val="20"/>
          <w:szCs w:val="20"/>
          <w:color w:val="auto"/>
        </w:rPr>
      </w:pPr>
      <w:r>
        <w:rPr>
          <w:rFonts w:ascii="Courier New" w:cs="Courier New" w:eastAsia="Courier New" w:hAnsi="Courier New"/>
          <w:sz w:val="14"/>
          <w:szCs w:val="14"/>
          <w:color w:val="auto"/>
        </w:rPr>
        <w:t>Executive may designate in writing at any time or from time to time to the other party. In lieu of personal notice or notice by deposit in the U.S. mail, a party may give notice by facsimile transmission or telex.</w:t>
      </w:r>
    </w:p>
    <w:p>
      <w:pPr>
        <w:spacing w:after="0" w:line="46" w:lineRule="exact"/>
        <w:rPr>
          <w:sz w:val="20"/>
          <w:szCs w:val="20"/>
          <w:color w:val="auto"/>
        </w:rPr>
      </w:pPr>
    </w:p>
    <w:p>
      <w:pPr>
        <w:ind w:right="3359" w:firstLine="1279"/>
        <w:spacing w:after="0" w:line="266" w:lineRule="auto"/>
        <w:tabs>
          <w:tab w:leader="none" w:pos="161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 of Differences Over Breaches of Agreement. Any controversy or claim arising out of, or relating to this Agreement or the breach thereof, shall be settled by binding arbitration in Nashville, Tennessee in accordance with the rules then obtaining of the Employment Dispute Resolution Rules of the American Arbitration Association, and judgment upon the award rendered by the Arbitrator(s) may be entered in any court having jurisdiction thereof.</w:t>
      </w:r>
    </w:p>
    <w:p>
      <w:pPr>
        <w:spacing w:after="0" w:line="74" w:lineRule="exact"/>
        <w:rPr>
          <w:rFonts w:ascii="Courier New" w:cs="Courier New" w:eastAsia="Courier New" w:hAnsi="Courier New"/>
          <w:sz w:val="14"/>
          <w:szCs w:val="14"/>
          <w:color w:val="auto"/>
        </w:rPr>
      </w:pPr>
    </w:p>
    <w:p>
      <w:pPr>
        <w:ind w:right="3359" w:firstLine="1279"/>
        <w:spacing w:after="0" w:line="254" w:lineRule="auto"/>
        <w:tabs>
          <w:tab w:leader="none" w:pos="161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Except as specifically provided herein, this Agreement constitutes the entire understanding between the Company and the Executive relating to the resignation of the Executive and cancels all prior written and oral agreements and understandings with respect to the subject matter of this Agreement, including any and all existing employment agreements with the Company notwithstanding any survival or saving clauses therein contained, other than with respect to amounts payable to the Executive thereunder prior to the Resignation Date which remain unpaid, and this Agreement shall control any and all matters relating to the Executive's employment and termination thereof following the Resignation Date. This Agreement may be amended only by a subsequent written agreement of the Executive and the Company. This Agreement shall be binding upon and shall inure to the benefit of the Executive, his heirs, executors, administrators, beneficiaries and assigns and shall be binding upon and shall inure to the benefit of the Company and its successors. This Agreement may not be assigned except by written agreement of the parties hereto or by operation of law and any assignor shall remain liable under this Agreement without giving effect to such assignment.</w:t>
      </w:r>
    </w:p>
    <w:p>
      <w:pPr>
        <w:spacing w:after="0" w:line="81" w:lineRule="exact"/>
        <w:rPr>
          <w:rFonts w:ascii="Courier New" w:cs="Courier New" w:eastAsia="Courier New" w:hAnsi="Courier New"/>
          <w:sz w:val="14"/>
          <w:szCs w:val="14"/>
          <w:color w:val="auto"/>
        </w:rPr>
      </w:pPr>
    </w:p>
    <w:p>
      <w:pPr>
        <w:ind w:right="3359" w:firstLine="1279"/>
        <w:spacing w:after="0" w:line="261" w:lineRule="auto"/>
        <w:tabs>
          <w:tab w:leader="none" w:pos="161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The Company shall indemnify and hold the Executive harmless, to the fullest extent permitted by applicable state law, the charter or by-laws of the Company, or any contract obligating the Company to fully indemnify and hold the Executive harmless, with regards to actions or inactions in relation to the Executive's service as a director or officer of the Company prior to the Resignation Date and shall maintain, in respect of the Executive, directors and officers insurance coverage for the Executive which is no less favorable than that maintained from time to time for its executives and officers.</w:t>
      </w:r>
    </w:p>
    <w:p>
      <w:pPr>
        <w:spacing w:after="0" w:line="78" w:lineRule="exact"/>
        <w:rPr>
          <w:rFonts w:ascii="Courier New" w:cs="Courier New" w:eastAsia="Courier New" w:hAnsi="Courier New"/>
          <w:sz w:val="14"/>
          <w:szCs w:val="14"/>
          <w:color w:val="auto"/>
        </w:rPr>
      </w:pPr>
    </w:p>
    <w:p>
      <w:pPr>
        <w:ind w:right="3359" w:firstLine="1279"/>
        <w:spacing w:after="0" w:line="270" w:lineRule="auto"/>
        <w:tabs>
          <w:tab w:leader="none" w:pos="161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Noncontravention. The Company represents that all corporate action necessary to enter into this Agreement has been taken, the Company is not prevented from entering into, or performing this Agreement by the terms of any law, order, rule or regulation, its by-laws or charter, or any agreement to which it is a party, and this Agreement represents the binding obligation of the Company and is enforceable in accordance with its terms.</w:t>
      </w:r>
    </w:p>
    <w:p>
      <w:pPr>
        <w:spacing w:after="0" w:line="200" w:lineRule="exact"/>
        <w:rPr>
          <w:sz w:val="20"/>
          <w:szCs w:val="20"/>
          <w:color w:val="auto"/>
        </w:rPr>
      </w:pPr>
    </w:p>
    <w:p>
      <w:pPr>
        <w:spacing w:after="0" w:line="3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57" w:right="1440" w:bottom="1440" w:gutter="0" w:footer="0" w:header="0"/>
        </w:sectPr>
      </w:pPr>
    </w:p>
    <w:bookmarkStart w:id="241" w:name="page242"/>
    <w:bookmarkEnd w:id="241"/>
    <w:p>
      <w:pPr>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94" w:lineRule="exact"/>
        <w:rPr>
          <w:sz w:val="20"/>
          <w:szCs w:val="20"/>
          <w:color w:val="auto"/>
        </w:rPr>
      </w:pPr>
    </w:p>
    <w:p>
      <w:pPr>
        <w:ind w:left="-260" w:right="3459" w:firstLine="1279"/>
        <w:spacing w:after="0" w:line="306" w:lineRule="auto"/>
        <w:tabs>
          <w:tab w:leader="none" w:pos="135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Headings. The section headings in this Agreement are for convenience of reference only, and they form no part of this Agreement and shall not affect its interpretation.</w:t>
      </w:r>
    </w:p>
    <w:p>
      <w:pPr>
        <w:spacing w:after="0" w:line="45" w:lineRule="exact"/>
        <w:rPr>
          <w:rFonts w:ascii="Courier New" w:cs="Courier New" w:eastAsia="Courier New" w:hAnsi="Courier New"/>
          <w:sz w:val="14"/>
          <w:szCs w:val="14"/>
          <w:color w:val="auto"/>
        </w:rPr>
      </w:pPr>
    </w:p>
    <w:p>
      <w:pPr>
        <w:jc w:val="both"/>
        <w:ind w:left="-260" w:right="3539" w:firstLine="1279"/>
        <w:spacing w:after="0" w:line="306" w:lineRule="auto"/>
        <w:tabs>
          <w:tab w:leader="none" w:pos="135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one or more counterparts, each of which shall be deemed to be an original but all of which together will constitute one and the same instrument.</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899"/>
          </w:cols>
          <w:pgMar w:left="560" w:top="257"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4"/>
          <w:szCs w:val="14"/>
          <w:color w:val="auto"/>
        </w:rPr>
        <w:t>8</w:t>
      </w:r>
    </w:p>
    <w:p>
      <w:pPr>
        <w:spacing w:after="0" w:line="331" w:lineRule="exact"/>
        <w:rPr>
          <w:sz w:val="20"/>
          <w:szCs w:val="20"/>
          <w:color w:val="auto"/>
        </w:rPr>
      </w:pPr>
    </w:p>
    <w:p>
      <w:pPr>
        <w:ind w:right="4039" w:firstLine="1272"/>
        <w:spacing w:after="0" w:line="366"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year and day first above written.</w:t>
      </w:r>
    </w:p>
    <w:p>
      <w:pPr>
        <w:spacing w:after="0" w:line="332"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4"/>
          <w:szCs w:val="14"/>
          <w:color w:val="auto"/>
        </w:rPr>
        <w:t>PRISON REALTY TRUST, INC.</w:t>
      </w:r>
    </w:p>
    <w:p>
      <w:pPr>
        <w:spacing w:after="0" w:line="331"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 /s/ Doctor R. Crants</w:t>
      </w:r>
    </w:p>
    <w:p>
      <w:pPr>
        <w:spacing w:after="0" w:line="30"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200" w:lineRule="exact"/>
        <w:rPr>
          <w:sz w:val="20"/>
          <w:szCs w:val="20"/>
          <w:color w:val="auto"/>
        </w:rPr>
      </w:pPr>
    </w:p>
    <w:p>
      <w:pPr>
        <w:spacing w:after="0" w:line="29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 /s/ Doctor R. Crants</w:t>
      </w:r>
    </w:p>
    <w:p>
      <w:pPr>
        <w:spacing w:after="0" w:line="30"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305"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4"/>
          <w:szCs w:val="14"/>
          <w:color w:val="auto"/>
        </w:rPr>
        <w:t>/s/ Michael W. Devlin</w:t>
      </w:r>
    </w:p>
    <w:p>
      <w:pPr>
        <w:spacing w:after="0" w:line="30"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4"/>
          <w:szCs w:val="14"/>
          <w:color w:val="auto"/>
        </w:rPr>
        <w:t>MICHAEL W. DEVLIN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57"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4"/>
          <w:szCs w:val="14"/>
          <w:color w:val="auto"/>
        </w:rPr>
        <w:t>1</w:t>
      </w:r>
    </w:p>
    <w:p>
      <w:pPr>
        <w:spacing w:after="0" w:line="331"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SUBSIDIARIES OF PRISON REALTY TRUST, INC.</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First-Tier: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Agecroft Properties, Inc., a Tennessee corporation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Management, Inc., a Tennessee corporation</w:t>
      </w:r>
    </w:p>
    <w:p>
      <w:pPr>
        <w:sectPr>
          <w:pgSz w:w="11900" w:h="16838" w:orient="portrait"/>
          <w:cols w:equalWidth="0" w:num="1">
            <w:col w:w="10159"/>
          </w:cols>
          <w:pgMar w:left="300" w:top="115"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4"/>
          <w:szCs w:val="14"/>
          <w:color w:val="auto"/>
        </w:rPr>
        <w:t>1</w:t>
      </w:r>
    </w:p>
    <w:p>
      <w:pPr>
        <w:spacing w:after="0" w:line="30"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331"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reports dated March 27, 2000 included in this Annual Report on Form 10-K of Prison Realty Trust, Inc., into Prison Realty, Trust. Inc.'s previously filed Registration Statement File Numbers 333-65017, 333-70419, 333-70625, 333-77997, 333-78023 and 333-80413. It should be noted that we have not audited any financial statements of Prison Realty Trust, Inc. subsequent to December 31, 1999, or performed any audit procedures subsequent to the date of our reports.</w:t>
      </w:r>
    </w:p>
    <w:p>
      <w:pPr>
        <w:spacing w:after="0" w:line="23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ARTHUR ANDERSEN LLP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2000</w:t>
      </w:r>
    </w:p>
    <w:p>
      <w:pPr>
        <w:sectPr>
          <w:pgSz w:w="11900" w:h="16838" w:orient="portrait"/>
          <w:cols w:equalWidth="0" w:num="1">
            <w:col w:w="10159"/>
          </w:cols>
          <w:pgMar w:left="300" w:top="115"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4"/>
          <w:szCs w:val="14"/>
          <w:color w:val="auto"/>
        </w:rPr>
        <w:t>1</w:t>
      </w:r>
    </w:p>
    <w:p>
      <w:pPr>
        <w:spacing w:after="0" w:line="30"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Exhibit 23.2</w:t>
      </w:r>
    </w:p>
    <w:p>
      <w:pPr>
        <w:spacing w:after="0" w:line="30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68"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 dated March 29, 2000, related to the consolidated financial statements of Corrections Corporation of America (formerly Correctional Management Services Corporation) and Subsidiaries as of December 31, 1999 and 1998, and for the year ended December 31, 1999, and for the period from September 11, 1998 (inception) through December 31, 1998, included in this Annual Report on Form 10-K of Prison Realty Trust, Inc. into Prison Realty Trust, Inc.'s previously filed Registration Statement File Numbers 333-65017, 333-70419, 333-70625, 333-77997, 333-78023 and 333-80413. It should be noted that we have not audited any financial statements of Corrections Corporation of America (formerly Correctional Management Services Corporation) and Subsidiaries subsequent to December 31, 1999, or performed any audit procedures subsequent to the date of our report.</w:t>
      </w:r>
    </w:p>
    <w:p>
      <w:pPr>
        <w:spacing w:after="0" w:line="200" w:lineRule="exact"/>
        <w:rPr>
          <w:sz w:val="20"/>
          <w:szCs w:val="20"/>
          <w:color w:val="auto"/>
        </w:rPr>
      </w:pPr>
    </w:p>
    <w:p>
      <w:pPr>
        <w:spacing w:after="0" w:line="210"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ARTHUR ANDERSEN LLP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2000</w:t>
      </w:r>
    </w:p>
    <w:p>
      <w:pPr>
        <w:sectPr>
          <w:pgSz w:w="11900" w:h="16838" w:orient="portrait"/>
          <w:cols w:equalWidth="0" w:num="1">
            <w:col w:w="10159"/>
          </w:cols>
          <w:pgMar w:left="300" w:top="115" w:right="1440" w:bottom="1440" w:gutter="0" w:footer="0" w:header="0"/>
        </w:sectPr>
      </w:pPr>
    </w:p>
    <w:bookmarkStart w:id="246" w:name="page247"/>
    <w:bookmarkEnd w:id="246"/>
    <w:p>
      <w:pPr>
        <w:spacing w:after="0"/>
        <w:rPr>
          <w:sz w:val="20"/>
          <w:szCs w:val="20"/>
          <w:color w:val="auto"/>
        </w:rPr>
      </w:pPr>
      <w:r>
        <w:rPr>
          <w:rFonts w:ascii="Courier New" w:cs="Courier New" w:eastAsia="Courier New" w:hAnsi="Courier New"/>
          <w:sz w:val="14"/>
          <w:szCs w:val="14"/>
          <w:color w:val="auto"/>
        </w:rPr>
        <w:t>5</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05"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YEAR</w:t>
      </w:r>
    </w:p>
    <w:p>
      <w:pPr>
        <w:spacing w:after="0" w:line="30"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DEC-31-1999</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JAN-01-1999</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DEC-31-1999</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108,902</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180,958</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151,001</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2,258,281</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49,785</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2,735,922</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95,297</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1,098,991</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107,500</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1,184</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1,311,665</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2,735,922</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270,134</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285,718</w:t>
      </w:r>
    </w:p>
    <w:p>
      <w:pPr>
        <w:spacing w:after="0" w:line="4"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4"/>
          <w:szCs w:val="14"/>
          <w:color w:val="auto"/>
        </w:rPr>
        <w:t>44,062</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278,780</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83,200</w:t>
      </w:r>
    </w:p>
    <w:p>
      <w:pPr>
        <w:spacing w:after="0" w:line="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51,921</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29,824</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29,824</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(61,976)</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(.54)</w:t>
      </w:r>
    </w:p>
    <w:p>
      <w:pPr>
        <w:spacing w:after="0" w:line="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(.54)</w:t>
      </w:r>
    </w:p>
    <w:sectPr>
      <w:pgSz w:w="11900" w:h="16838" w:orient="portrait"/>
      <w:cols w:equalWidth="0" w:num="1">
        <w:col w:w="10059"/>
      </w:cols>
      <w:pgMar w:left="400" w:top="4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lowerRoman"/>
      <w:start w:val="2"/>
    </w:lvl>
  </w:abstractNum>
  <w:abstractNum w:abstractNumId="6">
    <w:nsid w:val="D34B6A8"/>
    <w:multiLevelType w:val="hybridMultilevel"/>
    <w:lvl w:ilvl="0">
      <w:lvlJc w:val="left"/>
      <w:lvlText w:val="(%1)"/>
      <w:numFmt w:val="lowerRoman"/>
      <w:start w:val="2"/>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1)"/>
      <w:numFmt w:val="lowerRoman"/>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1)"/>
      <w:numFmt w:val="decimal"/>
      <w:start w:val="4"/>
    </w:lvl>
  </w:abstractNum>
  <w:abstractNum w:abstractNumId="12">
    <w:nsid w:val="579BE4F1"/>
    <w:multiLevelType w:val="hybridMultilevel"/>
    <w:lvl w:ilvl="0">
      <w:lvlJc w:val="left"/>
      <w:lvlText w:val="(%1)"/>
      <w:numFmt w:val="decimal"/>
      <w:start w:val="9"/>
    </w:lvl>
  </w:abstractNum>
  <w:abstractNum w:abstractNumId="13">
    <w:nsid w:val="310C50B3"/>
    <w:multiLevelType w:val="hybridMultilevel"/>
    <w:lvl w:ilvl="0">
      <w:lvlJc w:val="left"/>
      <w:lvlText w:val="(%1)"/>
      <w:numFmt w:val="decimal"/>
      <w:start w:val="12"/>
    </w:lvl>
  </w:abstractNum>
  <w:abstractNum w:abstractNumId="14">
    <w:nsid w:val="5FF87E05"/>
    <w:multiLevelType w:val="hybridMultilevel"/>
    <w:lvl w:ilvl="0">
      <w:lvlJc w:val="left"/>
      <w:lvlText w:val="(%1)"/>
      <w:numFmt w:val="decimal"/>
      <w:start w:val="1"/>
    </w:lvl>
  </w:abstractNum>
  <w:abstractNum w:abstractNumId="15">
    <w:nsid w:val="2F305DEF"/>
    <w:multiLevelType w:val="hybridMultilevel"/>
    <w:lvl w:ilvl="0">
      <w:lvlJc w:val="left"/>
      <w:lvlText w:val="(%1)"/>
      <w:numFmt w:val="lowerRoman"/>
      <w:start w:val="2"/>
    </w:lvl>
  </w:abstractNum>
  <w:abstractNum w:abstractNumId="16">
    <w:nsid w:val="25A70BF7"/>
    <w:multiLevelType w:val="hybridMultilevel"/>
    <w:lvl w:ilvl="0">
      <w:lvlJc w:val="left"/>
      <w:lvlText w:val="(%1)"/>
      <w:numFmt w:val="lowerLetter"/>
      <w:start w:val="3"/>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lvl w:ilvl="1">
      <w:lvlJc w:val="left"/>
      <w:lvlText w:val="(%2)"/>
      <w:numFmt w:val="lowerRoman"/>
      <w:start w:val="4"/>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1)"/>
      <w:numFmt w:val="lowerRoman"/>
      <w:start w:val="1"/>
    </w:lvl>
  </w:abstractNum>
  <w:abstractNum w:abstractNumId="21">
    <w:nsid w:val="5DB70AE5"/>
    <w:multiLevelType w:val="hybridMultilevel"/>
    <w:lvl w:ilvl="0">
      <w:lvlJc w:val="left"/>
      <w:lvlText w:val="(%1)"/>
      <w:numFmt w:val="decimal"/>
      <w:start w:val="1"/>
    </w:lvl>
  </w:abstractNum>
  <w:abstractNum w:abstractNumId="22">
    <w:nsid w:val="100F8FCA"/>
    <w:multiLevelType w:val="hybridMultilevel"/>
    <w:lvl w:ilvl="0">
      <w:lvlJc w:val="left"/>
      <w:lvlText w:val="(%1)"/>
      <w:numFmt w:val="decimal"/>
      <w:start w:val="4"/>
    </w:lvl>
  </w:abstractNum>
  <w:abstractNum w:abstractNumId="23">
    <w:nsid w:val="6590700B"/>
    <w:multiLevelType w:val="hybridMultilevel"/>
    <w:lvl w:ilvl="0">
      <w:lvlJc w:val="left"/>
      <w:lvlText w:val="(%1)"/>
      <w:numFmt w:val="decimal"/>
      <w:start w:val="13"/>
    </w:lvl>
  </w:abstractNum>
  <w:abstractNum w:abstractNumId="24">
    <w:nsid w:val="15014ACB"/>
    <w:multiLevelType w:val="hybridMultilevel"/>
    <w:lvl w:ilvl="0">
      <w:lvlJc w:val="left"/>
      <w:lvlText w:val="(%1)"/>
      <w:numFmt w:val="decimal"/>
      <w:start w:val="22"/>
    </w:lvl>
  </w:abstractNum>
  <w:abstractNum w:abstractNumId="25">
    <w:nsid w:val="5F5E7FD0"/>
    <w:multiLevelType w:val="hybridMultilevel"/>
    <w:lvl w:ilvl="0">
      <w:lvlJc w:val="left"/>
      <w:lvlText w:val="(%1)"/>
      <w:numFmt w:val="decimal"/>
      <w:start w:val="1"/>
    </w:lvl>
  </w:abstractNum>
  <w:abstractNum w:abstractNumId="26">
    <w:nsid w:val="98A3148"/>
    <w:multiLevelType w:val="hybridMultilevel"/>
    <w:lvl w:ilvl="0">
      <w:lvlJc w:val="left"/>
      <w:lvlText w:val="(%1)"/>
      <w:numFmt w:val="decimal"/>
      <w:start w:val="1"/>
    </w:lvl>
  </w:abstractNum>
  <w:abstractNum w:abstractNumId="27">
    <w:nsid w:val="799D0247"/>
    <w:multiLevelType w:val="hybridMultilevel"/>
    <w:lvl w:ilvl="0">
      <w:lvlJc w:val="left"/>
      <w:lvlText w:val="(%1)"/>
      <w:numFmt w:val="decimal"/>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decimal"/>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1)"/>
      <w:numFmt w:val="decimal"/>
      <w:start w:val="1"/>
    </w:lvl>
  </w:abstractNum>
  <w:abstractNum w:abstractNumId="35">
    <w:nsid w:val="7BD3EE7B"/>
    <w:multiLevelType w:val="hybridMultilevel"/>
    <w:lvl w:ilvl="0">
      <w:lvlJc w:val="left"/>
      <w:lvlText w:val="(%1)"/>
      <w:numFmt w:val="decimal"/>
      <w:start w:val="3"/>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1)"/>
      <w:numFmt w:val="decimal"/>
      <w:start w:val="1"/>
    </w:lvl>
  </w:abstractNum>
  <w:abstractNum w:abstractNumId="38">
    <w:nsid w:val="BF72B14"/>
    <w:multiLevelType w:val="hybridMultilevel"/>
    <w:lvl w:ilvl="0">
      <w:lvlJc w:val="left"/>
      <w:lvlText w:val="%1"/>
      <w:numFmt w:val="upperLetter"/>
      <w:start w:val="61"/>
    </w:lvl>
  </w:abstractNum>
  <w:abstractNum w:abstractNumId="39">
    <w:nsid w:val="11447B73"/>
    <w:multiLevelType w:val="hybridMultilevel"/>
    <w:lvl w:ilvl="0">
      <w:lvlJc w:val="left"/>
      <w:lvlText w:val="(%1)"/>
      <w:numFmt w:val="lowerLetter"/>
      <w:start w:val="1"/>
    </w:lvl>
    <w:lvl w:ilvl="1">
      <w:lvlJc w:val="left"/>
      <w:lvlText w:val="(%2)"/>
      <w:numFmt w:val="decimal"/>
      <w:start w:val="1"/>
    </w:lvl>
  </w:abstractNum>
  <w:abstractNum w:abstractNumId="40">
    <w:nsid w:val="42963E5A"/>
    <w:multiLevelType w:val="hybridMultilevel"/>
    <w:lvl w:ilvl="0">
      <w:lvlJc w:val="left"/>
      <w:lvlText w:val="(%1)"/>
      <w:numFmt w:val="decimal"/>
      <w:start w:val="2"/>
    </w:lvl>
  </w:abstractNum>
  <w:abstractNum w:abstractNumId="41">
    <w:nsid w:val="A0382C5"/>
    <w:multiLevelType w:val="hybridMultilevel"/>
    <w:lvl w:ilvl="0">
      <w:lvlJc w:val="left"/>
      <w:lvlText w:val="%1"/>
      <w:numFmt w:val="lowerLetter"/>
      <w:start w:val="1"/>
    </w:lvl>
    <w:lvl w:ilvl="1">
      <w:lvlJc w:val="left"/>
      <w:lvlText w:val="(%2)"/>
      <w:numFmt w:val="decimal"/>
      <w:start w:val="3"/>
    </w:lvl>
  </w:abstractNum>
  <w:abstractNum w:abstractNumId="42">
    <w:nsid w:val="8F2B15E"/>
    <w:multiLevelType w:val="hybridMultilevel"/>
    <w:lvl w:ilvl="0">
      <w:lvlJc w:val="left"/>
      <w:lvlText w:val="(%1)"/>
      <w:numFmt w:val="lowerLetter"/>
      <w:start w:val="2"/>
    </w:lvl>
    <w:lvl w:ilvl="1">
      <w:lvlJc w:val="left"/>
      <w:lvlText w:val="%2"/>
      <w:numFmt w:val="decimal"/>
      <w:start w:val="1"/>
    </w:lvl>
  </w:abstractNum>
  <w:abstractNum w:abstractNumId="43">
    <w:nsid w:val="1A32234B"/>
    <w:multiLevelType w:val="hybridMultilevel"/>
    <w:lvl w:ilvl="0">
      <w:lvlJc w:val="left"/>
      <w:lvlText w:val="%1"/>
      <w:numFmt w:val="decimal"/>
      <w:start w:val="24"/>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1)"/>
      <w:numFmt w:val="lowerRoman"/>
      <w:start w:val="4"/>
    </w:lvl>
  </w:abstractNum>
  <w:abstractNum w:abstractNumId="46">
    <w:nsid w:val="4962813B"/>
    <w:multiLevelType w:val="hybridMultilevel"/>
    <w:lvl w:ilvl="0">
      <w:lvlJc w:val="left"/>
      <w:lvlText w:val="%1."/>
      <w:numFmt w:val="decimal"/>
      <w:start w:val="2"/>
    </w:lvl>
  </w:abstractNum>
  <w:abstractNum w:abstractNumId="47">
    <w:nsid w:val="60B6DF70"/>
    <w:multiLevelType w:val="hybridMultilevel"/>
    <w:lvl w:ilvl="0">
      <w:lvlJc w:val="left"/>
      <w:lvlText w:val="%1."/>
      <w:numFmt w:val="decimal"/>
      <w:start w:val="3"/>
    </w:lvl>
  </w:abstractNum>
  <w:abstractNum w:abstractNumId="48">
    <w:nsid w:val="6A5EE64"/>
    <w:multiLevelType w:val="hybridMultilevel"/>
    <w:lvl w:ilvl="0">
      <w:lvlJc w:val="left"/>
      <w:lvlText w:val="%1."/>
      <w:numFmt w:val="decimal"/>
      <w:start w:val="81"/>
    </w:lvl>
  </w:abstractNum>
  <w:abstractNum w:abstractNumId="49">
    <w:nsid w:val="14330624"/>
    <w:multiLevelType w:val="hybridMultilevel"/>
    <w:lvl w:ilvl="0">
      <w:lvlJc w:val="left"/>
      <w:lvlText w:val="%1."/>
      <w:numFmt w:val="decimal"/>
      <w:start w:val="5"/>
    </w:lvl>
  </w:abstractNum>
  <w:abstractNum w:abstractNumId="50">
    <w:nsid w:val="7FFFCA11"/>
    <w:multiLevelType w:val="hybridMultilevel"/>
    <w:lvl w:ilvl="0">
      <w:lvlJc w:val="left"/>
      <w:lvlText w:val="%1."/>
      <w:numFmt w:val="decimal"/>
      <w:start w:val="6"/>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1."/>
      <w:numFmt w:val="decimal"/>
      <w:start w:val="7"/>
    </w:lvl>
  </w:abstractNum>
  <w:abstractNum w:abstractNumId="54">
    <w:nsid w:val="7FB7E0AA"/>
    <w:multiLevelType w:val="hybridMultilevel"/>
    <w:lvl w:ilvl="0">
      <w:lvlJc w:val="left"/>
      <w:lvlText w:val="%1."/>
      <w:numFmt w:val="decimal"/>
      <w:start w:val="8"/>
    </w:lvl>
  </w:abstractNum>
  <w:abstractNum w:abstractNumId="55">
    <w:nsid w:val="6EB5BD4"/>
    <w:multiLevelType w:val="hybridMultilevel"/>
    <w:lvl w:ilvl="0">
      <w:lvlJc w:val="left"/>
      <w:lvlText w:val="%1."/>
      <w:numFmt w:val="decimal"/>
      <w:start w:val="9"/>
    </w:lvl>
  </w:abstractNum>
  <w:abstractNum w:abstractNumId="56">
    <w:nsid w:val="6F6DD9AC"/>
    <w:multiLevelType w:val="hybridMultilevel"/>
    <w:lvl w:ilvl="0">
      <w:lvlJc w:val="left"/>
      <w:lvlText w:val="%1."/>
      <w:numFmt w:val="decimal"/>
      <w:start w:val="10"/>
    </w:lvl>
  </w:abstractNum>
  <w:abstractNum w:abstractNumId="57">
    <w:nsid w:val="94211F2"/>
    <w:multiLevelType w:val="hybridMultilevel"/>
    <w:lvl w:ilvl="0">
      <w:lvlJc w:val="left"/>
      <w:lvlText w:val="%1."/>
      <w:numFmt w:val="decimal"/>
      <w:start w:val="1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1)"/>
      <w:numFmt w:val="lowerRoman"/>
      <w:start w:val="3"/>
    </w:lvl>
  </w:abstractNum>
  <w:abstractNum w:abstractNumId="60">
    <w:nsid w:val="4C04A8AF"/>
    <w:multiLevelType w:val="hybridMultilevel"/>
    <w:lvl w:ilvl="0">
      <w:lvlJc w:val="left"/>
      <w:lvlText w:val="(%1)"/>
      <w:numFmt w:val="lowerRoman"/>
      <w:start w:val="3"/>
    </w:lvl>
  </w:abstractNum>
  <w:abstractNum w:abstractNumId="61">
    <w:nsid w:val="1716703B"/>
    <w:multiLevelType w:val="hybridMultilevel"/>
    <w:lvl w:ilvl="0">
      <w:lvlJc w:val="left"/>
      <w:lvlText w:val="%1."/>
      <w:numFmt w:val="decimal"/>
      <w:start w:val="13"/>
    </w:lvl>
  </w:abstractNum>
  <w:abstractNum w:abstractNumId="62">
    <w:nsid w:val="14E17E33"/>
    <w:multiLevelType w:val="hybridMultilevel"/>
    <w:lvl w:ilvl="0">
      <w:lvlJc w:val="left"/>
      <w:lvlText w:val="%1."/>
      <w:numFmt w:val="decimal"/>
      <w:start w:val="14"/>
    </w:lvl>
  </w:abstractNum>
  <w:abstractNum w:abstractNumId="63">
    <w:nsid w:val="3222E7CD"/>
    <w:multiLevelType w:val="hybridMultilevel"/>
    <w:lvl w:ilvl="0">
      <w:lvlJc w:val="left"/>
      <w:lvlText w:val="%1."/>
      <w:numFmt w:val="decimal"/>
      <w:start w:val="15"/>
    </w:lvl>
  </w:abstractNum>
  <w:abstractNum w:abstractNumId="64">
    <w:nsid w:val="74DE0EE3"/>
    <w:multiLevelType w:val="hybridMultilevel"/>
    <w:lvl w:ilvl="0">
      <w:lvlJc w:val="left"/>
      <w:lvlText w:val="%1."/>
      <w:numFmt w:val="decimal"/>
      <w:start w:val="17"/>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1."/>
      <w:numFmt w:val="decimal"/>
      <w:start w:val="18"/>
    </w:lvl>
  </w:abstractNum>
  <w:abstractNum w:abstractNumId="69">
    <w:nsid w:val="39EE015C"/>
    <w:multiLevelType w:val="hybridMultilevel"/>
    <w:lvl w:ilvl="0">
      <w:lvlJc w:val="left"/>
      <w:lvlText w:val="%1."/>
      <w:numFmt w:val="decimal"/>
      <w:start w:val="19"/>
    </w:lvl>
  </w:abstractNum>
  <w:abstractNum w:abstractNumId="70">
    <w:nsid w:val="57FC4FBB"/>
    <w:multiLevelType w:val="hybridMultilevel"/>
    <w:lvl w:ilvl="0">
      <w:lvlJc w:val="left"/>
      <w:lvlText w:val="%1."/>
      <w:numFmt w:val="decimal"/>
      <w:start w:val="20"/>
    </w:lvl>
  </w:abstractNum>
  <w:abstractNum w:abstractNumId="71">
    <w:nsid w:val="CC1016F"/>
    <w:multiLevelType w:val="hybridMultilevel"/>
    <w:lvl w:ilvl="0">
      <w:lvlJc w:val="left"/>
      <w:lvlText w:val="%1."/>
      <w:numFmt w:val="decimal"/>
      <w:start w:val="22"/>
    </w:lvl>
  </w:abstractNum>
  <w:abstractNum w:abstractNumId="72">
    <w:nsid w:val="43F18422"/>
    <w:multiLevelType w:val="hybridMultilevel"/>
    <w:lvl w:ilvl="0">
      <w:lvlJc w:val="left"/>
      <w:lvlText w:val="%1."/>
      <w:numFmt w:val="decimal"/>
      <w:start w:val="23"/>
    </w:lvl>
    <w:lvl w:ilvl="1">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1."/>
      <w:numFmt w:val="decimal"/>
      <w:start w:val="1"/>
    </w:lvl>
  </w:abstractNum>
  <w:abstractNum w:abstractNumId="76">
    <w:nsid w:val="49DA307D"/>
    <w:multiLevelType w:val="hybridMultilevel"/>
    <w:lvl w:ilvl="0">
      <w:lvlJc w:val="left"/>
      <w:lvlText w:val="%1."/>
      <w:numFmt w:val="decimal"/>
      <w:start w:val="3"/>
    </w:lvl>
  </w:abstractNum>
  <w:abstractNum w:abstractNumId="77">
    <w:nsid w:val="7055A5F5"/>
    <w:multiLevelType w:val="hybridMultilevel"/>
    <w:lvl w:ilvl="0">
      <w:lvlJc w:val="left"/>
      <w:lvlText w:val="%1."/>
      <w:numFmt w:val="decimal"/>
      <w:start w:val="4"/>
    </w:lvl>
  </w:abstractNum>
  <w:abstractNum w:abstractNumId="78">
    <w:nsid w:val="5FB8370B"/>
    <w:multiLevelType w:val="hybridMultilevel"/>
    <w:lvl w:ilvl="0">
      <w:lvlJc w:val="left"/>
      <w:lvlText w:val="%1."/>
      <w:numFmt w:val="decimal"/>
      <w:start w:val="5"/>
    </w:lvl>
  </w:abstractNum>
  <w:abstractNum w:abstractNumId="79">
    <w:nsid w:val="50801EE1"/>
    <w:multiLevelType w:val="hybridMultilevel"/>
    <w:lvl w:ilvl="0">
      <w:lvlJc w:val="left"/>
      <w:lvlText w:val="%1."/>
      <w:numFmt w:val="decimal"/>
      <w:start w:val="7"/>
    </w:lvl>
    <w:lvl w:ilvl="1">
      <w:lvlJc w:val="left"/>
      <w:lvlText w:val="(%2)"/>
      <w:numFmt w:val="lowerRoman"/>
      <w:start w:val="3"/>
    </w:lvl>
  </w:abstractNum>
  <w:abstractNum w:abstractNumId="80">
    <w:nsid w:val="488AC1A"/>
    <w:multiLevelType w:val="hybridMultilevel"/>
    <w:lvl w:ilvl="0">
      <w:lvlJc w:val="left"/>
      <w:lvlText w:val="%1."/>
      <w:numFmt w:val="decimal"/>
      <w:start w:val="8"/>
    </w:lvl>
  </w:abstractNum>
  <w:abstractNum w:abstractNumId="81">
    <w:nsid w:val="5FB8011C"/>
    <w:multiLevelType w:val="hybridMultilevel"/>
    <w:lvl w:ilvl="0">
      <w:lvlJc w:val="left"/>
      <w:lvlText w:val="%1."/>
      <w:numFmt w:val="decimal"/>
      <w:start w:val="9"/>
    </w:lvl>
  </w:abstractNum>
  <w:abstractNum w:abstractNumId="82">
    <w:nsid w:val="6AA78F7F"/>
    <w:multiLevelType w:val="hybridMultilevel"/>
    <w:lvl w:ilvl="0">
      <w:lvlJc w:val="left"/>
      <w:lvlText w:val="(%1)"/>
      <w:numFmt w:val="lowerLetter"/>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85">
    <w:nsid w:val="6A5F7029"/>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2"/>
    </w:lvl>
  </w:abstractNum>
  <w:abstractNum w:abstractNumId="86">
    <w:nsid w:val="7D5E18F8"/>
    <w:multiLevelType w:val="hybridMultilevel"/>
    <w:lvl w:ilvl="0">
      <w:lvlJc w:val="left"/>
      <w:lvlText w:val="(%1)"/>
      <w:numFmt w:val="lowerLetter"/>
      <w:start w:val="2"/>
    </w:lvl>
    <w:lvl w:ilvl="1">
      <w:lvlJc w:val="left"/>
      <w:lvlText w:val="(%2)"/>
      <w:numFmt w:val="decimal"/>
      <w:start w:val="1"/>
    </w:lvl>
  </w:abstractNum>
  <w:abstractNum w:abstractNumId="87">
    <w:nsid w:val="5F3534A4"/>
    <w:multiLevelType w:val="hybridMultilevel"/>
    <w:lvl w:ilvl="0">
      <w:lvlJc w:val="left"/>
      <w:lvlText w:val="(%1)"/>
      <w:numFmt w:val="lowerLetter"/>
      <w:start w:val="1"/>
    </w:lvl>
    <w:lvl w:ilvl="1">
      <w:lvlJc w:val="left"/>
      <w:lvlText w:val="(%2)"/>
      <w:numFmt w:val="decimal"/>
      <w:start w:val="1"/>
    </w:lvl>
  </w:abstractNum>
  <w:abstractNum w:abstractNumId="88">
    <w:nsid w:val="73A1821B"/>
    <w:multiLevelType w:val="hybridMultilevel"/>
    <w:lvl w:ilvl="0">
      <w:lvlJc w:val="left"/>
      <w:lvlText w:val="(%1)"/>
      <w:numFmt w:val="upperLetter"/>
      <w:start w:val="1"/>
    </w:lvl>
  </w:abstractNum>
  <w:abstractNum w:abstractNumId="89">
    <w:nsid w:val="7DE67713"/>
    <w:multiLevelType w:val="hybridMultilevel"/>
    <w:lvl w:ilvl="0">
      <w:lvlJc w:val="left"/>
      <w:lvlText w:val="(%1)"/>
      <w:numFmt w:val="lowerLetter"/>
      <w:start w:val="1"/>
    </w:lvl>
  </w:abstractNum>
  <w:abstractNum w:abstractNumId="90">
    <w:nsid w:val="555C55B5"/>
    <w:multiLevelType w:val="hybridMultilevel"/>
    <w:lvl w:ilvl="0">
      <w:lvlJc w:val="left"/>
      <w:lvlText w:val="%1."/>
      <w:numFmt w:val="decimal"/>
      <w:start w:val="1"/>
    </w:lvl>
  </w:abstractNum>
  <w:abstractNum w:abstractNumId="91">
    <w:nsid w:val="3FA62ACA"/>
    <w:multiLevelType w:val="hybridMultilevel"/>
    <w:lvl w:ilvl="0">
      <w:lvlJc w:val="left"/>
      <w:lvlText w:val="%1."/>
      <w:numFmt w:val="decimal"/>
      <w:start w:val="2"/>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1."/>
      <w:numFmt w:val="decimal"/>
      <w:start w:val="1"/>
    </w:lvl>
  </w:abstractNum>
  <w:abstractNum w:abstractNumId="94">
    <w:nsid w:val="71C91298"/>
    <w:multiLevelType w:val="hybridMultilevel"/>
    <w:lvl w:ilvl="0">
      <w:lvlJc w:val="left"/>
      <w:lvlText w:val="%1."/>
      <w:numFmt w:val="decimal"/>
      <w:start w:val="1"/>
    </w:lvl>
  </w:abstractNum>
  <w:abstractNum w:abstractNumId="95">
    <w:nsid w:val="9DAF632"/>
    <w:multiLevelType w:val="hybridMultilevel"/>
    <w:lvl w:ilvl="0">
      <w:lvlJc w:val="left"/>
      <w:lvlText w:val="(%1)"/>
      <w:numFmt w:val="lowerLetter"/>
      <w:start w:val="1"/>
    </w:lvl>
  </w:abstractNum>
  <w:abstractNum w:abstractNumId="96">
    <w:nsid w:val="53299938"/>
    <w:multiLevelType w:val="hybridMultilevel"/>
    <w:lvl w:ilvl="0">
      <w:lvlJc w:val="left"/>
      <w:lvlText w:val="(%1)"/>
      <w:numFmt w:val="lowerLetter"/>
      <w:start w:val="2"/>
    </w:lvl>
  </w:abstractNum>
  <w:abstractNum w:abstractNumId="97">
    <w:nsid w:val="1FBFE8E0"/>
    <w:multiLevelType w:val="hybridMultilevel"/>
    <w:lvl w:ilvl="0">
      <w:lvlJc w:val="left"/>
      <w:lvlText w:val="%1."/>
      <w:numFmt w:val="decimal"/>
      <w:start w:val="3"/>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1."/>
      <w:numFmt w:val="decimal"/>
      <w:start w:val="5"/>
    </w:lvl>
  </w:abstractNum>
  <w:abstractNum w:abstractNumId="100">
    <w:nsid w:val="59ADEA3D"/>
    <w:multiLevelType w:val="hybridMultilevel"/>
    <w:lvl w:ilvl="0">
      <w:lvlJc w:val="left"/>
      <w:lvlText w:val="%1."/>
      <w:numFmt w:val="decimal"/>
      <w:start w:val="6"/>
    </w:lvl>
  </w:abstractNum>
  <w:abstractNum w:abstractNumId="101">
    <w:nsid w:val="288F1A34"/>
    <w:multiLevelType w:val="hybridMultilevel"/>
    <w:lvl w:ilvl="0">
      <w:lvlJc w:val="left"/>
      <w:lvlText w:val="%1."/>
      <w:numFmt w:val="decimal"/>
      <w:start w:val="7"/>
    </w:lvl>
  </w:abstractNum>
  <w:abstractNum w:abstractNumId="102">
    <w:nsid w:val="2A155DBC"/>
    <w:multiLevelType w:val="hybridMultilevel"/>
    <w:lvl w:ilvl="0">
      <w:lvlJc w:val="left"/>
      <w:lvlText w:val="%1."/>
      <w:numFmt w:val="decimal"/>
      <w:start w:val="11"/>
    </w:lvl>
  </w:abstractNum>
  <w:abstractNum w:abstractNumId="103">
    <w:nsid w:val="1D9F6E5F"/>
    <w:multiLevelType w:val="hybridMultilevel"/>
    <w:lvl w:ilvl="0">
      <w:lvlJc w:val="left"/>
      <w:lvlText w:val="%1."/>
      <w:numFmt w:val="decimal"/>
      <w:start w:val="15"/>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Letter"/>
      <w:start w:val="2"/>
    </w:lvl>
  </w:abstractNum>
  <w:abstractNum w:abstractNumId="107">
    <w:nsid w:val="53584BCB"/>
    <w:multiLevelType w:val="hybridMultilevel"/>
    <w:lvl w:ilvl="0">
      <w:lvlJc w:val="left"/>
      <w:lvlText w:val="%1."/>
      <w:numFmt w:val="decimal"/>
      <w:start w:val="3"/>
    </w:lvl>
  </w:abstractNum>
  <w:abstractNum w:abstractNumId="108">
    <w:nsid w:val="415E286C"/>
    <w:multiLevelType w:val="hybridMultilevel"/>
    <w:lvl w:ilvl="0">
      <w:lvlJc w:val="left"/>
      <w:lvlText w:val="(%1)"/>
      <w:numFmt w:val="lowerLetter"/>
      <w:start w:val="1"/>
    </w:lvl>
  </w:abstractNum>
  <w:abstractNum w:abstractNumId="109">
    <w:nsid w:val="7C58FD05"/>
    <w:multiLevelType w:val="hybridMultilevel"/>
    <w:lvl w:ilvl="0">
      <w:lvlJc w:val="left"/>
      <w:lvlText w:val="%1."/>
      <w:numFmt w:val="decimal"/>
      <w:start w:val="5"/>
    </w:lvl>
  </w:abstractNum>
  <w:abstractNum w:abstractNumId="110">
    <w:nsid w:val="23D86AAC"/>
    <w:multiLevelType w:val="hybridMultilevel"/>
    <w:lvl w:ilvl="0">
      <w:lvlJc w:val="left"/>
      <w:lvlText w:val="%1."/>
      <w:numFmt w:val="decimal"/>
      <w:start w:val="6"/>
    </w:lvl>
  </w:abstractNum>
  <w:abstractNum w:abstractNumId="111">
    <w:nsid w:val="45E6D486"/>
    <w:multiLevelType w:val="hybridMultilevel"/>
    <w:lvl w:ilvl="0">
      <w:lvlJc w:val="left"/>
      <w:lvlText w:val="%1."/>
      <w:numFmt w:val="decimal"/>
      <w:start w:val="7"/>
    </w:lvl>
  </w:abstractNum>
  <w:abstractNum w:abstractNumId="112">
    <w:nsid w:val="5C10FE21"/>
    <w:multiLevelType w:val="hybridMultilevel"/>
    <w:lvl w:ilvl="0">
      <w:lvlJc w:val="left"/>
      <w:lvlText w:val="%1."/>
      <w:numFmt w:val="decimal"/>
      <w:start w:val="11"/>
    </w:lvl>
  </w:abstractNum>
  <w:abstractNum w:abstractNumId="113">
    <w:nsid w:val="E7FFA2B"/>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2020-10-07T17:14:34Z</dcterms:created>
  <dcterms:modified xsi:type="dcterms:W3CDTF">2020-10-07T17:14:34Z</dcterms:modified>
</cp:coreProperties>
</file>