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Swenson Daren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VIRGINIA 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BRENTWOOD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CoreCivic, Inc.</w:t>
              </w:r>
            </w:hyperlink>
            <w:r>
              <w:rPr/>
              <w:t xml:space="preserve"> [ </w:t>
            </w:r>
            <w:r>
              <w:rPr>
                <w:rFonts w:ascii="Times;serif" w:hAnsi="Times;serif"/>
                <w:color w:val="0000FF"/>
                <w:sz w:val="24"/>
                <w:shd w:fill="FFFFFF" w:val="clear"/>
              </w:rPr>
              <w:t>CXW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Corr &amp; Reentry Ofcr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52"/>
        <w:gridCol w:w="1156"/>
        <w:gridCol w:w="993"/>
        <w:gridCol w:w="96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34.85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142,666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and this report shall not be deemed an admission that the Reporting Person is the beneficial owner of the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Joseph Bachmann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1806" TargetMode="External"/><Relationship Id="rId5" Type="http://schemas.openxmlformats.org/officeDocument/2006/relationships/hyperlink" Target="http://www.sec.gov/cgi-bin/browse-edgar?action=getcompany&amp;CIK=0001070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3290</Characters>
  <CharactersWithSpaces>3827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