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 xml:space="preserve">QUARTERLY REPORT PURSUANT TO SECTION 13 OR 15(d) OF THE </w:t>
      </w:r>
      <w:r>
        <w:rPr>
          <w:rFonts w:ascii="Arial" w:cs="Arial" w:eastAsia="Arial" w:hAnsi="Arial"/>
          <w:sz w:val="18"/>
          <w:szCs w:val="18"/>
          <w:b w:val="1"/>
          <w:bCs w:val="1"/>
          <w:color w:val="auto"/>
        </w:rPr>
        <w:t>SECURITIES EXCHANGE ACT OF 1934</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 xml:space="preserve">TRANSITION REPORT PURSUANT TO SECTION 13 OR 15(d) OF THE </w:t>
      </w:r>
      <w:r>
        <w:rPr>
          <w:rFonts w:ascii="Arial" w:cs="Arial" w:eastAsia="Arial" w:hAnsi="Arial"/>
          <w:sz w:val="18"/>
          <w:szCs w:val="18"/>
          <w:b w:val="1"/>
          <w:bCs w:val="1"/>
          <w:color w:val="auto"/>
        </w:rPr>
        <w:t>SECURITIES EXCHANGE ACT OF 1934</w:t>
      </w:r>
    </w:p>
    <w:p>
      <w:pPr>
        <w:spacing w:after="0" w:line="44" w:lineRule="exact"/>
        <w:rPr>
          <w:sz w:val="24"/>
          <w:szCs w:val="24"/>
          <w:color w:val="auto"/>
        </w:rPr>
      </w:pPr>
    </w:p>
    <w:p>
      <w:pPr>
        <w:ind w:left="32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4220845</wp:posOffset>
            </wp:positionH>
            <wp:positionV relativeFrom="paragraph">
              <wp:posOffset>-20320</wp:posOffset>
            </wp:positionV>
            <wp:extent cx="309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8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001-16109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CORECIVIC,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p>
      <w:pPr>
        <w:spacing w:after="0" w:line="219"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MARYLAND</w:t>
      </w:r>
    </w:p>
    <w:p>
      <w:pPr>
        <w:spacing w:after="0" w:line="3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62-1763875</w:t>
      </w:r>
    </w:p>
    <w:p>
      <w:pPr>
        <w:spacing w:after="0" w:line="32"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Number)</w:t>
      </w:r>
    </w:p>
    <w:p>
      <w:pPr>
        <w:spacing w:after="0" w:line="221" w:lineRule="exact"/>
        <w:rPr>
          <w:sz w:val="24"/>
          <w:szCs w:val="24"/>
          <w:color w:val="auto"/>
        </w:rPr>
      </w:pPr>
    </w:p>
    <w:p>
      <w:pPr>
        <w:sectPr>
          <w:pgSz w:w="11900" w:h="16838" w:orient="portrait"/>
          <w:cols w:equalWidth="0" w:num="2">
            <w:col w:w="7000" w:space="720"/>
            <w:col w:w="3520"/>
          </w:cols>
          <w:pgMar w:left="320" w:top="422" w:right="339" w:bottom="1440" w:gutter="0" w:footer="0" w:header="0"/>
          <w:type w:val="continuous"/>
        </w:sectPr>
      </w:pP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220" w:type="dxa"/>
            <w:vAlign w:val="bottom"/>
          </w:tcPr>
          <w:p>
            <w:pPr>
              <w:jc w:val="center"/>
              <w:ind w:left="1333"/>
              <w:spacing w:after="0"/>
              <w:rPr>
                <w:sz w:val="20"/>
                <w:szCs w:val="20"/>
                <w:color w:val="auto"/>
              </w:rPr>
            </w:pPr>
            <w:r>
              <w:rPr>
                <w:rFonts w:ascii="Arial" w:cs="Arial" w:eastAsia="Arial" w:hAnsi="Arial"/>
                <w:sz w:val="18"/>
                <w:szCs w:val="18"/>
                <w:b w:val="1"/>
                <w:bCs w:val="1"/>
                <w:color w:val="auto"/>
                <w:w w:val="99"/>
              </w:rPr>
              <w:t>5501 VIRGINIA WAY</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gridSpan w:val="2"/>
          </w:tcPr>
          <w:p>
            <w:pPr>
              <w:jc w:val="right"/>
              <w:ind w:right="2516"/>
              <w:spacing w:after="0"/>
              <w:rPr>
                <w:sz w:val="20"/>
                <w:szCs w:val="20"/>
                <w:color w:val="auto"/>
              </w:rPr>
            </w:pPr>
            <w:r>
              <w:rPr>
                <w:rFonts w:ascii="Arial" w:cs="Arial" w:eastAsia="Arial" w:hAnsi="Arial"/>
                <w:sz w:val="18"/>
                <w:szCs w:val="18"/>
                <w:b w:val="1"/>
                <w:bCs w:val="1"/>
                <w:color w:val="auto"/>
              </w:rPr>
              <w:t>37027</w:t>
            </w:r>
          </w:p>
        </w:tc>
      </w:tr>
      <w:tr>
        <w:trPr>
          <w:trHeight w:val="239"/>
        </w:trPr>
        <w:tc>
          <w:tcPr>
            <w:tcW w:w="4220" w:type="dxa"/>
            <w:vAlign w:val="bottom"/>
          </w:tcPr>
          <w:p>
            <w:pPr>
              <w:ind w:left="1600"/>
              <w:spacing w:after="0"/>
              <w:rPr>
                <w:sz w:val="20"/>
                <w:szCs w:val="20"/>
                <w:color w:val="auto"/>
              </w:rPr>
            </w:pPr>
            <w:r>
              <w:rPr>
                <w:rFonts w:ascii="Arial" w:cs="Arial" w:eastAsia="Arial" w:hAnsi="Arial"/>
                <w:sz w:val="18"/>
                <w:szCs w:val="18"/>
                <w:b w:val="1"/>
                <w:bCs w:val="1"/>
                <w:color w:val="auto"/>
              </w:rPr>
              <w:t>BRENTWOOD, TENNESSEE</w:t>
            </w: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0" w:type="dxa"/>
            <w:vAlign w:val="bottom"/>
          </w:tcPr>
          <w:p>
            <w:pPr>
              <w:jc w:val="center"/>
              <w:ind w:right="1336"/>
              <w:spacing w:after="0"/>
              <w:rPr>
                <w:sz w:val="20"/>
                <w:szCs w:val="20"/>
                <w:color w:val="auto"/>
              </w:rPr>
            </w:pPr>
            <w:r>
              <w:rPr>
                <w:rFonts w:ascii="Arial" w:cs="Arial" w:eastAsia="Arial" w:hAnsi="Arial"/>
                <w:sz w:val="14"/>
                <w:szCs w:val="14"/>
                <w:b w:val="1"/>
                <w:bCs w:val="1"/>
                <w:color w:val="auto"/>
                <w:w w:val="95"/>
              </w:rPr>
              <w:t>(Zip Code)</w:t>
            </w:r>
          </w:p>
        </w:tc>
      </w:tr>
      <w:tr>
        <w:trPr>
          <w:trHeight w:val="190"/>
        </w:trPr>
        <w:tc>
          <w:tcPr>
            <w:tcW w:w="4220" w:type="dxa"/>
            <w:vAlign w:val="bottom"/>
          </w:tcPr>
          <w:p>
            <w:pPr>
              <w:jc w:val="center"/>
              <w:ind w:left="131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377"/>
        </w:trPr>
        <w:tc>
          <w:tcPr>
            <w:tcW w:w="4220" w:type="dxa"/>
            <w:vAlign w:val="bottom"/>
          </w:tcPr>
          <w:p>
            <w:pPr>
              <w:spacing w:after="0"/>
              <w:rPr>
                <w:sz w:val="24"/>
                <w:szCs w:val="24"/>
                <w:color w:val="auto"/>
              </w:rPr>
            </w:pPr>
          </w:p>
        </w:tc>
        <w:tc>
          <w:tcPr>
            <w:tcW w:w="252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0"/>
              </w:rPr>
              <w:t>(615) 263-3000</w:t>
            </w: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04"/>
        </w:trPr>
        <w:tc>
          <w:tcPr>
            <w:tcW w:w="4220" w:type="dxa"/>
            <w:vAlign w:val="bottom"/>
          </w:tcPr>
          <w:p>
            <w:pPr>
              <w:spacing w:after="0"/>
              <w:rPr>
                <w:sz w:val="17"/>
                <w:szCs w:val="17"/>
                <w:color w:val="auto"/>
              </w:rPr>
            </w:pPr>
          </w:p>
        </w:tc>
        <w:tc>
          <w:tcPr>
            <w:tcW w:w="7020" w:type="dxa"/>
            <w:vAlign w:val="bottom"/>
            <w:gridSpan w:val="4"/>
          </w:tcPr>
          <w:p>
            <w:pPr>
              <w:ind w:left="140"/>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20"/>
        </w:trPr>
        <w:tc>
          <w:tcPr>
            <w:tcW w:w="4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200" w:type="dxa"/>
            <w:vAlign w:val="bottom"/>
          </w:tcPr>
          <w:p>
            <w:pPr>
              <w:spacing w:after="0"/>
              <w:rPr>
                <w:sz w:val="10"/>
                <w:szCs w:val="10"/>
                <w:color w:val="auto"/>
              </w:rPr>
            </w:pPr>
          </w:p>
        </w:tc>
      </w:tr>
      <w:tr>
        <w:trPr>
          <w:trHeight w:val="304"/>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11"/>
        </w:trPr>
        <w:tc>
          <w:tcPr>
            <w:tcW w:w="4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r>
      <w:tr>
        <w:trPr>
          <w:trHeight w:val="23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0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CXW</w:t>
            </w:r>
          </w:p>
        </w:tc>
        <w:tc>
          <w:tcPr>
            <w:tcW w:w="300" w:type="dxa"/>
            <w:vAlign w:val="bottom"/>
            <w:tcBorders>
              <w:bottom w:val="single" w:sz="8" w:color="auto"/>
              <w:right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5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9"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32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3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52" w:lineRule="exact"/>
        <w:rPr>
          <w:sz w:val="24"/>
          <w:szCs w:val="24"/>
          <w:color w:val="auto"/>
        </w:rPr>
      </w:pPr>
    </w:p>
    <w:p>
      <w:pPr>
        <w:spacing w:after="0" w:line="23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class of Common Stock as of November 3, 2023:</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Shares of Common Stock, $0.01 par value per share: 113,605,141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6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rPr>
              <w:t>CORECIVIC, INC.</w:t>
            </w:r>
          </w:p>
        </w:tc>
        <w:tc>
          <w:tcPr>
            <w:tcW w:w="6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500" w:type="dxa"/>
            <w:vAlign w:val="bottom"/>
            <w:gridSpan w:val="7"/>
          </w:tcPr>
          <w:p>
            <w:pPr>
              <w:jc w:val="center"/>
              <w:ind w:right="444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20" w:type="dxa"/>
            <w:vAlign w:val="bottom"/>
            <w:gridSpan w:val="10"/>
          </w:tcPr>
          <w:p>
            <w:pPr>
              <w:jc w:val="center"/>
              <w:ind w:right="2220"/>
              <w:spacing w:after="0"/>
              <w:rPr>
                <w:sz w:val="20"/>
                <w:szCs w:val="20"/>
                <w:color w:val="auto"/>
              </w:rPr>
            </w:pPr>
            <w:r>
              <w:rPr>
                <w:rFonts w:ascii="Arial" w:cs="Arial" w:eastAsia="Arial" w:hAnsi="Arial"/>
                <w:sz w:val="18"/>
                <w:szCs w:val="18"/>
                <w:b w:val="1"/>
                <w:bCs w:val="1"/>
                <w:color w:val="auto"/>
                <w:w w:val="98"/>
              </w:rPr>
              <w:t>FOR THE QUARTERLY PERIOD ENDED SEPTEMBER 30, 2023</w:t>
            </w:r>
          </w:p>
        </w:tc>
        <w:tc>
          <w:tcPr>
            <w:tcW w:w="6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500" w:type="dxa"/>
            <w:vAlign w:val="bottom"/>
            <w:gridSpan w:val="7"/>
          </w:tcPr>
          <w:p>
            <w:pPr>
              <w:jc w:val="center"/>
              <w:ind w:right="4440"/>
              <w:spacing w:after="0"/>
              <w:rPr>
                <w:sz w:val="20"/>
                <w:szCs w:val="20"/>
                <w:color w:val="auto"/>
              </w:rPr>
            </w:pPr>
            <w:r>
              <w:rPr>
                <w:rFonts w:ascii="Arial" w:cs="Arial" w:eastAsia="Arial" w:hAnsi="Arial"/>
                <w:sz w:val="18"/>
                <w:szCs w:val="18"/>
                <w:b w:val="1"/>
                <w:bCs w:val="1"/>
                <w:color w:val="auto"/>
              </w:rPr>
              <w:t>INDEX</w:t>
            </w:r>
          </w:p>
        </w:tc>
        <w:tc>
          <w:tcPr>
            <w:tcW w:w="6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r>
      <w:tr>
        <w:trPr>
          <w:trHeight w:val="189"/>
        </w:trPr>
        <w:tc>
          <w:tcPr>
            <w:tcW w:w="20" w:type="dxa"/>
            <w:vAlign w:val="bottom"/>
          </w:tcPr>
          <w:p>
            <w:pPr>
              <w:spacing w:after="0"/>
              <w:rPr>
                <w:sz w:val="16"/>
                <w:szCs w:val="16"/>
                <w:color w:val="auto"/>
              </w:rPr>
            </w:pPr>
          </w:p>
        </w:tc>
        <w:tc>
          <w:tcPr>
            <w:tcW w:w="3180" w:type="dxa"/>
            <w:vAlign w:val="bottom"/>
            <w:tcBorders>
              <w:bottom w:val="single" w:sz="8" w:color="0000FF"/>
            </w:tcBorders>
            <w:gridSpan w:val="10"/>
          </w:tcPr>
          <w:p>
            <w:pPr>
              <w:spacing w:after="0" w:line="189" w:lineRule="exact"/>
              <w:rPr>
                <w:sz w:val="20"/>
                <w:szCs w:val="20"/>
                <w:color w:val="auto"/>
              </w:rPr>
            </w:pPr>
            <w:r>
              <w:rPr>
                <w:rFonts w:ascii="Arial" w:cs="Arial" w:eastAsia="Arial" w:hAnsi="Arial"/>
                <w:sz w:val="18"/>
                <w:szCs w:val="18"/>
                <w:b w:val="1"/>
                <w:bCs w:val="1"/>
                <w:color w:val="0000FF"/>
              </w:rPr>
              <w:t>PART 1 – FINANCIAL INFORMATION</w:t>
            </w:r>
          </w:p>
        </w:tc>
        <w:tc>
          <w:tcPr>
            <w:tcW w:w="7400" w:type="dxa"/>
            <w:vAlign w:val="bottom"/>
            <w:gridSpan w:val="9"/>
          </w:tcPr>
          <w:p>
            <w:pPr>
              <w:spacing w:after="0"/>
              <w:rPr>
                <w:sz w:val="16"/>
                <w:szCs w:val="16"/>
                <w:color w:val="auto"/>
              </w:rPr>
            </w:pPr>
          </w:p>
        </w:tc>
        <w:tc>
          <w:tcPr>
            <w:tcW w:w="640" w:type="dxa"/>
            <w:vAlign w:val="bottom"/>
          </w:tcPr>
          <w:p>
            <w:pPr>
              <w:spacing w:after="0"/>
              <w:rPr>
                <w:sz w:val="16"/>
                <w:szCs w:val="16"/>
                <w:color w:val="auto"/>
              </w:rPr>
            </w:pPr>
          </w:p>
        </w:tc>
      </w:tr>
      <w:tr>
        <w:trPr>
          <w:trHeight w:val="372"/>
        </w:trPr>
        <w:tc>
          <w:tcPr>
            <w:tcW w:w="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1.</w:t>
            </w:r>
          </w:p>
        </w:tc>
        <w:tc>
          <w:tcPr>
            <w:tcW w:w="9560" w:type="dxa"/>
            <w:vAlign w:val="bottom"/>
            <w:gridSpan w:val="17"/>
          </w:tcPr>
          <w:p>
            <w:pPr>
              <w:spacing w:after="0"/>
              <w:rPr>
                <w:sz w:val="20"/>
                <w:szCs w:val="20"/>
                <w:color w:val="auto"/>
              </w:rPr>
            </w:pPr>
            <w:r>
              <w:rPr>
                <w:rFonts w:ascii="Arial" w:cs="Arial" w:eastAsia="Arial" w:hAnsi="Arial"/>
                <w:sz w:val="18"/>
                <w:szCs w:val="18"/>
                <w:color w:val="0000FF"/>
              </w:rPr>
              <w:t>Financial Statements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a)</w:t>
            </w:r>
          </w:p>
        </w:tc>
        <w:tc>
          <w:tcPr>
            <w:tcW w:w="66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Consolidated Balance Sheets as of September 30, 2023 (Unaudited) and December 31, 2022</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b)</w:t>
            </w:r>
          </w:p>
        </w:tc>
        <w:tc>
          <w:tcPr>
            <w:tcW w:w="66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w w:val="99"/>
              </w:rPr>
              <w:t>Consolidated Statements of Operations (Unaudited) for the three and nine months ended September 30, 2023 and 2022</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c)</w:t>
            </w:r>
          </w:p>
        </w:tc>
        <w:tc>
          <w:tcPr>
            <w:tcW w:w="66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Consolidated Statements of Cash Flows (Unaudited) for the nine months ended September 30, 2023 and 2022</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d)</w:t>
            </w:r>
          </w:p>
        </w:tc>
        <w:tc>
          <w:tcPr>
            <w:tcW w:w="66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Consolidated Statement of Stockholders' Equity (Unaudited) for the quarterly periods during 2023</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500" w:type="dxa"/>
            <w:vAlign w:val="bottom"/>
            <w:tcBorders>
              <w:left w:val="single" w:sz="8" w:color="0000EE"/>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e)</w:t>
            </w:r>
          </w:p>
        </w:tc>
        <w:tc>
          <w:tcPr>
            <w:tcW w:w="66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Consolidated Statement of Stockholders' Equity (Unaudited) for the quarterly periods during 2022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f)</w:t>
            </w:r>
          </w:p>
        </w:tc>
        <w:tc>
          <w:tcPr>
            <w:tcW w:w="66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2.</w:t>
            </w:r>
          </w:p>
        </w:tc>
        <w:tc>
          <w:tcPr>
            <w:tcW w:w="95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3.</w:t>
            </w:r>
          </w:p>
        </w:tc>
        <w:tc>
          <w:tcPr>
            <w:tcW w:w="95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40" w:type="dxa"/>
            <w:vAlign w:val="bottom"/>
            <w:tcBorders>
              <w:left w:val="single" w:sz="8" w:color="0000FF"/>
            </w:tcBorders>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4.</w:t>
            </w:r>
          </w:p>
        </w:tc>
        <w:tc>
          <w:tcPr>
            <w:tcW w:w="95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020" w:type="dxa"/>
            <w:vAlign w:val="bottom"/>
            <w:tcBorders>
              <w:right w:val="single" w:sz="8" w:color="0000EE"/>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0" w:type="dxa"/>
            <w:vAlign w:val="bottom"/>
            <w:tcBorders>
              <w:bottom w:val="single" w:sz="8" w:color="0000EE"/>
            </w:tcBorders>
          </w:tcPr>
          <w:p>
            <w:pPr>
              <w:spacing w:after="0"/>
              <w:rPr>
                <w:sz w:val="24"/>
                <w:szCs w:val="24"/>
                <w:color w:val="auto"/>
              </w:rPr>
            </w:pPr>
          </w:p>
        </w:tc>
        <w:tc>
          <w:tcPr>
            <w:tcW w:w="28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72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1.</w:t>
            </w:r>
          </w:p>
        </w:tc>
        <w:tc>
          <w:tcPr>
            <w:tcW w:w="95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1A.</w:t>
            </w:r>
          </w:p>
        </w:tc>
        <w:tc>
          <w:tcPr>
            <w:tcW w:w="95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2.</w:t>
            </w:r>
          </w:p>
        </w:tc>
        <w:tc>
          <w:tcPr>
            <w:tcW w:w="95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3.</w:t>
            </w:r>
          </w:p>
        </w:tc>
        <w:tc>
          <w:tcPr>
            <w:tcW w:w="956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4.</w:t>
            </w:r>
          </w:p>
        </w:tc>
        <w:tc>
          <w:tcPr>
            <w:tcW w:w="95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5.</w:t>
            </w:r>
          </w:p>
        </w:tc>
        <w:tc>
          <w:tcPr>
            <w:tcW w:w="95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6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Item</w:t>
            </w:r>
          </w:p>
        </w:tc>
        <w:tc>
          <w:tcPr>
            <w:tcW w:w="660" w:type="dxa"/>
            <w:vAlign w:val="bottom"/>
          </w:tcPr>
          <w:p>
            <w:pPr>
              <w:ind w:left="20"/>
              <w:spacing w:after="0"/>
              <w:rPr>
                <w:sz w:val="20"/>
                <w:szCs w:val="20"/>
                <w:color w:val="auto"/>
              </w:rPr>
            </w:pPr>
            <w:r>
              <w:rPr>
                <w:rFonts w:ascii="Arial" w:cs="Arial" w:eastAsia="Arial" w:hAnsi="Arial"/>
                <w:sz w:val="18"/>
                <w:szCs w:val="18"/>
                <w:color w:val="auto"/>
              </w:rPr>
              <w:t>6.</w:t>
            </w:r>
          </w:p>
        </w:tc>
        <w:tc>
          <w:tcPr>
            <w:tcW w:w="95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020" w:type="dxa"/>
            <w:vAlign w:val="bottom"/>
            <w:tcBorders>
              <w:right w:val="single" w:sz="8" w:color="0000EE"/>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98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580" w:type="dxa"/>
            <w:vAlign w:val="bottom"/>
            <w:gridSpan w:val="19"/>
          </w:tcPr>
          <w:p>
            <w:pPr>
              <w:spacing w:after="0"/>
              <w:rPr>
                <w:sz w:val="20"/>
                <w:szCs w:val="20"/>
                <w:color w:val="auto"/>
              </w:rPr>
            </w:pPr>
            <w:r>
              <w:rPr>
                <w:rFonts w:ascii="Arial" w:cs="Arial" w:eastAsia="Arial" w:hAnsi="Arial"/>
                <w:sz w:val="18"/>
                <w:szCs w:val="18"/>
                <w:b w:val="1"/>
                <w:bCs w:val="1"/>
                <w:color w:val="0000FF"/>
              </w:rPr>
              <w:t>SIGNATURES</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013"/>
        </w:trPr>
        <w:tc>
          <w:tcPr>
            <w:tcW w:w="2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CORECIVIC,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AND AMOUNTS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560" w:type="dxa"/>
            <w:vAlign w:val="bottom"/>
          </w:tcPr>
          <w:p>
            <w:pPr>
              <w:ind w:left="34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36"/>
        </w:trPr>
        <w:tc>
          <w:tcPr>
            <w:tcW w:w="75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103,697</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14,214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credit loss reserve of $7,358 and $8,008, respectively</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269,416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32,638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419,965</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513,670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 estate and related assets:</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560" w:type="dxa"/>
            <w:vAlign w:val="bottom"/>
          </w:tcPr>
          <w:p>
            <w:pPr>
              <w:ind w:left="160"/>
              <w:spacing w:after="0"/>
              <w:rPr>
                <w:sz w:val="20"/>
                <w:szCs w:val="20"/>
                <w:color w:val="auto"/>
              </w:rPr>
            </w:pPr>
            <w:r>
              <w:rPr>
                <w:rFonts w:ascii="Arial" w:cs="Arial" w:eastAsia="Arial" w:hAnsi="Arial"/>
                <w:sz w:val="18"/>
                <w:szCs w:val="18"/>
                <w:color w:val="auto"/>
              </w:rPr>
              <w:t>Property and equipment, net of accumulated depreciation of $1,798,675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2,127,800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340"/>
              <w:spacing w:after="0"/>
              <w:rPr>
                <w:sz w:val="20"/>
                <w:szCs w:val="20"/>
                <w:color w:val="auto"/>
              </w:rPr>
            </w:pPr>
            <w:r>
              <w:rPr>
                <w:rFonts w:ascii="Arial" w:cs="Arial" w:eastAsia="Arial" w:hAnsi="Arial"/>
                <w:sz w:val="18"/>
                <w:szCs w:val="18"/>
                <w:color w:val="auto"/>
              </w:rPr>
              <w:t>and $1,716,283,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2,176,098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 real estate assets</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204,096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4,844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311,903</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3,068,608</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3,244,769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tcBorders>
              <w:bottom w:val="single" w:sz="8" w:color="auto"/>
            </w:tcBorders>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290,385</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285,226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13,982</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304,367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1,055,588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1,084,858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18,869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deferred tax liabilities</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98,124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133,358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1,610,306</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1,812,361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5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 $0.01 par value; 50,000 shares authorized; none issued and outstanding</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at September 30, 2023 and December 31, 2022, respectively</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gridSpan w:val="2"/>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60" w:type="dxa"/>
            <w:vAlign w:val="bottom"/>
          </w:tcPr>
          <w:p>
            <w:pPr>
              <w:ind w:left="20"/>
              <w:spacing w:after="0"/>
              <w:rPr>
                <w:sz w:val="20"/>
                <w:szCs w:val="20"/>
                <w:color w:val="auto"/>
              </w:rPr>
            </w:pPr>
            <w:r>
              <w:rPr>
                <w:rFonts w:ascii="Arial" w:cs="Arial" w:eastAsia="Arial" w:hAnsi="Arial"/>
                <w:sz w:val="18"/>
                <w:szCs w:val="18"/>
                <w:color w:val="auto"/>
              </w:rPr>
              <w:t>Common stock – $0.01 par value; 300,000 shares authorized; 113,605 and 114,988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60"/>
              <w:spacing w:after="0"/>
              <w:rPr>
                <w:sz w:val="20"/>
                <w:szCs w:val="20"/>
                <w:color w:val="auto"/>
              </w:rPr>
            </w:pPr>
            <w:r>
              <w:rPr>
                <w:rFonts w:ascii="Arial" w:cs="Arial" w:eastAsia="Arial" w:hAnsi="Arial"/>
                <w:sz w:val="18"/>
                <w:szCs w:val="18"/>
                <w:color w:val="auto"/>
              </w:rPr>
              <w:t>shares issued and outstanding at September 30, 2023 and December 31, 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1,792,481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(335,315 )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(376,431 )</w:t>
            </w:r>
          </w:p>
        </w:tc>
        <w:tc>
          <w:tcPr>
            <w:tcW w:w="0" w:type="dxa"/>
            <w:vAlign w:val="bottom"/>
          </w:tcPr>
          <w:p>
            <w:pPr>
              <w:spacing w:after="0"/>
              <w:rPr>
                <w:sz w:val="1"/>
                <w:szCs w:val="1"/>
                <w:color w:val="auto"/>
              </w:rPr>
            </w:pPr>
          </w:p>
        </w:tc>
      </w:tr>
      <w:tr>
        <w:trPr>
          <w:trHeight w:val="23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1,458,302</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1,432,408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3,068,608</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3,244,769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-4217035</wp:posOffset>
            </wp:positionV>
            <wp:extent cx="685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-3145155</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-2802255</wp:posOffset>
            </wp:positionV>
            <wp:extent cx="12001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-2485390</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-1542415</wp:posOffset>
            </wp:positionV>
            <wp:extent cx="685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CORECIVIC,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AND AMOUNTS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483,705</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464,211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1,405,389</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1,373,896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377,323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368,194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1,093,868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1,061,823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33,927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99,218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32,526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95,183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Arial" w:cs="Arial" w:eastAsia="Arial" w:hAnsi="Arial"/>
                <w:sz w:val="18"/>
                <w:szCs w:val="18"/>
                <w:color w:val="auto"/>
              </w:rPr>
              <w:t>Shareholder litigation expense</w:t>
            </w: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Asset impairments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2,710</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2,710</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446,486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433,832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1,290,979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1,256,262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(17,886 )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(20,793 )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(55,305 )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(65,381 )</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Expenses associated with debt repayments</w:t>
            </w:r>
          </w:p>
        </w:tc>
        <w:tc>
          <w:tcPr>
            <w:tcW w:w="22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(100 )</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(326 )</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refinancing transactions</w:t>
            </w:r>
          </w:p>
        </w:tc>
        <w:tc>
          <w:tcPr>
            <w:tcW w:w="220" w:type="dxa"/>
            <w:vAlign w:val="bottom"/>
            <w:shd w:val="clear" w:color="auto" w:fill="CFF0FC"/>
          </w:tcPr>
          <w:p>
            <w:pPr>
              <w:spacing w:after="0"/>
              <w:rPr>
                <w:sz w:val="21"/>
                <w:szCs w:val="21"/>
                <w:color w:val="auto"/>
              </w:rPr>
            </w:pPr>
          </w:p>
        </w:tc>
        <w:tc>
          <w:tcPr>
            <w:tcW w:w="1180" w:type="dxa"/>
            <w:vAlign w:val="bottom"/>
            <w:gridSpan w:val="2"/>
            <w:vMerge w:val="continue"/>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(783 )</w:t>
            </w:r>
          </w:p>
        </w:tc>
        <w:tc>
          <w:tcPr>
            <w:tcW w:w="240" w:type="dxa"/>
            <w:vAlign w:val="bottom"/>
            <w:shd w:val="clear" w:color="auto" w:fill="CFF0FC"/>
          </w:tcPr>
          <w:p>
            <w:pPr>
              <w:spacing w:after="0"/>
              <w:rPr>
                <w:sz w:val="21"/>
                <w:szCs w:val="21"/>
                <w:color w:val="auto"/>
              </w:rPr>
            </w:pPr>
          </w:p>
        </w:tc>
        <w:tc>
          <w:tcPr>
            <w:tcW w:w="1140" w:type="dxa"/>
            <w:vAlign w:val="bottom"/>
            <w:gridSpan w:val="2"/>
            <w:vMerge w:val="continue"/>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(7,588 )</w:t>
            </w: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Arial" w:cs="Arial" w:eastAsia="Arial" w:hAnsi="Arial"/>
                <w:sz w:val="18"/>
                <w:szCs w:val="18"/>
                <w:color w:val="auto"/>
              </w:rPr>
              <w:t>Gain on sale of real estate assets,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83,828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(74 )</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(43 )</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19,527</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92,560</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59,079</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132,748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(5,635 )</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(24,242 )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(17,957 )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(34,865 )</w:t>
            </w:r>
          </w:p>
        </w:tc>
        <w:tc>
          <w:tcPr>
            <w:tcW w:w="0" w:type="dxa"/>
            <w:vAlign w:val="bottom"/>
          </w:tcPr>
          <w:p>
            <w:pPr>
              <w:spacing w:after="0"/>
              <w:rPr>
                <w:sz w:val="1"/>
                <w:szCs w:val="1"/>
                <w:color w:val="auto"/>
              </w:rPr>
            </w:pPr>
          </w:p>
        </w:tc>
      </w:tr>
      <w:tr>
        <w:trPr>
          <w:trHeight w:val="236"/>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13,892</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68,318</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41,122</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97,883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0.12</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-2879725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-2879725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-2879725</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-1945005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-1945005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-1945005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-864870</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-864870</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-864870</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-548005</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-205105</wp:posOffset>
            </wp:positionV>
            <wp:extent cx="269176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1765" cy="20574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CORECIVIC,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AND AMOUNTS IN THOUSANDS)</w:t>
      </w:r>
    </w:p>
    <w:tbl>
      <w:tblPr>
        <w:tblLayout w:type="fixed"/>
        <w:tblInd w:w="0" w:type="dxa"/>
        <w:tblCellMar>
          <w:top w:w="0" w:type="dxa"/>
          <w:left w:w="0" w:type="dxa"/>
          <w:bottom w:w="0" w:type="dxa"/>
          <w:right w:w="0" w:type="dxa"/>
        </w:tblCellMar>
      </w:tblPr>
      <w:tr>
        <w:trPr>
          <w:trHeight w:val="148"/>
        </w:trPr>
        <w:tc>
          <w:tcPr>
            <w:tcW w:w="7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20" w:type="dxa"/>
            <w:vAlign w:val="bottom"/>
            <w:gridSpan w:val="5"/>
          </w:tcPr>
          <w:p>
            <w:pPr>
              <w:jc w:val="right"/>
              <w:ind w:right="960"/>
              <w:spacing w:after="0" w:line="149" w:lineRule="exact"/>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41,122</w:t>
            </w:r>
          </w:p>
        </w:tc>
        <w:tc>
          <w:tcPr>
            <w:tcW w:w="3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97,883</w:t>
            </w:r>
          </w:p>
        </w:tc>
        <w:tc>
          <w:tcPr>
            <w:tcW w:w="100" w:type="dxa"/>
            <w:vAlign w:val="bottom"/>
          </w:tcPr>
          <w:p>
            <w:pPr>
              <w:spacing w:after="0"/>
              <w:rPr>
                <w:sz w:val="20"/>
                <w:szCs w:val="20"/>
                <w:color w:val="auto"/>
              </w:rPr>
            </w:pP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net cash provided by</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95,183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96,218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Asset impairments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2,710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other non-cash interest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3,438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Expenses associated with debt repayments and refinancing transactions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Arial" w:cs="Arial" w:eastAsia="Arial" w:hAnsi="Arial"/>
                <w:sz w:val="18"/>
                <w:szCs w:val="18"/>
                <w:color w:val="auto"/>
              </w:rPr>
              <w:t>Gain on sale of real estate assets,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(343 )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(87,149 )</w:t>
            </w:r>
          </w:p>
        </w:tc>
      </w:tr>
      <w:tr>
        <w:trPr>
          <w:trHeight w:val="24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(1,494 )</w:t>
            </w: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Arial" w:cs="Arial" w:eastAsia="Arial" w:hAnsi="Arial"/>
                <w:sz w:val="18"/>
                <w:szCs w:val="18"/>
                <w:color w:val="auto"/>
              </w:rPr>
              <w:t>Non-cash revenue and other income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(2,087 )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(3,155 )</w:t>
            </w:r>
          </w:p>
        </w:tc>
      </w:tr>
      <w:tr>
        <w:trPr>
          <w:trHeight w:val="24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equity compensation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15,442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Arial" w:cs="Arial" w:eastAsia="Arial" w:hAnsi="Arial"/>
                <w:sz w:val="18"/>
                <w:szCs w:val="18"/>
                <w:color w:val="auto"/>
              </w:rPr>
              <w:t>Other expenses and non-cash items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4,839</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assets and liabilities, net: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560"/>
              <w:spacing w:after="0"/>
              <w:rPr>
                <w:sz w:val="20"/>
                <w:szCs w:val="20"/>
                <w:color w:val="auto"/>
              </w:rPr>
            </w:pPr>
            <w:r>
              <w:rPr>
                <w:rFonts w:ascii="Arial" w:cs="Arial" w:eastAsia="Arial" w:hAnsi="Arial"/>
                <w:sz w:val="18"/>
                <w:szCs w:val="18"/>
                <w:color w:val="auto"/>
              </w:rPr>
              <w:t>Accounts receivable, prepaid expenses and other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44,750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(14,963 )</w:t>
            </w:r>
          </w:p>
        </w:tc>
      </w:tr>
      <w:tr>
        <w:trPr>
          <w:trHeight w:val="243"/>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 accrued expenses and other liabilities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5,691</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(11,971 )</w:t>
            </w:r>
          </w:p>
        </w:tc>
      </w:tr>
      <w:tr>
        <w:trPr>
          <w:trHeight w:val="237"/>
        </w:trPr>
        <w:tc>
          <w:tcPr>
            <w:tcW w:w="774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209,577</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118,189</w:t>
            </w:r>
          </w:p>
        </w:tc>
        <w:tc>
          <w:tcPr>
            <w:tcW w:w="100" w:type="dxa"/>
            <w:vAlign w:val="bottom"/>
            <w:tcBorders>
              <w:top w:val="single" w:sz="8" w:color="CFF0FC"/>
            </w:tcBorders>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Arial" w:cs="Arial" w:eastAsia="Arial" w:hAnsi="Arial"/>
                <w:sz w:val="18"/>
                <w:szCs w:val="18"/>
                <w:color w:val="auto"/>
              </w:rPr>
              <w:t>Expenditures for facility development and expansions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(5,001 )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(17,249 )</w:t>
            </w: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Expenditures for other capital improvements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(39,347 )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(33,669 )</w:t>
            </w:r>
          </w:p>
        </w:tc>
      </w:tr>
      <w:tr>
        <w:trPr>
          <w:trHeight w:val="239"/>
        </w:trPr>
        <w:tc>
          <w:tcPr>
            <w:tcW w:w="7740" w:type="dxa"/>
            <w:vAlign w:val="bottom"/>
          </w:tcPr>
          <w:p>
            <w:pPr>
              <w:ind w:left="200"/>
              <w:spacing w:after="0"/>
              <w:rPr>
                <w:sz w:val="20"/>
                <w:szCs w:val="20"/>
                <w:color w:val="auto"/>
              </w:rPr>
            </w:pPr>
            <w:r>
              <w:rPr>
                <w:rFonts w:ascii="Arial" w:cs="Arial" w:eastAsia="Arial" w:hAnsi="Arial"/>
                <w:sz w:val="18"/>
                <w:szCs w:val="18"/>
                <w:color w:val="auto"/>
              </w:rPr>
              <w:t>Net proceeds from sale of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6,431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156,169</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Increase in other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(1,297 )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(3,363 )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(39,214 )</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101,888</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borrowings from credit facility</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125,000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Scheduled principal repayments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(8,637 )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(12,664 )</w:t>
            </w:r>
          </w:p>
        </w:tc>
      </w:tr>
      <w:tr>
        <w:trPr>
          <w:trHeight w:val="239"/>
        </w:trPr>
        <w:tc>
          <w:tcPr>
            <w:tcW w:w="7740" w:type="dxa"/>
            <w:vAlign w:val="bottom"/>
          </w:tcPr>
          <w:p>
            <w:pPr>
              <w:ind w:left="200"/>
              <w:spacing w:after="0"/>
              <w:rPr>
                <w:sz w:val="20"/>
                <w:szCs w:val="20"/>
                <w:color w:val="auto"/>
              </w:rPr>
            </w:pPr>
            <w:r>
              <w:rPr>
                <w:rFonts w:ascii="Arial" w:cs="Arial" w:eastAsia="Arial" w:hAnsi="Arial"/>
                <w:sz w:val="18"/>
                <w:szCs w:val="18"/>
                <w:color w:val="auto"/>
              </w:rPr>
              <w:t>Principal repayments of credit facility</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(125,000 )</w:t>
            </w: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repayments of debt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(174,754 )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(332,159 )</w:t>
            </w:r>
          </w:p>
        </w:tc>
      </w:tr>
      <w:tr>
        <w:trPr>
          <w:trHeight w:val="239"/>
        </w:trPr>
        <w:tc>
          <w:tcPr>
            <w:tcW w:w="7740" w:type="dxa"/>
            <w:vAlign w:val="bottom"/>
          </w:tcPr>
          <w:p>
            <w:pPr>
              <w:ind w:left="200"/>
              <w:spacing w:after="0"/>
              <w:rPr>
                <w:sz w:val="20"/>
                <w:szCs w:val="20"/>
                <w:color w:val="auto"/>
              </w:rPr>
            </w:pPr>
            <w:r>
              <w:rPr>
                <w:rFonts w:ascii="Arial" w:cs="Arial" w:eastAsia="Arial" w:hAnsi="Arial"/>
                <w:sz w:val="18"/>
                <w:szCs w:val="18"/>
                <w:color w:val="auto"/>
              </w:rPr>
              <w:t>Payment of debt defeasance, issuance and other refinancing and related costs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(6,402 )</w:t>
            </w: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lease obligations for financing leases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(445 )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(432 )</w:t>
            </w:r>
          </w:p>
        </w:tc>
      </w:tr>
      <w:tr>
        <w:trPr>
          <w:trHeight w:val="239"/>
        </w:trPr>
        <w:tc>
          <w:tcPr>
            <w:tcW w:w="7740" w:type="dxa"/>
            <w:vAlign w:val="bottom"/>
          </w:tcPr>
          <w:p>
            <w:pPr>
              <w:ind w:left="200"/>
              <w:spacing w:after="0"/>
              <w:rPr>
                <w:sz w:val="20"/>
                <w:szCs w:val="20"/>
                <w:color w:val="auto"/>
              </w:rPr>
            </w:pPr>
            <w:r>
              <w:rPr>
                <w:rFonts w:ascii="Arial" w:cs="Arial" w:eastAsia="Arial" w:hAnsi="Arial"/>
                <w:sz w:val="18"/>
                <w:szCs w:val="18"/>
                <w:color w:val="auto"/>
              </w:rPr>
              <w:t>Dividends paid on RSUs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(886 )</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and retirement of common stock</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(30,531 )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(79,080 )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7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(214,617 )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(331,623 )</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 CASH, CASH EQUIVALENTS AND</w:t>
            </w:r>
          </w:p>
        </w:tc>
        <w:tc>
          <w:tcPr>
            <w:tcW w:w="3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b w:val="1"/>
                <w:bCs w:val="1"/>
                <w:color w:val="auto"/>
              </w:rPr>
              <w:t>RESTRICTED CASH</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(44,254 )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(111,546 )</w:t>
            </w: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162,165</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310,707</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117,911</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199,161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Establishment of right of use assets and lease liabilities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566</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during the period for:</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Arial" w:cs="Arial" w:eastAsia="Arial" w:hAnsi="Arial"/>
                <w:sz w:val="18"/>
                <w:szCs w:val="18"/>
                <w:color w:val="auto"/>
              </w:rPr>
              <w:t>Interest (net of amounts capitalized of $0.8 million in 2022)</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46,809</w:t>
            </w:r>
          </w:p>
        </w:tc>
        <w:tc>
          <w:tcPr>
            <w:tcW w:w="3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Income taxes paid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18,475</w:t>
            </w:r>
          </w:p>
        </w:tc>
        <w:tc>
          <w:tcPr>
            <w:tcW w:w="3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-4311015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-3368040</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-1807845</wp:posOffset>
            </wp:positionV>
            <wp:extent cx="685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-1028065</wp:posOffset>
            </wp:positionV>
            <wp:extent cx="122555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-694055</wp:posOffset>
            </wp:positionV>
            <wp:extent cx="122555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25550" cy="1803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CORECIVIC,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PERIODS DURING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AND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Stockholders' Equity</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5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512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r>
      <w:tr>
        <w:trPr>
          <w:trHeight w:val="183"/>
        </w:trPr>
        <w:tc>
          <w:tcPr>
            <w:tcW w:w="5120" w:type="dxa"/>
            <w:vAlign w:val="bottom"/>
          </w:tcPr>
          <w:p>
            <w:pPr>
              <w:spacing w:after="0"/>
              <w:rPr>
                <w:sz w:val="15"/>
                <w:szCs w:val="15"/>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5"/>
                <w:szCs w:val="15"/>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940" w:type="dxa"/>
            <w:vAlign w:val="bottom"/>
          </w:tcPr>
          <w:p>
            <w:pPr>
              <w:jc w:val="right"/>
              <w:spacing w:after="0"/>
              <w:rPr>
                <w:sz w:val="20"/>
                <w:szCs w:val="20"/>
                <w:color w:val="auto"/>
              </w:rPr>
            </w:pPr>
            <w:r>
              <w:rPr>
                <w:rFonts w:ascii="Arial" w:cs="Arial" w:eastAsia="Arial" w:hAnsi="Arial"/>
                <w:sz w:val="16"/>
                <w:szCs w:val="16"/>
                <w:color w:val="auto"/>
              </w:rPr>
              <w:t>114,988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1,807,689</w:t>
            </w:r>
          </w:p>
        </w:tc>
        <w:tc>
          <w:tcPr>
            <w:tcW w:w="2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(376,431 )</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1,432,408</w:t>
            </w:r>
          </w:p>
        </w:tc>
        <w:tc>
          <w:tcPr>
            <w:tcW w:w="100" w:type="dxa"/>
            <w:vAlign w:val="bottom"/>
          </w:tcPr>
          <w:p>
            <w:pPr>
              <w:spacing w:after="0"/>
              <w:rPr>
                <w:sz w:val="18"/>
                <w:szCs w:val="18"/>
                <w:color w:val="auto"/>
              </w:rPr>
            </w:pPr>
          </w:p>
        </w:tc>
      </w:tr>
      <w:tr>
        <w:trPr>
          <w:trHeight w:val="23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12,400</w:t>
            </w:r>
          </w:p>
        </w:tc>
        <w:tc>
          <w:tcPr>
            <w:tcW w:w="100" w:type="dxa"/>
            <w:vAlign w:val="bottom"/>
            <w:shd w:val="clear" w:color="auto" w:fill="CFF0FC"/>
          </w:tcPr>
          <w:p>
            <w:pPr>
              <w:spacing w:after="0"/>
              <w:rPr>
                <w:sz w:val="20"/>
                <w:szCs w:val="20"/>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Retirement of common stock</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(2,980 )</w:t>
            </w:r>
          </w:p>
        </w:tc>
        <w:tc>
          <w:tcPr>
            <w:tcW w:w="18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6"/>
                <w:szCs w:val="16"/>
                <w:color w:val="auto"/>
              </w:rPr>
              <w:t>(30 )</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(29,924 )</w:t>
            </w:r>
          </w:p>
        </w:tc>
        <w:tc>
          <w:tcPr>
            <w:tcW w:w="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(29,954 )</w:t>
            </w:r>
          </w:p>
        </w:tc>
      </w:tr>
      <w:tr>
        <w:trPr>
          <w:trHeight w:val="23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on RSUs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(6 )</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(6 )</w:t>
            </w: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Restricted stock compensation, net of forfeitures</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4,884</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grants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(17 )</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51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Balance as of March 31, 2023</w:t>
            </w:r>
          </w:p>
        </w:tc>
        <w:tc>
          <w:tcPr>
            <w:tcW w:w="940" w:type="dxa"/>
            <w:vAlign w:val="bottom"/>
          </w:tcPr>
          <w:p>
            <w:pPr>
              <w:jc w:val="right"/>
              <w:spacing w:after="0"/>
              <w:rPr>
                <w:sz w:val="20"/>
                <w:szCs w:val="20"/>
                <w:color w:val="auto"/>
              </w:rPr>
            </w:pPr>
            <w:r>
              <w:rPr>
                <w:rFonts w:ascii="Arial" w:cs="Arial" w:eastAsia="Arial" w:hAnsi="Arial"/>
                <w:sz w:val="16"/>
                <w:szCs w:val="16"/>
                <w:color w:val="auto"/>
              </w:rPr>
              <w:t>113,685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1,782,632</w:t>
            </w:r>
          </w:p>
        </w:tc>
        <w:tc>
          <w:tcPr>
            <w:tcW w:w="22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(364,037 )</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1,419,732</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14,830</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14,830</w:t>
            </w:r>
          </w:p>
        </w:tc>
        <w:tc>
          <w:tcPr>
            <w:tcW w:w="100" w:type="dxa"/>
            <w:vAlign w:val="bottom"/>
            <w:shd w:val="clear" w:color="auto" w:fill="CFF0FC"/>
          </w:tcPr>
          <w:p>
            <w:pPr>
              <w:spacing w:after="0"/>
              <w:rPr>
                <w:sz w:val="19"/>
                <w:szCs w:val="19"/>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Retirement of common stock</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(84 )</w:t>
            </w:r>
          </w:p>
        </w:tc>
        <w:tc>
          <w:tcPr>
            <w:tcW w:w="18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(698 )</w:t>
            </w:r>
          </w:p>
        </w:tc>
        <w:tc>
          <w:tcPr>
            <w:tcW w:w="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(699 )</w:t>
            </w:r>
          </w:p>
        </w:tc>
      </w:tr>
      <w:tr>
        <w:trPr>
          <w:trHeight w:val="23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compensation, net of forfeitures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5,273</w:t>
            </w:r>
          </w:p>
        </w:tc>
        <w:tc>
          <w:tcPr>
            <w:tcW w:w="100" w:type="dxa"/>
            <w:vAlign w:val="bottom"/>
            <w:shd w:val="clear" w:color="auto" w:fill="CFF0FC"/>
          </w:tcPr>
          <w:p>
            <w:pPr>
              <w:spacing w:after="0"/>
              <w:rPr>
                <w:sz w:val="20"/>
                <w:szCs w:val="20"/>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Restricted stock grants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June 30, 2023</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1,787,207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(349,207 )</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1,439,136</w:t>
            </w:r>
          </w:p>
        </w:tc>
        <w:tc>
          <w:tcPr>
            <w:tcW w:w="100" w:type="dxa"/>
            <w:vAlign w:val="bottom"/>
            <w:shd w:val="clear" w:color="auto" w:fill="CFF0FC"/>
          </w:tcPr>
          <w:p>
            <w:pPr>
              <w:spacing w:after="0"/>
              <w:rPr>
                <w:sz w:val="19"/>
                <w:szCs w:val="19"/>
                <w:color w:val="auto"/>
              </w:rPr>
            </w:pPr>
          </w:p>
        </w:tc>
      </w:tr>
      <w:tr>
        <w:trPr>
          <w:trHeight w:val="233"/>
        </w:trPr>
        <w:tc>
          <w:tcPr>
            <w:tcW w:w="51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13,892</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13,892</w:t>
            </w:r>
          </w:p>
        </w:tc>
        <w:tc>
          <w:tcPr>
            <w:tcW w:w="100" w:type="dxa"/>
            <w:vAlign w:val="bottom"/>
            <w:tcBorders>
              <w:top w:val="single" w:sz="8" w:color="CFF0FC"/>
            </w:tcBorders>
          </w:tcPr>
          <w:p>
            <w:pPr>
              <w:spacing w:after="0"/>
              <w:rPr>
                <w:sz w:val="20"/>
                <w:szCs w:val="20"/>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Retirement of common stock</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(11 )</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(11 )</w:t>
            </w: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Restricted stock compensation, net of forfeitures</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5,285</w:t>
            </w:r>
          </w:p>
        </w:tc>
        <w:tc>
          <w:tcPr>
            <w:tcW w:w="100" w:type="dxa"/>
            <w:vAlign w:val="bottom"/>
          </w:tcPr>
          <w:p>
            <w:pPr>
              <w:spacing w:after="0"/>
              <w:rPr>
                <w:sz w:val="19"/>
                <w:szCs w:val="19"/>
                <w:color w:val="auto"/>
              </w:rPr>
            </w:pPr>
          </w:p>
        </w:tc>
      </w:tr>
      <w:tr>
        <w:trPr>
          <w:trHeight w:val="26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113,605</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1,136</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1,792,481</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(335,315</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1,458,302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-1542415</wp:posOffset>
            </wp:positionV>
            <wp:extent cx="7747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-1542415</wp:posOffset>
            </wp:positionV>
            <wp:extent cx="7747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-1542415</wp:posOffset>
            </wp:positionV>
            <wp:extent cx="685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-1542415</wp:posOffset>
            </wp:positionV>
            <wp:extent cx="6858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-642620</wp:posOffset>
            </wp:positionV>
            <wp:extent cx="7747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-642620</wp:posOffset>
            </wp:positionV>
            <wp:extent cx="7747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-642620</wp:posOffset>
            </wp:positionV>
            <wp:extent cx="685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-642620</wp:posOffset>
            </wp:positionV>
            <wp:extent cx="6858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CORECIVIC,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PERIODS DURING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AND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2"/>
              </w:rPr>
              <w:t>Stockholders' Equity</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r>
      <w:tr>
        <w:trPr>
          <w:trHeight w:val="188"/>
        </w:trPr>
        <w:tc>
          <w:tcPr>
            <w:tcW w:w="50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r>
      <w:tr>
        <w:trPr>
          <w:trHeight w:val="183"/>
        </w:trPr>
        <w:tc>
          <w:tcPr>
            <w:tcW w:w="5060" w:type="dxa"/>
            <w:vAlign w:val="bottom"/>
          </w:tcPr>
          <w:p>
            <w:pPr>
              <w:spacing w:after="0"/>
              <w:rPr>
                <w:sz w:val="15"/>
                <w:szCs w:val="15"/>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Par Value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5"/>
                <w:szCs w:val="15"/>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960" w:type="dxa"/>
            <w:vAlign w:val="bottom"/>
          </w:tcPr>
          <w:p>
            <w:pPr>
              <w:jc w:val="right"/>
              <w:spacing w:after="0"/>
              <w:rPr>
                <w:sz w:val="20"/>
                <w:szCs w:val="20"/>
                <w:color w:val="auto"/>
              </w:rPr>
            </w:pPr>
            <w:r>
              <w:rPr>
                <w:rFonts w:ascii="Arial" w:cs="Arial" w:eastAsia="Arial" w:hAnsi="Arial"/>
                <w:sz w:val="16"/>
                <w:szCs w:val="16"/>
                <w:color w:val="auto"/>
              </w:rPr>
              <w:t>120,285</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1,869,955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(498,690 )</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1,372,468</w:t>
            </w:r>
          </w:p>
        </w:tc>
        <w:tc>
          <w:tcPr>
            <w:tcW w:w="100" w:type="dxa"/>
            <w:vAlign w:val="bottom"/>
          </w:tcPr>
          <w:p>
            <w:pPr>
              <w:spacing w:after="0"/>
              <w:rPr>
                <w:sz w:val="18"/>
                <w:szCs w:val="18"/>
                <w:color w:val="auto"/>
              </w:rPr>
            </w:pPr>
          </w:p>
        </w:tc>
      </w:tr>
      <w:tr>
        <w:trPr>
          <w:trHeight w:val="23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19,003</w:t>
            </w:r>
          </w:p>
        </w:tc>
        <w:tc>
          <w:tcPr>
            <w:tcW w:w="100" w:type="dxa"/>
            <w:vAlign w:val="bottom"/>
            <w:shd w:val="clear" w:color="auto" w:fill="CFF0FC"/>
          </w:tcPr>
          <w:p>
            <w:pPr>
              <w:spacing w:after="0"/>
              <w:rPr>
                <w:sz w:val="20"/>
                <w:szCs w:val="20"/>
                <w:color w:val="auto"/>
              </w:rPr>
            </w:pPr>
          </w:p>
        </w:tc>
      </w:tr>
      <w:tr>
        <w:trPr>
          <w:trHeight w:val="220"/>
        </w:trPr>
        <w:tc>
          <w:tcPr>
            <w:tcW w:w="5060" w:type="dxa"/>
            <w:vAlign w:val="bottom"/>
          </w:tcPr>
          <w:p>
            <w:pPr>
              <w:ind w:left="20"/>
              <w:spacing w:after="0"/>
              <w:rPr>
                <w:sz w:val="20"/>
                <w:szCs w:val="20"/>
                <w:color w:val="auto"/>
              </w:rPr>
            </w:pPr>
            <w:r>
              <w:rPr>
                <w:rFonts w:ascii="Arial" w:cs="Arial" w:eastAsia="Arial" w:hAnsi="Arial"/>
                <w:sz w:val="16"/>
                <w:szCs w:val="16"/>
                <w:color w:val="auto"/>
              </w:rPr>
              <w:t>Retirement of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(518 )</w:t>
            </w:r>
          </w:p>
        </w:tc>
        <w:tc>
          <w:tcPr>
            <w:tcW w:w="20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(5,139 )</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(5,144 )</w:t>
            </w:r>
          </w:p>
        </w:tc>
      </w:tr>
      <w:tr>
        <w:trPr>
          <w:trHeight w:val="23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on RSUs</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(77 )</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(77 )</w:t>
            </w:r>
          </w:p>
        </w:tc>
      </w:tr>
      <w:tr>
        <w:trPr>
          <w:trHeight w:val="220"/>
        </w:trPr>
        <w:tc>
          <w:tcPr>
            <w:tcW w:w="5060" w:type="dxa"/>
            <w:vAlign w:val="bottom"/>
          </w:tcPr>
          <w:p>
            <w:pPr>
              <w:ind w:left="20"/>
              <w:spacing w:after="0"/>
              <w:rPr>
                <w:sz w:val="20"/>
                <w:szCs w:val="20"/>
                <w:color w:val="auto"/>
              </w:rPr>
            </w:pPr>
            <w:r>
              <w:rPr>
                <w:rFonts w:ascii="Arial" w:cs="Arial" w:eastAsia="Arial" w:hAnsi="Arial"/>
                <w:sz w:val="16"/>
                <w:szCs w:val="16"/>
                <w:color w:val="auto"/>
              </w:rPr>
              <w:t>Restricted stock compensation, net of forfeitures</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5,267</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grants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506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Balance as of March 31, 2022</w:t>
            </w:r>
          </w:p>
        </w:tc>
        <w:tc>
          <w:tcPr>
            <w:tcW w:w="960" w:type="dxa"/>
            <w:vAlign w:val="bottom"/>
          </w:tcPr>
          <w:p>
            <w:pPr>
              <w:jc w:val="right"/>
              <w:spacing w:after="0"/>
              <w:rPr>
                <w:sz w:val="20"/>
                <w:szCs w:val="20"/>
                <w:color w:val="auto"/>
              </w:rPr>
            </w:pPr>
            <w:r>
              <w:rPr>
                <w:rFonts w:ascii="Arial" w:cs="Arial" w:eastAsia="Arial" w:hAnsi="Arial"/>
                <w:sz w:val="16"/>
                <w:szCs w:val="16"/>
                <w:color w:val="auto"/>
              </w:rPr>
              <w:t>121,586</w:t>
            </w: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1,870,065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(479,764 )</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1,391,517</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10,562</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10,562</w:t>
            </w:r>
          </w:p>
        </w:tc>
        <w:tc>
          <w:tcPr>
            <w:tcW w:w="100" w:type="dxa"/>
            <w:vAlign w:val="bottom"/>
            <w:shd w:val="clear" w:color="auto" w:fill="CFF0FC"/>
          </w:tcPr>
          <w:p>
            <w:pPr>
              <w:spacing w:after="0"/>
              <w:rPr>
                <w:sz w:val="19"/>
                <w:szCs w:val="19"/>
                <w:color w:val="auto"/>
              </w:rPr>
            </w:pPr>
          </w:p>
        </w:tc>
      </w:tr>
      <w:tr>
        <w:trPr>
          <w:trHeight w:val="220"/>
        </w:trPr>
        <w:tc>
          <w:tcPr>
            <w:tcW w:w="5060" w:type="dxa"/>
            <w:vAlign w:val="bottom"/>
          </w:tcPr>
          <w:p>
            <w:pPr>
              <w:ind w:left="20"/>
              <w:spacing w:after="0"/>
              <w:rPr>
                <w:sz w:val="20"/>
                <w:szCs w:val="20"/>
                <w:color w:val="auto"/>
              </w:rPr>
            </w:pPr>
            <w:r>
              <w:rPr>
                <w:rFonts w:ascii="Arial" w:cs="Arial" w:eastAsia="Arial" w:hAnsi="Arial"/>
                <w:sz w:val="16"/>
                <w:szCs w:val="16"/>
                <w:color w:val="auto"/>
              </w:rPr>
              <w:t>Retirement of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(2,985 )</w:t>
            </w:r>
          </w:p>
        </w:tc>
        <w:tc>
          <w:tcPr>
            <w:tcW w:w="20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6"/>
                <w:szCs w:val="16"/>
                <w:color w:val="auto"/>
              </w:rPr>
              <w:t>(30 )</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(37,569 )</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(37,599 )</w:t>
            </w:r>
          </w:p>
        </w:tc>
      </w:tr>
      <w:tr>
        <w:trPr>
          <w:trHeight w:val="23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Forfeiture of dividends on RSUs</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20"/>
                <w:szCs w:val="20"/>
                <w:color w:val="auto"/>
              </w:rPr>
            </w:pPr>
          </w:p>
        </w:tc>
      </w:tr>
      <w:tr>
        <w:trPr>
          <w:trHeight w:val="220"/>
        </w:trPr>
        <w:tc>
          <w:tcPr>
            <w:tcW w:w="5060" w:type="dxa"/>
            <w:vAlign w:val="bottom"/>
          </w:tcPr>
          <w:p>
            <w:pPr>
              <w:ind w:left="20"/>
              <w:spacing w:after="0"/>
              <w:rPr>
                <w:sz w:val="20"/>
                <w:szCs w:val="20"/>
                <w:color w:val="auto"/>
              </w:rPr>
            </w:pPr>
            <w:r>
              <w:rPr>
                <w:rFonts w:ascii="Arial" w:cs="Arial" w:eastAsia="Arial" w:hAnsi="Arial"/>
                <w:sz w:val="16"/>
                <w:szCs w:val="16"/>
                <w:color w:val="auto"/>
              </w:rPr>
              <w:t>Restricted stock compensation, net of forfeitures</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4,453</w:t>
            </w:r>
          </w:p>
        </w:tc>
        <w:tc>
          <w:tcPr>
            <w:tcW w:w="100" w:type="dxa"/>
            <w:vAlign w:val="bottom"/>
          </w:tcPr>
          <w:p>
            <w:pPr>
              <w:spacing w:after="0"/>
              <w:rPr>
                <w:sz w:val="19"/>
                <w:szCs w:val="19"/>
                <w:color w:val="auto"/>
              </w:rPr>
            </w:pPr>
          </w:p>
        </w:tc>
      </w:tr>
      <w:tr>
        <w:trPr>
          <w:trHeight w:val="233"/>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stock grants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Balance as of June 30, 2022</w:t>
            </w:r>
          </w:p>
        </w:tc>
        <w:tc>
          <w:tcPr>
            <w:tcW w:w="960" w:type="dxa"/>
            <w:vAlign w:val="bottom"/>
          </w:tcPr>
          <w:p>
            <w:pPr>
              <w:jc w:val="right"/>
              <w:spacing w:after="0"/>
              <w:rPr>
                <w:sz w:val="20"/>
                <w:szCs w:val="20"/>
                <w:color w:val="auto"/>
              </w:rPr>
            </w:pPr>
            <w:r>
              <w:rPr>
                <w:rFonts w:ascii="Arial" w:cs="Arial" w:eastAsia="Arial" w:hAnsi="Arial"/>
                <w:sz w:val="16"/>
                <w:szCs w:val="16"/>
                <w:color w:val="auto"/>
              </w:rPr>
              <w:t>118,620</w:t>
            </w: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1,186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1,836,949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(469,195 )</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1,368,940</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68,318</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68,318</w:t>
            </w:r>
          </w:p>
        </w:tc>
        <w:tc>
          <w:tcPr>
            <w:tcW w:w="100" w:type="dxa"/>
            <w:vAlign w:val="bottom"/>
            <w:shd w:val="clear" w:color="auto" w:fill="CFF0FC"/>
          </w:tcPr>
          <w:p>
            <w:pPr>
              <w:spacing w:after="0"/>
              <w:rPr>
                <w:sz w:val="19"/>
                <w:szCs w:val="19"/>
                <w:color w:val="auto"/>
              </w:rPr>
            </w:pPr>
          </w:p>
        </w:tc>
      </w:tr>
      <w:tr>
        <w:trPr>
          <w:trHeight w:val="220"/>
        </w:trPr>
        <w:tc>
          <w:tcPr>
            <w:tcW w:w="5060" w:type="dxa"/>
            <w:vAlign w:val="bottom"/>
          </w:tcPr>
          <w:p>
            <w:pPr>
              <w:ind w:left="20"/>
              <w:spacing w:after="0"/>
              <w:rPr>
                <w:sz w:val="20"/>
                <w:szCs w:val="20"/>
                <w:color w:val="auto"/>
              </w:rPr>
            </w:pPr>
            <w:r>
              <w:rPr>
                <w:rFonts w:ascii="Arial" w:cs="Arial" w:eastAsia="Arial" w:hAnsi="Arial"/>
                <w:sz w:val="16"/>
                <w:szCs w:val="16"/>
                <w:color w:val="auto"/>
              </w:rPr>
              <w:t>Retirement of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(3,635 )</w:t>
            </w:r>
          </w:p>
        </w:tc>
        <w:tc>
          <w:tcPr>
            <w:tcW w:w="20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6"/>
                <w:szCs w:val="16"/>
                <w:color w:val="auto"/>
              </w:rPr>
              <w:t>(36 )</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(37,069 )</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(37,105 )</w:t>
            </w:r>
          </w:p>
        </w:tc>
      </w:tr>
      <w:tr>
        <w:trPr>
          <w:trHeight w:val="23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Forfeiture of dividends on RSUs</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20"/>
                <w:szCs w:val="20"/>
                <w:color w:val="auto"/>
              </w:rPr>
            </w:pPr>
          </w:p>
        </w:tc>
      </w:tr>
      <w:tr>
        <w:trPr>
          <w:trHeight w:val="220"/>
        </w:trPr>
        <w:tc>
          <w:tcPr>
            <w:tcW w:w="5060" w:type="dxa"/>
            <w:vAlign w:val="bottom"/>
          </w:tcPr>
          <w:p>
            <w:pPr>
              <w:ind w:left="20"/>
              <w:spacing w:after="0"/>
              <w:rPr>
                <w:sz w:val="20"/>
                <w:szCs w:val="20"/>
                <w:color w:val="auto"/>
              </w:rPr>
            </w:pPr>
            <w:r>
              <w:rPr>
                <w:rFonts w:ascii="Arial" w:cs="Arial" w:eastAsia="Arial" w:hAnsi="Arial"/>
                <w:sz w:val="16"/>
                <w:szCs w:val="16"/>
                <w:color w:val="auto"/>
              </w:rPr>
              <w:t>Restricted stock compensation, net of forfeitures</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1,987</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grants</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506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Balance as of September 30, 2022</w:t>
            </w:r>
          </w:p>
        </w:tc>
        <w:tc>
          <w:tcPr>
            <w:tcW w:w="960" w:type="dxa"/>
            <w:vAlign w:val="bottom"/>
          </w:tcPr>
          <w:p>
            <w:pPr>
              <w:jc w:val="right"/>
              <w:spacing w:after="0"/>
              <w:rPr>
                <w:sz w:val="20"/>
                <w:szCs w:val="20"/>
                <w:color w:val="auto"/>
              </w:rPr>
            </w:pPr>
            <w:r>
              <w:rPr>
                <w:rFonts w:ascii="Arial" w:cs="Arial" w:eastAsia="Arial" w:hAnsi="Arial"/>
                <w:sz w:val="16"/>
                <w:szCs w:val="16"/>
                <w:color w:val="auto"/>
              </w:rPr>
              <w:t>114,981</w:t>
            </w: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1,801,867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(400,842 )</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1,402,175</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-1962150</wp:posOffset>
            </wp:positionV>
            <wp:extent cx="7747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-1962150</wp:posOffset>
            </wp:positionV>
            <wp:extent cx="7747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-1962150</wp:posOffset>
            </wp:positionV>
            <wp:extent cx="6858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-1962150</wp:posOffset>
            </wp:positionV>
            <wp:extent cx="685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-1070610</wp:posOffset>
            </wp:positionV>
            <wp:extent cx="7747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-1070610</wp:posOffset>
            </wp:positionV>
            <wp:extent cx="7747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-1070610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-1070610</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-179070</wp:posOffset>
            </wp:positionV>
            <wp:extent cx="7747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-179070</wp:posOffset>
            </wp:positionV>
            <wp:extent cx="7747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-179070</wp:posOffset>
            </wp:positionV>
            <wp:extent cx="6858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-179070</wp:posOffset>
            </wp:positionV>
            <wp:extent cx="685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CORECIVIC,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5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OPERATIONS</w:t>
      </w:r>
    </w:p>
    <w:p>
      <w:pPr>
        <w:spacing w:after="0" w:line="121" w:lineRule="exact"/>
        <w:rPr>
          <w:rFonts w:ascii="Arial" w:cs="Arial" w:eastAsia="Arial" w:hAnsi="Arial"/>
          <w:sz w:val="18"/>
          <w:szCs w:val="18"/>
          <w:b w:val="1"/>
          <w:bCs w:val="1"/>
          <w:color w:val="auto"/>
        </w:rPr>
      </w:pPr>
    </w:p>
    <w:p>
      <w:pPr>
        <w:jc w:val="both"/>
        <w:ind w:left="5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CoreCivic, Inc. (together with its subsidiaries, the "Company" or "CoreCivic") is the nation's largest owner of partnership correctional, detention, and residential reentry facilities and one of the largest prison operators in the United States ("U.S."). Through three segments, CoreCivic Safety, CoreCivic Community, and CoreCivic Properties, the Company provides a broad range of solutions to government partners that serve the public good through corrections and detention management, a network of residential reentry centers to help address America's recidivism crisis, and government real estate solutions. As of September 30, 2023, through its CoreCivic Safety segment, the Company operated 44 correctional and detention facilities, 40 of which the Company owned, with a total design capacity of approximately 66,000 beds. Through its CoreCivic Community segment, the Company owned and operated 23 residential reentry centers with a total design capacity of approximately 5,000 beds. In addition, through its CoreCivic Properties segment, the Company owned 6 properties, with a total design capacity of approximately 9,000 beds, leased to government agencies.</w:t>
      </w:r>
    </w:p>
    <w:p>
      <w:pPr>
        <w:spacing w:after="0" w:line="196" w:lineRule="exact"/>
        <w:rPr>
          <w:rFonts w:ascii="Arial" w:cs="Arial" w:eastAsia="Arial" w:hAnsi="Arial"/>
          <w:sz w:val="18"/>
          <w:szCs w:val="18"/>
          <w:b w:val="1"/>
          <w:bCs w:val="1"/>
          <w:color w:val="auto"/>
        </w:rPr>
      </w:pPr>
    </w:p>
    <w:p>
      <w:pPr>
        <w:jc w:val="both"/>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200" w:lineRule="exact"/>
        <w:rPr>
          <w:rFonts w:ascii="Arial" w:cs="Arial" w:eastAsia="Arial" w:hAnsi="Arial"/>
          <w:sz w:val="18"/>
          <w:szCs w:val="18"/>
          <w:b w:val="1"/>
          <w:bCs w:val="1"/>
          <w:color w:val="auto"/>
        </w:rPr>
      </w:pPr>
    </w:p>
    <w:p>
      <w:pPr>
        <w:spacing w:after="0" w:line="226" w:lineRule="exact"/>
        <w:rPr>
          <w:rFonts w:ascii="Arial" w:cs="Arial" w:eastAsia="Arial" w:hAnsi="Arial"/>
          <w:sz w:val="18"/>
          <w:szCs w:val="18"/>
          <w:b w:val="1"/>
          <w:bCs w:val="1"/>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34" w:lineRule="exact"/>
        <w:rPr>
          <w:rFonts w:ascii="Arial" w:cs="Arial" w:eastAsia="Arial" w:hAnsi="Arial"/>
          <w:sz w:val="18"/>
          <w:szCs w:val="18"/>
          <w:b w:val="1"/>
          <w:bCs w:val="1"/>
          <w:color w:val="auto"/>
        </w:rPr>
      </w:pPr>
    </w:p>
    <w:p>
      <w:pPr>
        <w:jc w:val="both"/>
        <w:ind w:left="5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interim consolidated financial statements have been prepared by the Company and, in the opinion of management, reflect all normal recurring adjustments necessary for a fair presentation of results for the unaudited interim periods presented. Certain information and footnote disclosures normally included in financial statements prepared in accordance with U.S. generally accepted accounting principles have been condensed or omitted. The results of operations for the interim period are not necessarily indicative of the results to be obtained for the full fiscal year. Reference is made to the audited financial statements of CoreCivic included in its Annual Report on Form 10-K for the year ended December 31, 2022 filed with the Securities and Exchange Commission (the "SEC") on February 21, 2023 (the "2022 Form 10-K") with respect to certain significant accounting and financial reporting policies as well as other pertinent information of the Company.</w:t>
      </w:r>
    </w:p>
    <w:p>
      <w:pPr>
        <w:spacing w:after="0" w:line="2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9" w:lineRule="exact"/>
        <w:rPr>
          <w:rFonts w:ascii="Arial" w:cs="Arial" w:eastAsia="Arial" w:hAnsi="Arial"/>
          <w:sz w:val="18"/>
          <w:szCs w:val="18"/>
          <w:b w:val="1"/>
          <w:bCs w:val="1"/>
          <w:color w:val="auto"/>
        </w:rPr>
      </w:pPr>
    </w:p>
    <w:p>
      <w:pPr>
        <w:jc w:val="both"/>
        <w:ind w:left="5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January 26, 2021, President Biden issued the Executive Order on Reforming Our Incarceration System to Eliminate the Use of Privately Operated Criminal Detention Facilities ("Private Prison EO"). The Private Prison EO directs the Attorney General to not renew United States Department of Justice ("DOJ") contracts with privately operated criminal detention facilities. The United States Marshals Service ("USMS") is an agency of the DOJ that utilizes CoreCivic's facilities and services, and accounted for 22% of CoreCivic's total revenue for the year ended December 31, 2022. Another federal agency that utilizes CoreCivic's facilities and services, U.S. Immigration and Customs Enforcement ("ICE"), is not covered by the Private Prison EO, as ICE is an agency of the Department of Homeland Security ("DHS"), not the DOJ.</w:t>
      </w:r>
    </w:p>
    <w:p>
      <w:pPr>
        <w:spacing w:after="0" w:line="177" w:lineRule="exact"/>
        <w:rPr>
          <w:rFonts w:ascii="Arial" w:cs="Arial" w:eastAsia="Arial" w:hAnsi="Arial"/>
          <w:sz w:val="18"/>
          <w:szCs w:val="18"/>
          <w:b w:val="1"/>
          <w:bCs w:val="1"/>
          <w:color w:val="auto"/>
        </w:rPr>
      </w:pPr>
    </w:p>
    <w:p>
      <w:pPr>
        <w:jc w:val="both"/>
        <w:ind w:left="52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CoreCivic currently has two detention facilities that have direct contracts with the USMS. One of the contracts was renewed in September 2023 and now expires in September 2028. The second direct contract with the USMS expires in September 2025. It is too early to predict the outcome of the expiration of the contract scheduled to expire in September 2025, and future developments could occur prior to the scheduled expiration date.</w:t>
      </w:r>
    </w:p>
    <w:p>
      <w:pPr>
        <w:spacing w:after="0" w:line="25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rFonts w:ascii="Arial" w:cs="Arial" w:eastAsia="Arial" w:hAnsi="Arial"/>
          <w:sz w:val="18"/>
          <w:szCs w:val="18"/>
          <w:b w:val="1"/>
          <w:bCs w:val="1"/>
          <w:color w:val="auto"/>
        </w:rPr>
      </w:pPr>
    </w:p>
    <w:p>
      <w:pPr>
        <w:jc w:val="both"/>
        <w:ind w:left="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Recent accounting pronouncements issued by the FASB (including its Emerging Issues Task Force), the American Institute of Certified Public Accountants and the SEC applicable to financial statements beginning January 1, 2023 or later did not, or are not expected to, have a material effect on the Company's results of operations or financial position.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67"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To meet the reporting requirements of Accounting Standards Codification ("ASC") 825, "Financial Instruments", regarding fair value of financial instruments, CoreCivic calculates the estimated fair value of financial instruments using market interest rates, quoted market prices of similar instruments, or discounted cash flow techniques with observable Level 1 inputs for publicly traded debt and Level 2 inputs for all other financial instruments, as defined in ASC 820, "Fair Value Measurement". At September 30, 2023 and December 31, 2022, there were no material differences between the carrying amounts and the estimated fair values of CoreCivic's financial instruments, other than as follows (in thousands):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06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Note receivable from Agecroft Prison Management, LTD</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2,766</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3,014</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color w:val="auto"/>
              </w:rPr>
              <w:t>Debt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(1,081,131 )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(1,043,254 )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(1,264,522 )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(1,247,201 )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jc w:val="both"/>
        <w:ind w:left="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ASU 2017-04, "Intangibles-Goodwill and Other (Topic 350): Simplifying the Test of Goodwill Impairment", establishes accounting and reporting requirements for goodwill and other intangible assets. Goodwill was $4.8 million as of September 30, 2023 and December 31, 2022, all of which was related to the Company's CoreCivic Safety segment.</w:t>
      </w:r>
    </w:p>
    <w:p>
      <w:pPr>
        <w:spacing w:after="0" w:line="183" w:lineRule="exact"/>
        <w:rPr>
          <w:rFonts w:ascii="Arial" w:cs="Arial" w:eastAsia="Arial" w:hAnsi="Arial"/>
          <w:sz w:val="18"/>
          <w:szCs w:val="18"/>
          <w:b w:val="1"/>
          <w:bCs w:val="1"/>
          <w:color w:val="auto"/>
        </w:rPr>
      </w:pPr>
    </w:p>
    <w:p>
      <w:pPr>
        <w:jc w:val="both"/>
        <w:ind w:left="5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CoreCivic performs its impairment tests during the fourth quarter in connection with its annual budgeting process, and whenever circumstances indicate the carrying value of goodwill may not be recoverable. Under the provisions of ASU 2017-04, CoreCivic performs a qualitative assessment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then the Company performs a quantitative impairment test. If a quantitative test is required, CoreCivic performs an assessment to identify the existence of impairment and to measure the excess of a reporting unit's carrying amount over its fair value by using a combination of various common valuation techniques, including market multiples and discounted cash flows under valuation methodologies that include an income approach and a market approach. The income valuation approach includes certain significant assumptions impacting projected future cash flows, such as projected revenue, projected operating costs, and the weighted average cost of capital, which are affected by expectations about future market or economic conditions. These impairment tests are required to be performed at least annually.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ind w:left="520" w:right="7820" w:hanging="512"/>
        <w:spacing w:after="0" w:line="453" w:lineRule="auto"/>
        <w:tabs>
          <w:tab w:leader="none" w:pos="52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REAL ESTATE TRANSACTIONS Assets Held For Sale and Dispositions</w:t>
      </w:r>
    </w:p>
    <w:p>
      <w:pPr>
        <w:ind w:left="52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During the third quarter of 2023, CoreCivic sold a vacant parcel of land generating net sales proceeds of $0.5 million and resulting in a gain on sale of $0.4 million. The gain was reported in the third quarter of 2023.</w:t>
      </w:r>
    </w:p>
    <w:p>
      <w:pPr>
        <w:spacing w:after="0" w:line="62" w:lineRule="exact"/>
        <w:rPr>
          <w:rFonts w:ascii="Arial" w:cs="Arial" w:eastAsia="Arial" w:hAnsi="Arial"/>
          <w:sz w:val="15"/>
          <w:szCs w:val="15"/>
          <w:b w:val="1"/>
          <w:bCs w:val="1"/>
          <w:color w:val="auto"/>
        </w:rPr>
      </w:pPr>
    </w:p>
    <w:p>
      <w:pPr>
        <w:jc w:val="both"/>
        <w:ind w:left="5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During the third quarter of 2022, CoreCivic began marketing for sale its Roth Hall Residential Reentry Center and the Walker Hall Residential Reentry Center, both located in Philadelphia, Pennsylvania and reported in CoreCivic's Properties segment. A purchase and sale agreement for these two Philadelphia properties was executed in March 2023. The properties were sold on May 2, 2023, generating net sales proceeds of $5.8 million, resulting in a loss on sale of $25,000, which was reported in the second quarter of 2023.</w:t>
      </w:r>
    </w:p>
    <w:p>
      <w:pPr>
        <w:spacing w:after="0" w:line="186" w:lineRule="exact"/>
        <w:rPr>
          <w:rFonts w:ascii="Arial" w:cs="Arial" w:eastAsia="Arial" w:hAnsi="Arial"/>
          <w:sz w:val="15"/>
          <w:szCs w:val="15"/>
          <w:b w:val="1"/>
          <w:bCs w:val="1"/>
          <w:color w:val="auto"/>
        </w:rPr>
      </w:pPr>
    </w:p>
    <w:p>
      <w:pPr>
        <w:jc w:val="both"/>
        <w:ind w:left="5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CoreCivic is also marketing for sale an idled residential reentry center in Denver, Colorado with a current carrying value of $1.1 million, which was reported in CoreCivic's Community segment and was classified as held for sale as of December 31, 2022 and March 31, 2023. While CoreCivic is committed to finding alternative uses for the facility, which may include a future sale, the Company concluded in the second quarter of 2023 that the facility no longer meets the requirements to be considered as held for sale.</w:t>
      </w:r>
    </w:p>
    <w:p>
      <w:pPr>
        <w:spacing w:after="0" w:line="186" w:lineRule="exact"/>
        <w:rPr>
          <w:rFonts w:ascii="Arial" w:cs="Arial" w:eastAsia="Arial" w:hAnsi="Arial"/>
          <w:sz w:val="15"/>
          <w:szCs w:val="15"/>
          <w:b w:val="1"/>
          <w:bCs w:val="1"/>
          <w:color w:val="auto"/>
        </w:rPr>
      </w:pPr>
    </w:p>
    <w:p>
      <w:pPr>
        <w:jc w:val="both"/>
        <w:ind w:left="520"/>
        <w:spacing w:after="0" w:line="254" w:lineRule="auto"/>
        <w:rPr>
          <w:rFonts w:ascii="Arial" w:cs="Arial" w:eastAsia="Arial" w:hAnsi="Arial"/>
          <w:sz w:val="15"/>
          <w:szCs w:val="15"/>
          <w:b w:val="1"/>
          <w:bCs w:val="1"/>
          <w:color w:val="auto"/>
        </w:rPr>
      </w:pPr>
      <w:r>
        <w:rPr>
          <w:rFonts w:ascii="Arial" w:cs="Arial" w:eastAsia="Arial" w:hAnsi="Arial"/>
          <w:sz w:val="18"/>
          <w:szCs w:val="18"/>
          <w:color w:val="auto"/>
        </w:rPr>
        <w:t>On July 25, 2022, CoreCivic entered into a Purchase and Sale Agreement with the Georgia Building Authority for the sale of CoreCivic's McRae Correctional Facility located in McRae, Georgia, and reported in CoreCivic's Safety segment, for a gross sales price of $130.0 million. The sale of the McRae facility was completed on August 9, 2022. The sale generated net proceeds of $129.7 million, resulting in a gain on sale of $77.5 million after transaction costs, which was reported in the third quarter of 2022. CoreCivic had a management contract with the Federal Bureau of Prisons ("BOP") at the McRae facility, which expired on November 30, 2022 and was not renewed. In connection with the sale, CoreCivic and the Georgia Building Authority entered into an agreement to lease the McRae Correctional Facility to CoreCivic through November 30, 2022 to allow the Company to fulfill its obligations to the BOP.</w:t>
      </w:r>
    </w:p>
    <w:p>
      <w:pPr>
        <w:spacing w:after="0" w:line="194" w:lineRule="exact"/>
        <w:rPr>
          <w:rFonts w:ascii="Arial" w:cs="Arial" w:eastAsia="Arial" w:hAnsi="Arial"/>
          <w:sz w:val="15"/>
          <w:szCs w:val="15"/>
          <w:b w:val="1"/>
          <w:bCs w:val="1"/>
          <w:color w:val="auto"/>
        </w:rPr>
      </w:pPr>
    </w:p>
    <w:p>
      <w:pPr>
        <w:jc w:val="both"/>
        <w:ind w:left="52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In addition, during the full year 2022, CoreCivic completed the sales of three residential reentry centers in Oklahoma and Colorado and reported in CoreCivic's Community segment, two community corrections facilities leased to government agencies in California and reported in CoreCivic's Properties segment, and two undeveloped parcels of land. The sales of these seven properties generated aggregate net sales proceeds of $27.3 million, resulting in an aggregate net gain on sale of $9.9 million after transaction costs. Pursuant to the agreement to sell the Oklahoma property, in the third quarter of 2022, CoreCivic recognized an impairment charge of $3.5 million associated with the facility, based on its fair value less costs to sell.</w:t>
      </w:r>
    </w:p>
    <w:p>
      <w:pPr>
        <w:spacing w:after="0" w:line="296"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Idle Facilities</w:t>
      </w:r>
    </w:p>
    <w:p>
      <w:pPr>
        <w:spacing w:after="0" w:line="121" w:lineRule="exact"/>
        <w:rPr>
          <w:rFonts w:ascii="Arial" w:cs="Arial" w:eastAsia="Arial" w:hAnsi="Arial"/>
          <w:sz w:val="15"/>
          <w:szCs w:val="15"/>
          <w:b w:val="1"/>
          <w:bCs w:val="1"/>
          <w:color w:val="auto"/>
        </w:rPr>
      </w:pPr>
    </w:p>
    <w:p>
      <w:pPr>
        <w:jc w:val="both"/>
        <w:ind w:left="5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As of September 30, 2023, CoreCivic had eight idled correctional facilities that are currently available and being actively marketed as solutions to meet the needs of potential customers. The following table summarizes each of the idled facilities and their respective carrying values, excluding equipment and other assets that could generally be transferred and used at other facilities CoreCivic owns without significant cost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Net Carrying Values</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17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202"/>
              <w:spacing w:after="0"/>
              <w:rPr>
                <w:sz w:val="20"/>
                <w:szCs w:val="20"/>
                <w:color w:val="auto"/>
              </w:rPr>
            </w:pPr>
            <w:r>
              <w:rPr>
                <w:rFonts w:ascii="Arial" w:cs="Arial" w:eastAsia="Arial" w:hAnsi="Arial"/>
                <w:sz w:val="14"/>
                <w:szCs w:val="14"/>
                <w:b w:val="1"/>
                <w:bCs w:val="1"/>
                <w:color w:val="auto"/>
              </w:rPr>
              <w:t>Design</w:t>
            </w:r>
          </w:p>
        </w:tc>
        <w:tc>
          <w:tcPr>
            <w:tcW w:w="2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8"/>
        </w:trPr>
        <w:tc>
          <w:tcPr>
            <w:tcW w:w="1700" w:type="dxa"/>
            <w:vAlign w:val="bottom"/>
          </w:tcPr>
          <w:p>
            <w:pPr>
              <w:spacing w:after="0"/>
              <w:rPr>
                <w:sz w:val="16"/>
                <w:szCs w:val="16"/>
                <w:color w:val="auto"/>
              </w:rPr>
            </w:pPr>
          </w:p>
        </w:tc>
        <w:tc>
          <w:tcPr>
            <w:tcW w:w="33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Facility</w:t>
            </w:r>
          </w:p>
        </w:tc>
        <w:tc>
          <w:tcPr>
            <w:tcW w:w="1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Capacity</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63"/>
        </w:trPr>
        <w:tc>
          <w:tcPr>
            <w:tcW w:w="1700" w:type="dxa"/>
            <w:vAlign w:val="bottom"/>
          </w:tcPr>
          <w:p>
            <w:pPr>
              <w:spacing w:after="0"/>
              <w:rPr>
                <w:sz w:val="22"/>
                <w:szCs w:val="22"/>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Prairie Correctional Facility</w:t>
            </w:r>
          </w:p>
        </w:tc>
        <w:tc>
          <w:tcPr>
            <w:tcW w:w="2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13,444</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14,165</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63"/>
        </w:trPr>
        <w:tc>
          <w:tcPr>
            <w:tcW w:w="1700" w:type="dxa"/>
            <w:vAlign w:val="bottom"/>
          </w:tcPr>
          <w:p>
            <w:pPr>
              <w:spacing w:after="0"/>
              <w:rPr>
                <w:sz w:val="22"/>
                <w:szCs w:val="22"/>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Huerfano County Correctional Center</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14,327</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14,580</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1700" w:type="dxa"/>
            <w:vAlign w:val="bottom"/>
          </w:tcPr>
          <w:p>
            <w:pPr>
              <w:spacing w:after="0"/>
              <w:rPr>
                <w:sz w:val="24"/>
                <w:szCs w:val="24"/>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Diamondback Correctional Facility</w:t>
            </w:r>
          </w:p>
        </w:tc>
        <w:tc>
          <w:tcPr>
            <w:tcW w:w="2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34,222</w:t>
            </w:r>
          </w:p>
        </w:tc>
        <w:tc>
          <w:tcPr>
            <w:tcW w:w="1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35,587</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263"/>
        </w:trPr>
        <w:tc>
          <w:tcPr>
            <w:tcW w:w="1700" w:type="dxa"/>
            <w:vAlign w:val="bottom"/>
          </w:tcPr>
          <w:p>
            <w:pPr>
              <w:spacing w:after="0"/>
              <w:rPr>
                <w:sz w:val="22"/>
                <w:szCs w:val="22"/>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Marion Adjustment Center</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10,070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10,326</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1700" w:type="dxa"/>
            <w:vAlign w:val="bottom"/>
          </w:tcPr>
          <w:p>
            <w:pPr>
              <w:spacing w:after="0"/>
              <w:rPr>
                <w:sz w:val="24"/>
                <w:szCs w:val="24"/>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Kit Carson Correctional Center</w:t>
            </w:r>
          </w:p>
        </w:tc>
        <w:tc>
          <w:tcPr>
            <w:tcW w:w="2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48,091</w:t>
            </w:r>
          </w:p>
        </w:tc>
        <w:tc>
          <w:tcPr>
            <w:tcW w:w="1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49,444</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263"/>
        </w:trPr>
        <w:tc>
          <w:tcPr>
            <w:tcW w:w="1700" w:type="dxa"/>
            <w:vAlign w:val="bottom"/>
          </w:tcPr>
          <w:p>
            <w:pPr>
              <w:spacing w:after="0"/>
              <w:rPr>
                <w:sz w:val="22"/>
                <w:szCs w:val="22"/>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West Tennessee Detention Facility</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18,821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19,581</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1700" w:type="dxa"/>
            <w:vAlign w:val="bottom"/>
          </w:tcPr>
          <w:p>
            <w:pPr>
              <w:spacing w:after="0"/>
              <w:rPr>
                <w:sz w:val="24"/>
                <w:szCs w:val="24"/>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Midwest Regional Reception Center</w:t>
            </w:r>
          </w:p>
        </w:tc>
        <w:tc>
          <w:tcPr>
            <w:tcW w:w="2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50,277</w:t>
            </w:r>
          </w:p>
        </w:tc>
        <w:tc>
          <w:tcPr>
            <w:tcW w:w="1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51,938</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1700" w:type="dxa"/>
            <w:vAlign w:val="bottom"/>
          </w:tcPr>
          <w:p>
            <w:pPr>
              <w:spacing w:after="0"/>
              <w:rPr>
                <w:sz w:val="22"/>
                <w:szCs w:val="22"/>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North Fork Correctional Facility</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60,754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62,737</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2"/>
        </w:trPr>
        <w:tc>
          <w:tcPr>
            <w:tcW w:w="1700" w:type="dxa"/>
            <w:vAlign w:val="bottom"/>
          </w:tcPr>
          <w:p>
            <w:pPr>
              <w:spacing w:after="0"/>
              <w:rPr>
                <w:sz w:val="23"/>
                <w:szCs w:val="23"/>
                <w:color w:val="auto"/>
              </w:rPr>
            </w:pPr>
          </w:p>
        </w:tc>
        <w:tc>
          <w:tcPr>
            <w:tcW w:w="33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gridSpan w:val="2"/>
            <w:shd w:val="clear" w:color="auto" w:fill="CFF0FC"/>
          </w:tcPr>
          <w:p>
            <w:pPr>
              <w:spacing w:after="0"/>
              <w:rPr>
                <w:sz w:val="23"/>
                <w:szCs w:val="2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2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250,006</w:t>
            </w: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258,358</w:t>
            </w:r>
          </w:p>
        </w:tc>
        <w:tc>
          <w:tcPr>
            <w:tcW w:w="80" w:type="dxa"/>
            <w:vAlign w:val="bottom"/>
            <w:tcBorders>
              <w:bottom w:val="single" w:sz="8" w:color="CFF0FC"/>
            </w:tcBorders>
            <w:shd w:val="clear" w:color="auto" w:fill="CFF0FC"/>
          </w:tcPr>
          <w:p>
            <w:pPr>
              <w:spacing w:after="0"/>
              <w:rPr>
                <w:sz w:val="23"/>
                <w:szCs w:val="23"/>
                <w:color w:val="auto"/>
              </w:rPr>
            </w:pPr>
          </w:p>
        </w:tc>
        <w:tc>
          <w:tcPr>
            <w:tcW w:w="1680" w:type="dxa"/>
            <w:vAlign w:val="bottom"/>
          </w:tcPr>
          <w:p>
            <w:pPr>
              <w:spacing w:after="0"/>
              <w:rPr>
                <w:sz w:val="23"/>
                <w:szCs w:val="23"/>
                <w:color w:val="auto"/>
              </w:rPr>
            </w:pPr>
          </w:p>
        </w:tc>
      </w:tr>
      <w:tr>
        <w:trPr>
          <w:trHeight w:val="633"/>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-521970</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-504825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-521970</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-504825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342" w:lineRule="auto"/>
        <w:rPr>
          <w:sz w:val="20"/>
          <w:szCs w:val="20"/>
          <w:color w:val="auto"/>
        </w:rPr>
      </w:pPr>
      <w:r>
        <w:rPr>
          <w:rFonts w:ascii="Arial" w:cs="Arial" w:eastAsia="Arial" w:hAnsi="Arial"/>
          <w:sz w:val="16"/>
          <w:szCs w:val="16"/>
          <w:color w:val="auto"/>
        </w:rPr>
        <w:t>As of September 30, 2023, CoreCivic also had one idled non-core facility in its Safety segment containing 240 beds with a net book value of $2.9 million, and two idled facilities in its Community segment, containing an aggregate of 450 beds with an aggregate net book value of $3.4 million.</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CoreCivic incurred operating expenses at these idled facilities of approximately $4.3 million and $2.8 million during the period they were idle during the three months ended September 30, 2023 and 2022, respectively, and $9.6 million and $7.4 million during the nine months ended September 30, 2023 and 2022, respectively. The amount for the nine months ended September 30, 2022 excludes $3.5 million of operating expenses incurred at the West Tennessee Detention Facility and the Midwest Regional Reception Center. The West Tennessee facility was idled upon the expiration of a USMS contract on September 30, 2021, and the Midwest Regional Reception Center was idled upon the expiration of a USMS contract on December 31, 2021. CoreCivic retained a certain staffing level at both facilities through the first three months of 2022 in order to quickly respond in the event the Company was able to enter into new contracts with government agencies promptly following the contract expirations. The Company also continued to incur expenses related to transportation services provided by staff at the Midwest Regional Reception Center during the first three months of 2022.</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6, 2022, the Company received notice from the California Department of Corrections and Rehabilitation ("CDCR") of its intent to terminate the lease agreement for the Company's California City Correctional Center by March 31, 2024, due to the state's declining inmate population. As part of its annual budget process for the fiscal year ending June 30, 2024, the California legislature approved funding for the lease through March 31, 2024. The Company has engaged with the state of California regarding the continued utilization of the California City facility by the CDCR. However, the Company can provide no assurance that it will be successful in reaching an agreement for the utilization of the facility beyond March 31, 2024. The Company is also marketing the facility to other potential customers.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25, 2023, the Company announced that it received notice from the Oklahoma Department of Corrections ("ODC") of its intent to terminate the lease agreement for the company-owned 2,400-bed North Fork Correctional Facility, reported in the Company's CoreCivic Properties segment, upon the lease expiration on June 30, 2023. Upon expiration of the lease, the North Fork facility was idled in the third quarter of 2023. The Company is marketing the facility to potential customers.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14, 2023, the Company announced that it entered into a lease agreement with the ODC for the company-owned 1,670-bed Allen Gamble Correctional Center (formerly known as the Davis Correctional Facility), which, until October 1, 2023, the Company reported in its CoreCivic Safety segment and operated under a management contract with the ODC. The management contract was scheduled to expire on June 30, 2023. However, effective July 1, 2023, the Company entered into a 90-day contract extension for the management contract, after which time, operations of the Allen Gamble facility transferred from CoreCivic to the ODC in accordance with the new lease agreement. The new lease agreement includes a base term that commenced October 1, 2023, with a scheduled expiration date of June 30, 2029, and unlimited two-year renewal options. Upon commencement of the new lease agreement, the Allen Gamble facility will be reported in the Company's CoreCivic Properties segment.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estimated undiscounted cash flows for each facility with an impairment indicator, including the idle facilities described above. The Company's estimated undiscounted cash flows reflect the Company’s most recent expectations around potential utilization and/or sale of the facilities and projected cash flows based on historical cash flows, cash flows of comparable facilities, and recent contract negotiations for utilization, as applicable. The Company concluded that the estimated undiscounted cash flows exceeded carrying values for each facility as of September 30, 2023 and December 31, 2022.</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CoreCivic evaluates on a quarterly basis market developments for the potential utilization of each of its idle properties in order to identify events that may cause CoreCivic to reconsider its assumptions with respect to the recoverability of book values as compared to undiscounted cash flows. CoreCivic considers the cancellation of a contract in its Safety or Community segment or an expiration and non-renewal of a lease agreement in its CoreCivic Properties segment as indicators of impairment and tests each of the idled properties for impairment when it is notified by the respective customers or tenants that they would no longer be utilizing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584" w:right="339" w:bottom="1440" w:gutter="0" w:footer="0" w:header="0"/>
        </w:sectPr>
      </w:pPr>
    </w:p>
    <w:bookmarkStart w:id="11" w:name="page12"/>
    <w:bookmarkEnd w:id="11"/>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Debt outstanding as of September 30, 2023 and December 31, 2022 consisted of the following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maturing May 2026. Interest payable</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periodically at variable interest rates.</w:t>
            </w:r>
          </w:p>
        </w:tc>
        <w:tc>
          <w:tcPr>
            <w:tcW w:w="140" w:type="dxa"/>
            <w:vAlign w:val="bottom"/>
            <w:vMerge w:val="continue"/>
            <w:shd w:val="clear" w:color="auto" w:fill="CFF0FC"/>
          </w:tcPr>
          <w:p>
            <w:pPr>
              <w:spacing w:after="0"/>
              <w:rPr>
                <w:sz w:val="21"/>
                <w:szCs w:val="21"/>
                <w:color w:val="auto"/>
              </w:rPr>
            </w:pPr>
          </w:p>
        </w:tc>
        <w:tc>
          <w:tcPr>
            <w:tcW w:w="1300" w:type="dxa"/>
            <w:vAlign w:val="bottom"/>
            <w:gridSpan w:val="2"/>
            <w:vMerge w:val="continue"/>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Term Loan A maturing May 2026. Interest payable periodically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at variable interest rates. The rate at September 30, 2023 and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December 31, 2022 was 8.6% and 7.5%, respectively. Unamortized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debt issuance costs amounted to $1.0 million and $1.4 million at</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September 30, 2023 and December 31, 2022, respectively.</w:t>
            </w: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4.625% Senior Notes. The 4.625% Senior Notes were redeemed</w:t>
            </w:r>
          </w:p>
        </w:tc>
        <w:tc>
          <w:tcPr>
            <w:tcW w:w="14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on February 1, 2023, as further described below.</w:t>
            </w:r>
          </w:p>
        </w:tc>
        <w:tc>
          <w:tcPr>
            <w:tcW w:w="140" w:type="dxa"/>
            <w:vAlign w:val="bottom"/>
            <w:shd w:val="clear" w:color="auto" w:fill="CFF0FC"/>
          </w:tcPr>
          <w:p>
            <w:pPr>
              <w:spacing w:after="0"/>
              <w:rPr>
                <w:sz w:val="21"/>
                <w:szCs w:val="21"/>
                <w:color w:val="auto"/>
              </w:rPr>
            </w:pPr>
          </w:p>
        </w:tc>
        <w:tc>
          <w:tcPr>
            <w:tcW w:w="1300" w:type="dxa"/>
            <w:vAlign w:val="bottom"/>
            <w:gridSpan w:val="2"/>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153,754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4.75% Senior Notes maturing October 2027. Unamortized debt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issuance costs amounted to $1.6 million and $1.9 million at</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September 30, 2023 and December 31, 2022, respectively.</w:t>
            </w: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8.25% Senior Notes maturing April 2026. Unamortized debt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issuance costs amounted to $6.5 million and $8.7 million at</w:t>
            </w:r>
          </w:p>
        </w:tc>
        <w:tc>
          <w:tcPr>
            <w:tcW w:w="1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593,113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September 30, 2023 and December 31, 2022, respectively.</w:t>
            </w:r>
          </w:p>
        </w:tc>
        <w:tc>
          <w:tcPr>
            <w:tcW w:w="140" w:type="dxa"/>
            <w:vAlign w:val="bottom"/>
            <w:shd w:val="clear" w:color="auto" w:fill="CFF0FC"/>
          </w:tcPr>
          <w:p>
            <w:pPr>
              <w:spacing w:after="0"/>
              <w:rPr>
                <w:sz w:val="21"/>
                <w:szCs w:val="21"/>
                <w:color w:val="auto"/>
              </w:rPr>
            </w:pPr>
          </w:p>
        </w:tc>
        <w:tc>
          <w:tcPr>
            <w:tcW w:w="110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614,113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4.43% Lansing Correctional Facility Non-Recourse Mortgage Note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maturing January 2040. Unamortized debt issuance costs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amounted to $2.7 million and $2.8 million at September 30, 2023 and</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146,768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150,405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December 31, 2022, respectively.</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1,081,131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1,264,522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(12,043 )</w:t>
            </w:r>
          </w:p>
        </w:tc>
        <w:tc>
          <w:tcPr>
            <w:tcW w:w="1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(14,763 )</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unamortized original issue premium</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(13,982 )</w:t>
            </w:r>
          </w:p>
        </w:tc>
        <w:tc>
          <w:tcPr>
            <w:tcW w:w="1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(165,525 )</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1,055,588</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1,084,858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left="520"/>
        <w:spacing w:after="0" w:line="269"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On May 12, 2022, CoreCivic entered into a Third Amended and Restated Credit Agreement (referred to herein as the "Bank</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in an aggregate principal amount of $350.0 million, consisting of a $100.0 million term loan (the "Term Loan A") and a revolving credit facility with a borrowing capacity of $250.0 million (the "Revolving Credit Facility"). The Bank Credit Facility has a maturity of May 2026. The Bank Credit Facility includes an option to increase the availability under the Revolving Credit Facility and to request term loans from the lenders in an aggregate amount not to exceed the greater of (a) $200.0 million and (b) 50% of consolidated EBITDA for the most recently ended four-quarter period, subject to, among other things, the receipt of commitments for the increased amount. At CoreCivic's option, interest on outstanding borrowings under the Bank Credit Facility is based on either a base rate plus a margin ranging from 1.75% to 3.5%, or at the Bloomberg Short-Term Bank Yield Index ("BSBY") rate plus a margin ranging from 2.75% to 4.5% based on the Company’s then-current total leverage ratio. The Revolving Credit Facility includes a $25.0 million sublimit for swing line loans that enables CoreCivic to borrow at the base rate from the Administrative Agent on same-day notice.</w:t>
      </w:r>
    </w:p>
    <w:p>
      <w:pPr>
        <w:spacing w:after="0" w:line="185"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Based on CoreCivic's total leverage ratio during the nine months ended September 30, 2023, loans under the Bank Credit Facility bore interest at a base rate plus a margin of 2.25% or at the BSBY rate plus a margin of 3.25%, and a commitment fee equal to 0.45% of the unfunded balance of the Revolving Credit Facility. The Revolving Credit Facility also has a $100.0 million sublimit for the issuance of standby letters of credit. As of September 30, 2023, CoreCivic had no borrowings outstanding under the Revolving Credit Facility. As of September 30, 2023, CoreCivic had $17.4 million in letters of credit outstanding resulting in $232.6 million available under the Revolving Credit Facility. The Term Loan A requires scheduled quarterly principal payments through December 2025, and is pre-payable without penalty. As of September 30, 2023, the outstanding balance of the Term Loan A was $91.3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6"/>
          <w:szCs w:val="16"/>
          <w:color w:val="auto"/>
        </w:rPr>
        <w:t>The Bank Credit Facility requires CoreCivic to meet certain financial covenants, including, without limitation, a total leverage ratio of not more than 4.50 to 1.00 for which the Company may net unrestricted cash and cash equivalents not exceeding $100.0 million when calculating, a secured leverage ratio of not more than 2.50 to 1.00 for which the Company may net unrestricted cash and cash equivalents not exceeding $100.0 million when calculating, and a fixed charge coverage ratio of not less than 1.75 to 1.00. As of September 30, 2023, CoreCivic was in compliance with all such covenants. The Bank Credit Facility is secured by a pledge of all of the capital stock (or other ownership interests) of CoreCivic's domestic restricted subsidiaries, 65% of the capital stock (or other ownership interests) of CoreCivic's "first-tier" foreign subsidiaries, all of the accounts receivable of the Company and its domestic restricted subsidiaries, and substantially all of the deposit accounts of the Company and its domestic restricted subsidiaries. In the event that (a) the consolidated total leverage equals or exceeds 4.00 to 1.00 or (b) the Company incurs certain debt above a specified threshold, each known as a "springing lien" event, certain intangible assets and unencumbered real estate assets that meet a 50% loan-to-value requirement are required to be added as collateral. In addition, the Bank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The Bank Credit Facility is subject to certain cross-default provisions with terms of CoreCivic's other unsecured indebtedness and is subject to acceleration upon the occurrence of a change of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further described in Note 11, on October 11, 2023, CoreCivic entered into an amendment and extension of the Bank Credit Facility.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Interest on the $250.0 million aggregate principal amount of CoreCivic's 4.75% senior notes issued in October 2017 (the "4.75%</w:t>
      </w:r>
      <w:r>
        <w:rPr>
          <w:rFonts w:ascii="Arial" w:cs="Arial" w:eastAsia="Arial" w:hAnsi="Arial"/>
          <w:sz w:val="16"/>
          <w:szCs w:val="16"/>
          <w:i w:val="1"/>
          <w:iCs w:val="1"/>
          <w:color w:val="auto"/>
        </w:rPr>
        <w:t xml:space="preserve"> </w:t>
      </w:r>
      <w:r>
        <w:rPr>
          <w:rFonts w:ascii="Arial" w:cs="Arial" w:eastAsia="Arial" w:hAnsi="Arial"/>
          <w:sz w:val="16"/>
          <w:szCs w:val="16"/>
          <w:color w:val="auto"/>
        </w:rPr>
        <w:t>Senior Notes") accrues at the stated rate and is payable in April and October of each year. The 4.75% Senior Notes are scheduled to mature on October 15, 2027. Interest on the $593.1 million remaining aggregate principal amount of CoreCivic's 8.25% senior notes issued in April and September 2021 with an original principal amount of $675.0 million (the "8.25% Senior Notes") accrues at the stated rate and is payable in April and October of each year. The 8.25% Senior Notes are scheduled to mature on April 15, 2026. During 2022, the Company purchased $60.9 million principal amount of the 8.25% Senior Notes at a weighted average purchase price approximately equal to par through open market purchases. CoreCivic recorded charges of $1.2 million during 2022 primarily for the write-off of a pro-rata portion of the pre-existing loan costs associated with these open market purchases. In the second quarter of 2023, the Company purchased $21.0 million principal amount of the 8.25% Senior Notes at a weighted average purchase price approximately equal to par through open market purchases, reducing the outstanding balance of the 8.25% Senior Notes to $593.1 million as of September 30, 2023. CoreCivic recorded a charge of $0.2 million during the second quarter of 2023 primarily for the write-off of a pro-rata portion of the pre-existing loan costs associated with these open market purchases.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4.75% Senior Notes and the 8.25% Senior Notes are senior unsecured obligations of the Company and are guaranteed by all of the Company's existing and future subsidiaries that guarantee the Bank Credit Facility. CoreCivic may redeem all or part of the 4.75% Senior Notes at any time prior to three months before their maturity date at a "make-whole" redemption price, plus accrued and unpaid interest thereon to, but not including, the redemption date. Thereafter, the 4.75% Senior Notes are redeemable at CoreCivic's option, in whole or in part, at a redemption price equal to 100% of the aggregate principal amount of the notes to be redeemed plus accrued and unpaid interest thereon to, but not including, the redemption date. The Company may redeem all or part of the 8.25% Senior Notes at any time prior to April 15, 2024, in whole or in part, at a "make-whole" redemption price, plus accrued and unpaid interest thereon to, but not including, the redemption date. Thereafter, the 8.25% Senior Notes are redeemable at CoreCivic's option, in whole or in part, at a redemption price expressed as a percentage of the principal amount thereof, which percentage is 104.125% beginning on April 15, 2024 and 100% beginning on April 15, 2025, plus, in each such case, accrued and unpaid interest thereon to, but not including, the redemption date.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2022, CoreCivic delivered an irrevocable notice to the holders of CoreCivic's 4.625% senior notes issued in April 2013 with an original principal amount of $350.0 million (the "4.625% Senior Notes") that the Company elected to redeem in full the 4.625% Senior Notes that remained outstanding on February 1, 2023. During 2021 and 2022, CoreCivic purchased $196.2 million of the 4.625% Senior Notes through privately negotiated transactions and open market purchases. The remaining 4.625% Senior Notes were redeemed on February 1, 2023 at a redemption price equal to 100% of the principal amount of the outstanding 4.625% Senior Notes, which amounted to $153.8 million, plus accrued and unpaid interest to, but not including, the redemption date. The Company used a combination of cash on hand and available capacity under its Revolving Credit Facility to fund the redemption.</w:t>
      </w:r>
    </w:p>
    <w:p>
      <w:pPr>
        <w:spacing w:after="0" w:line="19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584" w:right="339" w:bottom="1440" w:gutter="0" w:footer="0" w:header="0"/>
        </w:sectPr>
      </w:pPr>
    </w:p>
    <w:bookmarkStart w:id="13" w:name="page14"/>
    <w:bookmarkEnd w:id="13"/>
    <w:p>
      <w:pPr>
        <w:jc w:val="both"/>
        <w:ind w:left="520"/>
        <w:spacing w:after="0" w:line="288" w:lineRule="auto"/>
        <w:rPr>
          <w:sz w:val="20"/>
          <w:szCs w:val="20"/>
          <w:color w:val="auto"/>
        </w:rPr>
      </w:pPr>
      <w:r>
        <w:rPr>
          <w:rFonts w:ascii="Arial" w:cs="Arial" w:eastAsia="Arial" w:hAnsi="Arial"/>
          <w:sz w:val="16"/>
          <w:szCs w:val="16"/>
          <w:i w:val="1"/>
          <w:iCs w:val="1"/>
          <w:color w:val="auto"/>
        </w:rPr>
        <w:t xml:space="preserve">Lansing Correctional Facility Non-Recourse Mortgage Note. </w:t>
      </w:r>
      <w:r>
        <w:rPr>
          <w:rFonts w:ascii="Arial" w:cs="Arial" w:eastAsia="Arial" w:hAnsi="Arial"/>
          <w:sz w:val="16"/>
          <w:szCs w:val="16"/>
          <w:color w:val="auto"/>
        </w:rPr>
        <w:t>On April 20, 2018, CoreCivic of Kansas, LLC (the "Issuer"), a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subsidiary of the Company, priced $159.5 million in aggregate principal amount of non-recourse senior secured notes of the Issuer (the "Kansas Notes"), in a private placement pursuant to Section 4(a)(2) of the Securities Act of 1933, as amended. The Kansas Notes have a yield to maturity of 4.43% and are scheduled to mature in January 2040, 20 years following completion of the project, which occurred in January 2020. Principal and interest on the Kansas Notes are payable in quarterly payments, which began in July 2020 and continue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Because the Issuer has been designated as an unrestricted subsidiary of the Company under terms of the Company's Bank Credit Facility, the issuance and service of the Kansas Notes, and the revenues and expenses associated with the facility lease, do not impact the financial covenants associated with the Company's Bank Credit Facility. As of September 30, 2023, the outstanding balance of the Kansas Notes was $146.8 million.</w:t>
      </w:r>
    </w:p>
    <w:p>
      <w:pPr>
        <w:spacing w:after="0" w:line="276" w:lineRule="exact"/>
        <w:rPr>
          <w:sz w:val="20"/>
          <w:szCs w:val="20"/>
          <w:color w:val="auto"/>
        </w:rPr>
      </w:pPr>
    </w:p>
    <w:p>
      <w:pPr>
        <w:jc w:val="both"/>
        <w:ind w:left="520" w:right="20"/>
        <w:spacing w:after="0" w:line="277" w:lineRule="auto"/>
        <w:rPr>
          <w:sz w:val="20"/>
          <w:szCs w:val="20"/>
          <w:color w:val="auto"/>
        </w:rPr>
      </w:pPr>
      <w:r>
        <w:rPr>
          <w:rFonts w:ascii="Arial" w:cs="Arial" w:eastAsia="Arial" w:hAnsi="Arial"/>
          <w:sz w:val="18"/>
          <w:szCs w:val="18"/>
          <w:i w:val="1"/>
          <w:iCs w:val="1"/>
          <w:color w:val="auto"/>
        </w:rPr>
        <w:t xml:space="preserve">Debt Maturities. </w:t>
      </w:r>
      <w:r>
        <w:rPr>
          <w:rFonts w:ascii="Arial" w:cs="Arial" w:eastAsia="Arial" w:hAnsi="Arial"/>
          <w:sz w:val="18"/>
          <w:szCs w:val="18"/>
          <w:color w:val="auto"/>
        </w:rPr>
        <w:t>Scheduled principal payments as of September 30, 2023 for the remainder of 2023, the next five years, and thereafter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2023 (remainder)</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60" w:type="dxa"/>
            <w:vAlign w:val="bottom"/>
            <w:shd w:val="clear" w:color="auto" w:fill="CFF0FC"/>
          </w:tcPr>
          <w:p>
            <w:pPr>
              <w:spacing w:after="0"/>
              <w:rPr>
                <w:sz w:val="21"/>
                <w:szCs w:val="2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14,722</w:t>
            </w:r>
          </w:p>
        </w:tc>
        <w:tc>
          <w:tcPr>
            <w:tcW w:w="60" w:type="dxa"/>
            <w:vAlign w:val="bottom"/>
          </w:tcPr>
          <w:p>
            <w:pPr>
              <w:spacing w:after="0"/>
              <w:rPr>
                <w:sz w:val="20"/>
                <w:szCs w:val="20"/>
                <w:color w:val="auto"/>
              </w:rPr>
            </w:pPr>
          </w:p>
        </w:tc>
      </w:tr>
      <w:tr>
        <w:trPr>
          <w:trHeight w:val="24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17,698</w:t>
            </w:r>
          </w:p>
        </w:tc>
        <w:tc>
          <w:tcPr>
            <w:tcW w:w="60" w:type="dxa"/>
            <w:vAlign w:val="bottom"/>
            <w:shd w:val="clear" w:color="auto" w:fill="CFF0FC"/>
          </w:tcPr>
          <w:p>
            <w:pPr>
              <w:spacing w:after="0"/>
              <w:rPr>
                <w:sz w:val="21"/>
                <w:szCs w:val="2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667,563</w:t>
            </w:r>
          </w:p>
        </w:tc>
        <w:tc>
          <w:tcPr>
            <w:tcW w:w="60" w:type="dxa"/>
            <w:vAlign w:val="bottom"/>
          </w:tcPr>
          <w:p>
            <w:pPr>
              <w:spacing w:after="0"/>
              <w:rPr>
                <w:sz w:val="20"/>
                <w:szCs w:val="20"/>
                <w:color w:val="auto"/>
              </w:rPr>
            </w:pPr>
          </w:p>
        </w:tc>
      </w:tr>
      <w:tr>
        <w:trPr>
          <w:trHeight w:val="24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256,855</w:t>
            </w:r>
          </w:p>
        </w:tc>
        <w:tc>
          <w:tcPr>
            <w:tcW w:w="60" w:type="dxa"/>
            <w:vAlign w:val="bottom"/>
            <w:shd w:val="clear" w:color="auto" w:fill="CFF0FC"/>
          </w:tcPr>
          <w:p>
            <w:pPr>
              <w:spacing w:after="0"/>
              <w:rPr>
                <w:sz w:val="21"/>
                <w:szCs w:val="2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7,370</w:t>
            </w:r>
          </w:p>
        </w:tc>
        <w:tc>
          <w:tcPr>
            <w:tcW w:w="60" w:type="dxa"/>
            <w:vAlign w:val="bottom"/>
          </w:tcPr>
          <w:p>
            <w:pPr>
              <w:spacing w:after="0"/>
              <w:rPr>
                <w:sz w:val="20"/>
                <w:szCs w:val="20"/>
                <w:color w:val="auto"/>
              </w:rPr>
            </w:pPr>
          </w:p>
        </w:tc>
      </w:tr>
      <w:tr>
        <w:trPr>
          <w:trHeight w:val="24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113,789</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5520" w:type="dxa"/>
            <w:vAlign w:val="bottom"/>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1,081,131</w:t>
            </w:r>
          </w:p>
        </w:tc>
        <w:tc>
          <w:tcPr>
            <w:tcW w:w="6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326" w:lineRule="exact"/>
        <w:rPr>
          <w:sz w:val="20"/>
          <w:szCs w:val="20"/>
          <w:color w:val="auto"/>
        </w:rPr>
      </w:pPr>
    </w:p>
    <w:p>
      <w:pPr>
        <w:ind w:left="520" w:right="8420" w:hanging="512"/>
        <w:spacing w:after="0" w:line="400" w:lineRule="auto"/>
        <w:tabs>
          <w:tab w:leader="none" w:pos="5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Share Repurchase Program</w:t>
      </w:r>
    </w:p>
    <w:p>
      <w:pPr>
        <w:jc w:val="both"/>
        <w:ind w:left="52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On May 12, 2022, the Board of Directors ("BOD") approved a share repurchase program to repurchase up to $150.0 million of the Company's common stock. On August 2, 2022, the BOD increased the authorization to repurchase under the share repurchase program by up to an additional $75.0 million of the Company's common stock, or a total aggregate authorized amount to repurchase up to $225.0 million of the Company's common stock. 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The share repurchase program has no time limit and does not obligate the Company to purchase any particular amount of its common stock. The authorization for the share repurchase program may be terminated, suspended, increased or decreased by the BOD in its discretion at any time. During the nine months ended September 30, 2023 and the year ended December 31, 2022, the Company completed the repurchase of 2.6 million and 6.6 million shares, respectively, at a total cost of $25.6 million and $74.5 million, respectively, excluding costs associated with the share repurchase program. The Company has utilized cash on hand and net cash provided by operations to fund the repurchases. The Company did not repurchase any shares during the three months ended September 30, 2023.</w:t>
      </w:r>
    </w:p>
    <w:p>
      <w:pPr>
        <w:spacing w:after="0" w:line="275"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Restricted Stock Units</w:t>
      </w:r>
    </w:p>
    <w:p>
      <w:pPr>
        <w:spacing w:after="0" w:line="121" w:lineRule="exact"/>
        <w:rPr>
          <w:rFonts w:ascii="Arial" w:cs="Arial" w:eastAsia="Arial" w:hAnsi="Arial"/>
          <w:sz w:val="17"/>
          <w:szCs w:val="17"/>
          <w:b w:val="1"/>
          <w:bCs w:val="1"/>
          <w:color w:val="auto"/>
        </w:rPr>
      </w:pPr>
    </w:p>
    <w:p>
      <w:pPr>
        <w:jc w:val="both"/>
        <w:ind w:left="52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During the first nine months of 2023, CoreCivic issued approximately 2.0 million restricted common stock units ("RSUs") to certain of its employees and non-employee directors, with an aggregate value of $22.3 million, including 1.8 million RSUs to employees and non-employee directors whose compensation is charged to general and administrative expense and 0.2 million RSUs to employees whose compensation is charged to operating expense. During 2022, CoreCivic issued approximately 2.1 million RSUs to certain of its employees and non-employee directors, with an aggregate value of $21.5 million, including 1.9 million RSUs to employees and non-employee directors whose compensation is charged to general and administrative expense and 0.2 million RSUs to employees whose compensation is charged to operating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left="520"/>
        <w:spacing w:after="0" w:line="267" w:lineRule="auto"/>
        <w:rPr>
          <w:sz w:val="20"/>
          <w:szCs w:val="20"/>
          <w:color w:val="auto"/>
        </w:rPr>
      </w:pPr>
      <w:r>
        <w:rPr>
          <w:rFonts w:ascii="Arial" w:cs="Arial" w:eastAsia="Arial" w:hAnsi="Arial"/>
          <w:sz w:val="17"/>
          <w:szCs w:val="17"/>
          <w:color w:val="auto"/>
        </w:rPr>
        <w:t>CoreCivic has established performance-based vesting conditions on a portion of the RSUs awarded to its officers and executive officers that, unless earlier vested under the terms of the agreements, are subject to vesting over a three-year period based upon the satisfaction of certain annual performance criteria. The RSUs awarded to officers and executive officers in 2021, 2022 and 2023 consist of a combination of awards with performance-based conditions and time-based conditions. Unless earlier vested under the terms of the RSU agreements, the RSUs with time-based vesting conditions vest in equal amounts over three years on the later of (i) the anniversary date of the grant or (ii) the delivery of the audited financial statements by the Company's independent registered public accountant for the applicable fiscal year. The RSUs with performance-based vesting conditions are divided into one-third increments, each of which is subject to vesting based upon satisfaction of certain annual performance criteria established at the beginning of the fiscal years ending December 31, 2021, 2022, and 2023 for the 2021 awards, December 31, 2022, 2023, and 2024 for the 2022 awards, and December 31, 2023, 2024, and 2025 for the 2023 awards, and which can be increased up to 150% or decreased to 0% based on performance relative to the annual performance criteria, and further increased or decreased using a modifier of 80% to 120% based on CoreCivic's total shareholder return relative to a peer group. Because the performance criteria for the fiscal years ending December 31, 2024 and 2025 have not yet been established, the values of the third RSU increment of the 2022 awards and of the second and third increments of the 2023 awards for financial reporting purposes will not be determined until such criteria are established. Time-based RSUs issued to other employees, unless earlier vested under the terms of the agreements, generally vest in equal amounts over three years on the later of (i) the anniversary date of the grant or (ii) the delivery of the audited financial statements by the Company's independent registered public accountant for the applicable fiscal year. RSUs issued to non-employee directors generally vest one year from the date of award. As of September 30, 2023, approximately 3.9 million RSUs remained outstanding and subject to vesting.</w:t>
      </w:r>
    </w:p>
    <w:p>
      <w:pPr>
        <w:spacing w:after="0" w:line="19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During the three months ended September 30, 2023, CoreCivic expensed $5.3 million, net of forfeitures, relating to RSUs ($0.4 million of which was recorded in operating expenses and $4.9 million of which was recorded in general and administrative expenses). During the three months ended September 30, 2022, CoreCivic expensed $2.0 million, net of forfeitures, relating to RSUs ($0.3 million of which was recorded in operating expenses and $1.7 million of which was recorded in general and administrative expenses).</w:t>
      </w:r>
    </w:p>
    <w:p>
      <w:pPr>
        <w:spacing w:after="0" w:line="18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During the nine months ended September 30, 2023, CoreCivic expensed $15.4 million, net of forfeitures, relating to RSUs ($1.3 million of which was recorded in operating expenses and $14.1 million of which was recorded in general and administrative expenses). During the nine months ended September 30, 2022, CoreCivic expensed $11.7 million, net of forfeitures, relating to RSUs ($1.1 million of which was recorded in operating expenses and $10.6 million of which was recorded in general and administrative expenses).</w:t>
      </w:r>
    </w:p>
    <w:p>
      <w:pPr>
        <w:spacing w:after="0" w:line="183"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jc w:val="both"/>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stock-based awards and stock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left="520"/>
        <w:spacing w:after="0" w:line="277" w:lineRule="auto"/>
        <w:rPr>
          <w:sz w:val="20"/>
          <w:szCs w:val="20"/>
          <w:color w:val="auto"/>
        </w:rPr>
      </w:pPr>
      <w:r>
        <w:rPr>
          <w:rFonts w:ascii="Arial" w:cs="Arial" w:eastAsia="Arial" w:hAnsi="Arial"/>
          <w:sz w:val="18"/>
          <w:szCs w:val="18"/>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3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6"/>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6"/>
              </w:rPr>
              <w:t>For the Nine Months Ended</w:t>
            </w:r>
          </w:p>
        </w:tc>
        <w:tc>
          <w:tcPr>
            <w:tcW w:w="100" w:type="dxa"/>
            <w:vAlign w:val="bottom"/>
          </w:tcPr>
          <w:p>
            <w:pPr>
              <w:spacing w:after="0"/>
              <w:rPr>
                <w:sz w:val="14"/>
                <w:szCs w:val="14"/>
                <w:color w:val="auto"/>
              </w:rPr>
            </w:pPr>
          </w:p>
        </w:tc>
      </w:tr>
      <w:tr>
        <w:trPr>
          <w:trHeight w:val="185"/>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4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13,892</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41,122</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97,883</w:t>
            </w:r>
          </w:p>
        </w:tc>
        <w:tc>
          <w:tcPr>
            <w:tcW w:w="100" w:type="dxa"/>
            <w:vAlign w:val="bottom"/>
            <w:shd w:val="clear" w:color="auto" w:fill="CFF0FC"/>
          </w:tcPr>
          <w:p>
            <w:pPr>
              <w:spacing w:after="0"/>
              <w:rPr>
                <w:sz w:val="24"/>
                <w:szCs w:val="24"/>
                <w:color w:val="auto"/>
              </w:rPr>
            </w:pPr>
          </w:p>
        </w:tc>
      </w:tr>
      <w:tr>
        <w:trPr>
          <w:trHeight w:val="224"/>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13,892</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41,122</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97,883</w:t>
            </w:r>
          </w:p>
        </w:tc>
        <w:tc>
          <w:tcPr>
            <w:tcW w:w="100" w:type="dxa"/>
            <w:vAlign w:val="bottom"/>
            <w:shd w:val="clear" w:color="auto" w:fill="CFF0FC"/>
          </w:tcPr>
          <w:p>
            <w:pPr>
              <w:spacing w:after="0"/>
              <w:rPr>
                <w:sz w:val="24"/>
                <w:szCs w:val="24"/>
                <w:color w:val="auto"/>
              </w:rPr>
            </w:pPr>
          </w:p>
        </w:tc>
      </w:tr>
      <w:tr>
        <w:trPr>
          <w:trHeight w:val="223"/>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113,605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116,569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113,919</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119,282</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113,605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116,569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113,919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119,282</w:t>
            </w:r>
          </w:p>
        </w:tc>
        <w:tc>
          <w:tcPr>
            <w:tcW w:w="100" w:type="dxa"/>
            <w:vAlign w:val="bottom"/>
          </w:tcPr>
          <w:p>
            <w:pPr>
              <w:spacing w:after="0"/>
              <w:rPr>
                <w:sz w:val="20"/>
                <w:szCs w:val="20"/>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360"/>
              <w:spacing w:after="0"/>
              <w:rPr>
                <w:sz w:val="20"/>
                <w:szCs w:val="20"/>
                <w:color w:val="auto"/>
              </w:rPr>
            </w:pPr>
            <w:r>
              <w:rPr>
                <w:rFonts w:ascii="Arial" w:cs="Arial" w:eastAsia="Arial" w:hAnsi="Arial"/>
                <w:sz w:val="18"/>
                <w:szCs w:val="18"/>
                <w:color w:val="auto"/>
              </w:rPr>
              <w:t>Restricted stock-based awards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0"/>
                <w:szCs w:val="20"/>
                <w:color w:val="auto"/>
              </w:rPr>
            </w:pPr>
          </w:p>
        </w:tc>
      </w:tr>
      <w:tr>
        <w:trPr>
          <w:trHeight w:val="277"/>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Weighted average shares and assumed conversions</w:t>
            </w:r>
          </w:p>
        </w:tc>
        <w:tc>
          <w:tcPr>
            <w:tcW w:w="1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114,407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117,450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114,605</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120,056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0.12</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0.36</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-2014220</wp:posOffset>
            </wp:positionV>
            <wp:extent cx="242570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25700" cy="18034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-1679575</wp:posOffset>
            </wp:positionV>
            <wp:extent cx="242570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25700" cy="1797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-385445</wp:posOffset>
            </wp:positionV>
            <wp:extent cx="242570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5700" cy="20574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Approximately 16,000 and 0.1 million stock options were excluded from the computation of diluted earnings per share for the three and nine months ended September 30, 2022, respectively, because they were anti-dilutive.</w:t>
      </w:r>
    </w:p>
    <w:p>
      <w:pPr>
        <w:spacing w:after="0" w:line="274" w:lineRule="exact"/>
        <w:rPr>
          <w:sz w:val="20"/>
          <w:szCs w:val="20"/>
          <w:color w:val="auto"/>
        </w:rPr>
      </w:pPr>
    </w:p>
    <w:p>
      <w:pPr>
        <w:ind w:left="520" w:right="7280" w:hanging="512"/>
        <w:spacing w:after="0" w:line="378" w:lineRule="auto"/>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jc w:val="both"/>
        <w:ind w:left="5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nature of CoreCivic's business results in claims and litigation alleging that it is liable for damages arising from the conduct of its employees, 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substantial self-insurance risk.</w:t>
      </w:r>
    </w:p>
    <w:p>
      <w:pPr>
        <w:spacing w:after="0" w:line="191" w:lineRule="exact"/>
        <w:rPr>
          <w:rFonts w:ascii="Arial" w:cs="Arial" w:eastAsia="Arial" w:hAnsi="Arial"/>
          <w:sz w:val="18"/>
          <w:szCs w:val="18"/>
          <w:b w:val="1"/>
          <w:bCs w:val="1"/>
          <w:color w:val="auto"/>
        </w:rPr>
      </w:pPr>
    </w:p>
    <w:p>
      <w:pPr>
        <w:jc w:val="both"/>
        <w:ind w:left="5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financial statements. Adversarial proceedings and litigation are, however, subject to inherent uncertainties, and unfavorable decisions and rulings resulting from legal proceedings could occur which could have a material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177" w:lineRule="exact"/>
        <w:rPr>
          <w:rFonts w:ascii="Arial" w:cs="Arial" w:eastAsia="Arial" w:hAnsi="Arial"/>
          <w:sz w:val="18"/>
          <w:szCs w:val="18"/>
          <w:b w:val="1"/>
          <w:bCs w:val="1"/>
          <w:color w:val="auto"/>
        </w:rPr>
      </w:pPr>
    </w:p>
    <w:p>
      <w:pPr>
        <w:jc w:val="both"/>
        <w:ind w:left="5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CoreCivic records a liability in the consolidated financial statements for loss contingencies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When determining the estimated loss or range of loss, significant judgment is required to estimate the amount and timing of a loss to be recorded. Any receivable for insurance recoveries is recorded separately from the corresponding litigation reserve, and only if recovery is determined to be probable and the amount of payment can be determined. CoreCivic does not accrue for anticipated legal fees and costs and expenses those items as incurred.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i w:val="1"/>
          <w:iCs w:val="1"/>
          <w:color w:val="auto"/>
        </w:rPr>
        <w:t>ICE Detainee Labor and Related Matters.</w:t>
      </w:r>
    </w:p>
    <w:p>
      <w:pPr>
        <w:spacing w:after="0" w:line="117" w:lineRule="exact"/>
        <w:rPr>
          <w:sz w:val="20"/>
          <w:szCs w:val="20"/>
          <w:color w:val="auto"/>
        </w:rPr>
      </w:pPr>
    </w:p>
    <w:p>
      <w:pPr>
        <w:jc w:val="both"/>
        <w:ind w:left="520"/>
        <w:spacing w:after="0" w:line="286" w:lineRule="auto"/>
        <w:rPr>
          <w:sz w:val="20"/>
          <w:szCs w:val="20"/>
          <w:color w:val="auto"/>
        </w:rPr>
      </w:pPr>
      <w:r>
        <w:rPr>
          <w:rFonts w:ascii="Arial" w:cs="Arial" w:eastAsia="Arial" w:hAnsi="Arial"/>
          <w:sz w:val="16"/>
          <w:szCs w:val="16"/>
          <w:color w:val="auto"/>
        </w:rPr>
        <w:t>On May 31, 2017, two former ICE detainees, who were detained at the Company's Otay Mesa Detention Center ("OMDC") in San Diego, California, filed a class action lawsuit against the Company in the United States District Court for the Southern District of California. The complaint alleged that the Company forces detainees to perform labor under threat of punishment in violation of state and federal anti-trafficking laws and that OMDC's Voluntary Work Program ("VWP") violates state labor laws including state minimum wage law. ICE requires that CoreCivic offer and operate the VWP in conformance with ICE standards and ICE prescribes the minimum rate of pay for VWP participants. The Plaintiffs seek compensatory damages, exemplary damages, restitution, penalties, and interest as well as declaratory and injunctive relief on behalf of former and current detainees. On April 1, 2020, the district court certified a nationwide anti-trafficking claims class of former and current detainees who participated in an ICE VWP at a CoreCivic facility. It also certified a state law class of former and current detainees who participated in a VWP wherever the Company held ICE detainees in California. The court did not certify any claims for injunctive or declaratory relief. On March 10, 2021, the Ninth Circuit Court of Appeals granted CoreCivic's petition to appeal the class certification ruling. On June 3, 2022, a three-judge panel of the Ninth Circuit affirmed the class certification ruling. Following the three-judge panel affirmance, the Company petitioned the Ninth Circuit for a discretionary appellate review, which was denied. On January 3, 2023, the Ninth Circuit Court granted the Company's motion to stay its mandate during the pendency of the Company's petition for Supreme Court review. On June 12, 2023, the Supreme Court dismissed the Company's petition. The claims resulting in certified classes will now proceed in the United States District Court for the Southern District of California.</w:t>
      </w:r>
    </w:p>
    <w:p>
      <w:pPr>
        <w:spacing w:after="0" w:line="171"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Since this case was filed, four similar lawsuits have been filed. A second California lawsuit concerning the Otay Mesa facility has been stayed pending the outcome of class proceedings in the first California case discussed above. The Company disputes the allegations in this case and intends to take all necessary steps to vigorously defend itself against all claims. A Maryland case was dismissed on September 27, 2019, and the dismissal was affirmed on appeal. Two suits filed in Georgia and Texas do not allege minimum wage violations. The Texas case was voluntarily dismissed on March 14, 2022. The Georgia case was appealed to the Eleventh Circuit following the District Court's decision not to certify any classes, and the Eleventh Circuit affirmed the District Court's ruling on May 31, 2023. On September 29, 2023, the parties submitted a notice of settlement to the District Court, and finalized the settlement on October 17, 2023, without material liability to the Company.</w:t>
      </w:r>
    </w:p>
    <w:p>
      <w:pPr>
        <w:spacing w:after="0" w:line="166"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Due to the stage of the ongoing proceedings, the Company cannot reasonably predict the outcomes, nor can it estimate the amount of loss or range of loss, if any, that may result. As a result, the Company has not recorded an accrual relating to these matters at this time, as losses are not considered probable or reasonably estimable at this stage of these lawsuits.</w:t>
      </w:r>
    </w:p>
    <w:p>
      <w:pPr>
        <w:spacing w:after="0" w:line="288"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5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 CoreCivic recorded an income tax expense of $5.6 million and $24.2 million for the three months ended September 30, 2023 and 2022, respectively. CoreCivic recorded an income tax expense of $18.0 million and $34.9 million for the nine months ended September 30, 2023 and 2022, respectively. The difference between the Company's effective tax rate and the U.S. statutory federal tax rate of 21% is primarily due to the impact of state income taxes. The effective tax rate for the nine months ended September 30, 2023 is higher than the same period in the prior year primarily due to the revaluation of net deferred tax liabilities associated with a change in the Company's corporate tax structure.</w:t>
      </w:r>
    </w:p>
    <w:p>
      <w:pPr>
        <w:spacing w:after="0" w:line="184" w:lineRule="exact"/>
        <w:rPr>
          <w:rFonts w:ascii="Arial" w:cs="Arial" w:eastAsia="Arial" w:hAnsi="Arial"/>
          <w:sz w:val="18"/>
          <w:szCs w:val="18"/>
          <w:b w:val="1"/>
          <w:bCs w:val="1"/>
          <w:color w:val="auto"/>
        </w:rPr>
      </w:pPr>
    </w:p>
    <w:p>
      <w:pPr>
        <w:jc w:val="both"/>
        <w:ind w:left="5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Inflation Reduction Act of 2022 (the "Inflation Reduction Act") was signed into law on August 16, 2022. Among other provisions, such act creates an excise tax of 1% on the fair value of net stock repurchases in excess of share issuances made by publicly traded U.S. corporations, effective for repurchases after December 31, 2022. The impact of this excise tax on the Company’s financial position, and/or liquidity, in future periods, will vary based on the level of net stock repurchases in excess of share issuances made by the Company in a given year. The Company has concluded that the excise tax associated with stock repurchases is properly recognized as a component of equity given that it is a direct cost associated with the repurchase of common stock. The excise tax recognized during the nine months ended September 30, 2023 was estimated to be $0.1 million associated with the repurchase of 2.6 million shares, net of the shares issued for restricted stock plans as permitted by the issuance offset rule under the Inflation Reduction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color w:val="auto"/>
        </w:rPr>
        <w:t>Income Tax Contingencies</w:t>
      </w:r>
    </w:p>
    <w:p>
      <w:pPr>
        <w:spacing w:after="0" w:line="12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187"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CoreCivic had no liabilities recorded for uncertain tax positions as of September 30, 2023 and December 31, 2022.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288"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jc w:val="both"/>
        <w:ind w:left="5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As of September 30, 2023, CoreCivic operated 44 correctional and detention facilities, 40 of which the Company owned. In addition, CoreCivic owned and operated 23 residential reentry centers and owned 6 properties leased to government agencies. Management views CoreCivic's operating results in three operating segments, CoreCivic Safety, CoreCivic Community, and CoreCivic Properties.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Company's electronic monitoring and case management services. CoreCivic Properties includes the operating results of those properties leased to government agencies. The operating performance of the three segments can be measured based on their net operating income. CoreCivic defines facility net operating income as a facility's revenues less operating expenses.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revenue and facility net operating income for each of the three segments and a reconciliation to CoreCivic's income before income taxes is as follows for the three and nine months ended September 30, 2023 and 2022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6"/>
              </w:rPr>
              <w:t>For the Three Months Ended</w:t>
            </w:r>
          </w:p>
        </w:tc>
        <w:tc>
          <w:tcPr>
            <w:tcW w:w="180" w:type="dxa"/>
            <w:vAlign w:val="bottom"/>
          </w:tcPr>
          <w:p>
            <w:pPr>
              <w:spacing w:after="0"/>
              <w:rPr>
                <w:sz w:val="14"/>
                <w:szCs w:val="14"/>
                <w:color w:val="auto"/>
              </w:rPr>
            </w:pPr>
          </w:p>
        </w:tc>
        <w:tc>
          <w:tcPr>
            <w:tcW w:w="21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Safety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443,324</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423,186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1,282,717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1,253,788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Community</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29,791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84,569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37,888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revenue</w:t>
            </w: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483,592</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464,152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1,405,174</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1,373,761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Safety</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350,946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342,190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1,015,070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987,472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Community</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23,268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68,888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Properties</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3,067</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9,752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Total segment operating expenses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377,281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368,114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1,093,710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1,061,564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Facility net operating income:</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Safety</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92,378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267,647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Community</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6,523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15,681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28,136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facility net operating income</w:t>
            </w: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106,311</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96,038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311,464</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color w:val="auto"/>
              </w:rPr>
              <w:t>Other revenue (expense):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(42 )</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(80 )</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(158 )</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(33,927 )</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(30,194 )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(99,218 )</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(92,808 )</w:t>
            </w: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(32,526 )</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(31,931 )</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(95,183 )</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(96,218 )</w:t>
            </w: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Shareholder litigation expense</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(1,900 )</w:t>
            </w: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(2,710 )</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(3,513 )</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(2,710 )</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(3,513 )</w:t>
            </w: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(17,886 )</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(20,793 )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(55,305 )</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(65,381 )</w:t>
            </w:r>
          </w:p>
        </w:tc>
        <w:tc>
          <w:tcPr>
            <w:tcW w:w="0" w:type="dxa"/>
            <w:vAlign w:val="bottom"/>
          </w:tcPr>
          <w:p>
            <w:pPr>
              <w:spacing w:after="0"/>
              <w:rPr>
                <w:sz w:val="1"/>
                <w:szCs w:val="1"/>
                <w:color w:val="auto"/>
              </w:rPr>
            </w:pPr>
          </w:p>
        </w:tc>
      </w:tr>
      <w:tr>
        <w:trPr>
          <w:trHeight w:val="215"/>
        </w:trPr>
        <w:tc>
          <w:tcPr>
            <w:tcW w:w="5240" w:type="dxa"/>
            <w:vAlign w:val="bottom"/>
          </w:tcPr>
          <w:p>
            <w:pPr>
              <w:ind w:left="180"/>
              <w:spacing w:after="0"/>
              <w:rPr>
                <w:sz w:val="20"/>
                <w:szCs w:val="20"/>
                <w:color w:val="auto"/>
              </w:rPr>
            </w:pPr>
            <w:r>
              <w:rPr>
                <w:rFonts w:ascii="Arial" w:cs="Arial" w:eastAsia="Arial" w:hAnsi="Arial"/>
                <w:sz w:val="18"/>
                <w:szCs w:val="18"/>
                <w:color w:val="auto"/>
              </w:rPr>
              <w:t>Expenses associated with debt repayments</w:t>
            </w:r>
          </w:p>
        </w:tc>
        <w:tc>
          <w:tcPr>
            <w:tcW w:w="160" w:type="dxa"/>
            <w:vAlign w:val="bottom"/>
          </w:tcPr>
          <w:p>
            <w:pPr>
              <w:spacing w:after="0"/>
              <w:rPr>
                <w:sz w:val="18"/>
                <w:szCs w:val="18"/>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(100 )</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(326 )</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8"/>
                <w:szCs w:val="18"/>
                <w:color w:val="auto"/>
              </w:rPr>
              <w:t>and refinancing transactions</w:t>
            </w: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(783 )</w:t>
            </w: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(7,588 )</w:t>
            </w:r>
          </w:p>
        </w:tc>
        <w:tc>
          <w:tcPr>
            <w:tcW w:w="0" w:type="dxa"/>
            <w:vAlign w:val="bottom"/>
          </w:tcPr>
          <w:p>
            <w:pPr>
              <w:spacing w:after="0"/>
              <w:rPr>
                <w:sz w:val="1"/>
                <w:szCs w:val="1"/>
                <w:color w:val="auto"/>
              </w:rPr>
            </w:pPr>
          </w:p>
        </w:tc>
      </w:tr>
      <w:tr>
        <w:trPr>
          <w:trHeight w:val="250"/>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Gain on sale of real estate assets, net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(74 )</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(71 )</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19,527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59,079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132,748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-3608070</wp:posOffset>
            </wp:positionV>
            <wp:extent cx="6858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-3608070</wp:posOffset>
            </wp:positionV>
            <wp:extent cx="6032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-3608070</wp:posOffset>
            </wp:positionV>
            <wp:extent cx="6032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-3608070</wp:posOffset>
            </wp:positionV>
            <wp:extent cx="6032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-2982595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-2982595</wp:posOffset>
            </wp:positionV>
            <wp:extent cx="6032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-2982595</wp:posOffset>
            </wp:positionV>
            <wp:extent cx="6032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-2982595</wp:posOffset>
            </wp:positionV>
            <wp:extent cx="6032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-2031365</wp:posOffset>
            </wp:positionV>
            <wp:extent cx="6858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-2031365</wp:posOffset>
            </wp:positionV>
            <wp:extent cx="6032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-2031365</wp:posOffset>
            </wp:positionV>
            <wp:extent cx="6032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-2031365</wp:posOffset>
            </wp:positionV>
            <wp:extent cx="6032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-8255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-24765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-8255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following table summarizes capital expenditures including accrued amounts for the three and nine months ended September 30, 2023 and 2022 (in thousands):</w:t>
      </w:r>
    </w:p>
    <w:tbl>
      <w:tblPr>
        <w:tblLayout w:type="fixed"/>
        <w:tblInd w:w="0" w:type="dxa"/>
        <w:tblCellMar>
          <w:top w:w="0" w:type="dxa"/>
          <w:left w:w="0" w:type="dxa"/>
          <w:bottom w:w="0" w:type="dxa"/>
          <w:right w:w="0" w:type="dxa"/>
        </w:tblCellMar>
      </w:tblPr>
      <w:tr>
        <w:trPr>
          <w:trHeight w:val="141"/>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8"/>
          </w:tcPr>
          <w:p>
            <w:pPr>
              <w:jc w:val="right"/>
              <w:ind w:right="320"/>
              <w:spacing w:after="0" w:line="141" w:lineRule="exact"/>
              <w:rPr>
                <w:sz w:val="20"/>
                <w:szCs w:val="20"/>
                <w:color w:val="auto"/>
              </w:rPr>
            </w:pPr>
            <w:r>
              <w:rPr>
                <w:rFonts w:ascii="Arial" w:cs="Arial" w:eastAsia="Arial" w:hAnsi="Arial"/>
                <w:sz w:val="14"/>
                <w:szCs w:val="14"/>
                <w:b w:val="1"/>
                <w:bCs w:val="1"/>
                <w:color w:val="auto"/>
                <w:w w:val="96"/>
              </w:rPr>
              <w:t>For the Three Months Ended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5"/>
          </w:tcPr>
          <w:p>
            <w:pPr>
              <w:jc w:val="right"/>
              <w:ind w:right="193"/>
              <w:spacing w:after="0" w:line="141" w:lineRule="exact"/>
              <w:rPr>
                <w:sz w:val="20"/>
                <w:szCs w:val="20"/>
                <w:color w:val="auto"/>
              </w:rPr>
            </w:pPr>
            <w:r>
              <w:rPr>
                <w:rFonts w:ascii="Arial" w:cs="Arial" w:eastAsia="Arial" w:hAnsi="Arial"/>
                <w:sz w:val="14"/>
                <w:szCs w:val="14"/>
                <w:b w:val="1"/>
                <w:bCs w:val="1"/>
                <w:color w:val="auto"/>
                <w:w w:val="96"/>
              </w:rPr>
              <w:t>For the 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Safety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12,665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14,507</w:t>
            </w:r>
          </w:p>
        </w:tc>
        <w:tc>
          <w:tcPr>
            <w:tcW w:w="4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30,227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52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Community</w:t>
            </w: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457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713</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Properties</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3,864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1,735</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7,797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17,565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18,055</w:t>
            </w:r>
          </w:p>
        </w:tc>
        <w:tc>
          <w:tcPr>
            <w:tcW w:w="4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40,243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The total assets are as follows (in thousands):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Safety</w:t>
            </w:r>
          </w:p>
        </w:tc>
        <w:tc>
          <w:tcPr>
            <w:tcW w:w="160" w:type="dxa"/>
            <w:vAlign w:val="bottom"/>
          </w:tcPr>
          <w:p>
            <w:pPr>
              <w:spacing w:after="0"/>
              <w:rPr>
                <w:sz w:val="20"/>
                <w:szCs w:val="20"/>
                <w:color w:val="auto"/>
              </w:rPr>
            </w:pPr>
          </w:p>
        </w:tc>
        <w:tc>
          <w:tcPr>
            <w:tcW w:w="88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2,322,801</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2,433,126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Community</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213,977</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216,303</w:t>
            </w:r>
          </w:p>
        </w:tc>
        <w:tc>
          <w:tcPr>
            <w:tcW w:w="80" w:type="dxa"/>
            <w:vAlign w:val="bottom"/>
            <w:shd w:val="clear" w:color="auto" w:fill="CFF0FC"/>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Properties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346,481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362,908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185,349</w:t>
            </w: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232,432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p>
        </w:tc>
        <w:tc>
          <w:tcPr>
            <w:tcW w:w="88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3,068,608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3,244,769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-1473835</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-1473835</wp:posOffset>
            </wp:positionV>
            <wp:extent cx="6032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-1473835</wp:posOffset>
            </wp:positionV>
            <wp:extent cx="6032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-1473835</wp:posOffset>
            </wp:positionV>
            <wp:extent cx="603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-187960</wp:posOffset>
            </wp:positionV>
            <wp:extent cx="5143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-187960</wp:posOffset>
            </wp:positionV>
            <wp:extent cx="431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584" w:right="339" w:bottom="1440" w:gutter="0" w:footer="0" w:header="0"/>
        </w:sectPr>
      </w:pPr>
    </w:p>
    <w:bookmarkStart w:id="19" w:name="page20"/>
    <w:bookmarkEnd w:id="19"/>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jc w:val="both"/>
        <w:ind w:left="5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October 11, 2023, CoreCivic entered into a Fourth Amended and Restated Credit Agreement ("the New Bank Credit Facility") that, among other things, increased the available borrowings under the Revolving Credit Facility from $250.0 million to $275.0 million and increased the size of the Term Loan A from an initial balance of $100.0 million to $125.0 million, extended the maturity date to October 11, 2028 and made conforming changes to replace the BSBY index with the Secured Overnight Financing Rate ("SOFR"). Financial covenants were modified to remove the $100.0 million limit of netting unrestricted cash and cash equivalents when calculating the consolidated total leverage ratio and the consolidated secured leverage ratio. Further, the consolidated total leverage ratio resulting in a "springing lien" event was increased from 4.00 to 1.00 to 4.25 to 1.00. At the closing of the New Bank Credit Facility, CoreCivic received approximately $33.8 million of net borrowings before transaction costs as a result of the increased size of the Term Loan A, and the Revolving Credit Facility remains undrawn, except for $17.4 million in outstanding letters of credit.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should be read in conjunction with the financial statements and notes thereto appearing elsewhere in this quarterly report on Form 10-Q, or Quarterly Report. In this Quarterly Report we use the terms, the "Company," "CoreCivic," "we," "us," and "our" to refer to CoreCivic, Inc. and its subsidiaries unless context indicates otherwise.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Quarterly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herein,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These include, but are not limited to, the risks and uncertainties associated with:</w:t>
      </w:r>
    </w:p>
    <w:p>
      <w:pPr>
        <w:spacing w:after="0" w:line="69" w:lineRule="exact"/>
        <w:rPr>
          <w:sz w:val="20"/>
          <w:szCs w:val="20"/>
          <w:color w:val="auto"/>
        </w:rPr>
      </w:pPr>
    </w:p>
    <w:p>
      <w:pPr>
        <w:jc w:val="both"/>
        <w:ind w:left="1020" w:hanging="503"/>
        <w:spacing w:after="0" w:line="25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including as a consequence of the United States Department of Justice, or DOJ, not renewing contracts as a result of President Biden's Executive Order on Reforming Our Incarceration System to Eliminate the Use of Privately Operated Criminal Detention Facilities, or the Private Prison EO, impacting utilization primarily by the United States Federal Bureau of Prisons, or BOP, and the United States Marshals Service, or USMS, and the impact of any changes to immigration reform and sentencing laws (we do not, under longstanding policy, lobby for or against policies or legislation that would determine the basis for, or duration of, an individual's incarceration or detention);</w:t>
      </w:r>
    </w:p>
    <w:p>
      <w:pPr>
        <w:spacing w:after="0" w:line="83"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15"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market conditions, including, but not limited to, the impact governmental budgets can have on our contract renewals and renegotiations, per diem rates, and occupancy;</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operating results because of, among other things, changes in occupancy levels; competition; contract renegotiations or terminations; inflation and other increases in costs of operations, including a continuing rise in labor costs; fluctuations in interest rates and risks of operations;</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resulting from the termination of Title 42, the federal government's policy to deny entry at the United States southern border to asylum-seekers and anyone crossing the southern border without proper documentation or authority in an effort to contain the spread of the coronavirus and related variants, or COVID-19;</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government budget uncertainty, the impact of the debt ceiling and the potential for government shutdowns and changing funding priorities;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identify and consummate future development and acquisition opportunities and realize projected returns resulting therefrom;</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have met and maintained qualification for taxation as a real estate investment trust, or REIT, for the years we elected REIT status;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debt and equity financing on terms that are favorable to us, or at all.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both"/>
        <w:spacing w:after="0" w:line="288" w:lineRule="auto"/>
        <w:rPr>
          <w:sz w:val="20"/>
          <w:szCs w:val="20"/>
          <w:color w:val="auto"/>
        </w:rPr>
      </w:pPr>
      <w:r>
        <w:rPr>
          <w:rFonts w:ascii="Arial" w:cs="Arial" w:eastAsia="Arial" w:hAnsi="Arial"/>
          <w:sz w:val="16"/>
          <w:szCs w:val="16"/>
          <w:color w:val="auto"/>
        </w:rPr>
        <w:t>Any or all of our forward-looking statements in this Quarterly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our Annual Report on Form 10-K for the year ended December 31, 2022 (including those risks and uncertainties described under Part I, Item 1A. Risk Factors) filed with the Securities and Exchange Commission, or the SEC, on February 21, 2023, or the 2022 Form 10-K, and in other reports, documents, and other information we file with the SEC from time to time. Readers are cautioned not to place undue reliance on these forward-looking statements, which speak only as of the date hereof. New risks and uncertainties arise from time to time, and it is impossible for us to predict these events or how they may affect us. We undertake no obligation to publicly update or revise any forward-looking statements made in this Quarterly Report, except as may be required by law. All subsequent written and oral forward-looking statements attributable to us or persons acting on our behalf are expressly qualified in their entirety by the cautionary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40 years. Our employees are driven by a deep sense of service, high standards of professionalism and a responsibility to help government better the public good.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the nation's largest owner of partnership correctional, detention, and residential reentry facilities and one of the largest prison operators in the United States. As of September 30, 2023, through our CoreCivic Safety segment, we operated 44 correctional and detention facilities, 40 of which we owned, with a total design capacity of approximately 66,000 beds. Through our CoreCivic Community segment, we owned and operated 23 residential reentry centers with a total design capacity of approximately 5,000 beds. In addition, through our CoreCivic Properties segment, we owned 6 properties, with a total design capacity of approximately 9,000 beds, leased to government agencies.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Maryland corporation formed in 1983. Our principal executive offices are located at 5501 Virginia Way, Brentwood, Tennessee, 37027, and our telephone number at that location is (615) 263-3000. Our website address is www.corecivic.com. We make our Annual Reports on Form 10-K, Quarterly Reports on Form 10-Q, Current Reports on Form 8-K, definitive proxy statements, and amendments to those reports under the Securities Exchange Act of 1934, as amended, or the Exchange Act, available on our website, free of charge, as soon as reasonably practicable after these reports are filed with or furnished to the SEC. Information contained on our website is not part of this Quarterly Report. The SEC maintains a website that contains reports, proxy and information statements, and other information regarding issuers that file electronically with the SEC at the following address: www.sec.gov.</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26, 2021, President Biden issued the Executive Order on Reforming Our Incarceration System to Eliminate the Use of Privately Operated Criminal Detention Facilities, or the Private Prison EO. The Private Prison EO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decade, a trend that was accelerated by the COVID-19 pandemic. Our remaining prison contract with the BOP at the 1,978-bed McRae Correctional Facility expired on November 30, 2022 and was not renewed. This contract accounted for 2% ($37.8 million) of our total revenue for the twelve months ended December 31, 2022. We completed the sale of the McRae facility in August 2022 to the Georgia Building Authority, and entered into an agreement to lease the facility through November 2022 to allow us to fulfill our obligations to the BOP. The Private Prison EO only applies to agencies that are part of the DOJ, which includes the BOP and USMS. U.S. Immigration and Customs Enforcement, or ICE, facilities are not covered by the Private Prison EO, as ICE is an agency of the Department of Homeland Security, or DHS, not the DOJ. For the nine months ended September 30, 2023, USMS and ICE accounted for 21% ($298.6 million) and 29% ($412.0 million), respectively, of our total revenue. For the year ended December 31, 2022, USMS and ICE accounted for 22% ($403.9 million) and 29% ($527.3 million), respectively, of our total revenue.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Unlike the BOP, the USMS does not own detention capacity and relies on the private sector, along with various government agencies, for its detainee population. We currently have two detention facilities that have direct contracts with the USMS. One of the contracts was renewed in September 2023, and now expires in September 2028. The second direct contract expires in September 2025. It is too early to predict the outcome of the expiration of the contract scheduled to expire in September 2025, and future developments could occur prior to the scheduled expiration date.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World Health Organization declared the outbreak of COVID-19 as a pandemic. As a result, in the first quarter of 2020, the federal government decided to deny entry at the United States southern border to asylum-seekers and anyone crossing the southern border without proper documentation or authority in an effort to contain the spread of COVID-19, a policy known as Title 42. This policy resulted in a reduction to the number of people ICE detained, including in our detention facilities. Based on COVID-19 trends, the Department of Health and Human Services allowed Title 42 to expire on May 11, 2023, which has resulted in an increase in the number of undocumented people permitted to enter the United States claiming asylum, and has resulted in an increase in the number of people apprehended and detained by ICE.</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believe the long-term growth opportunities of our business remain attractive as government agencies consider their emergent needs, as well as the efficiency and offender programming opportunities we provide as flexible solutions to satisfy our partners' needs. We have also been in discussions with several state and county government agencies that have experienced challenges in staffing their public-sector facilities and are seeking solutions from the private sector. Further, several of our existing government partners, as well as prospective government partners, have been experiencing growth in offender populations and overcrowded conditions, as well as an increase in violent crime. Governments are continuing to assess their need for correctional space, and several are continuing to consider alternative correctional capacity for their aged or inefficient infrastructure, or are seeking cost savings by utilizing the private sector, which could result in increased future demand for the solutions we provide. For example, on September 25, 2023, we announced that we signed a new management contract with Hinds County, Mississippi for the housing of up to 250 adult male pre-trial detainees at our 2,672-bed Tallahatchie County Correctional Facility in Tutwiler, Mississippi. The initial contract term is for two years, which may be extended for an additional year upon mutual agreement. In addition to the recent contract with Hinds County, we currently care for residents from the USMS, Vermont, South Carolina, the U.S. Virgin Islands, and Tallahatchie County at the Tallahatchie facility, which demonstrates the flexible solutions that we provide. On October 11, 2023, we were notified by the state of Montana of its intent to award us a new management contract for up to 120 inmates at our 1,896-bed Saguaro Correctional Facility in Eloy, Arizona. We expect to execute the contract in the short-term and begin accepting residents from Montana later in the fourth quarter of 2023. In December 2021, the state of Arizona awarded us a new contract for up to 2,706 inmates at our 3,060-bed La Palma Correctional Center in Arizona, which commenced in April 2022. We are not aware of a larger prison contract awarded to the private sector by any state in over a decade. In August 2022, we completed the sale of the 1,978-bed McRae Correctional Facility to the Georgia Building Authority in order to update its aged and inefficient public sector correctional infrastructure. We had a management contract with the BOP at this facility, which expired on November 30, 2022. In connection with the sale, we entered into an agreement to lease the McRae facility from the Georgia Building Authority through November 30, 2022 to allow us to fulfill our obligations to the BOP. The BOP transferred the BOP inmates to alternative federal capacity prior to expiration of the contract, and the McRae Correctional Facility converted to a facility owned and operated by the State of Georgia upon the termination of our lease with the Georgia Building Authority. Competing budget priorities often impede our customers' ability to construct new prison beds of their own or update their older facilities, which we believe could result in further demand for private sector prison capacity solutions in the long-term.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consolidated financial statements in this Quarterly Report are prepared in conformity with U.S. generally accepted accounting principles, or GAAP. As such, we are required to make certain estimates, judgments, and assumptions that we believe are reasonable based upon the information available which, by their nature, are subject to an inherent degree of uncertainty. These estimates and assumptions affect the reported amounts of assets and liabilities at the date of the consolidated financial statements and the reported amounts of revenue and expenses during the reporting period. There can be no assurance that actual results will not differ from our estimates. A summary of our significant accounting policies is described in our 2022 Form 10-K. The significant accounting policies and estimates which we believe are the most critical to aid in fully understanding and evaluating our reported financial results include those related to idle facilities and asset impairments, self-funded insurance reserves, and legal reserves. For a discussion of our critical accounting policies and estimates, please refer to </w:t>
      </w:r>
      <w:r>
        <w:rPr>
          <w:rFonts w:ascii="Arial" w:cs="Arial" w:eastAsia="Arial" w:hAnsi="Arial"/>
          <w:sz w:val="16"/>
          <w:szCs w:val="16"/>
          <w:i w:val="1"/>
          <w:iCs w:val="1"/>
          <w:color w:val="auto"/>
        </w:rPr>
        <w:t>Item 7, "Management's Discussion and Analysis of Financial Condition and Results of Operations" and "Notes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presented in our 2022 Form 10-K. There were no newly identified critical accounting policies during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2023, nor were there any material changes to the critical accounting policies and estimates discussed in our 2022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are impacted by the number of correctional and detention facilities we operated, including 40 we owned and four owned by our government partners (CoreCivic Safety), the number of residential reentry centers we owned and operated (CoreCivic Community), and the number of facilities we leased to government agencies (CoreCivic Properties). The following table sets forth the changes in the number of facilities in each segment of our portfolio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2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Effective</w:t>
            </w: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9"/>
              </w:rPr>
              <w:t>CoreCivic</w:t>
            </w: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Safety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Community</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Properties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Facilities as of December 31, 2021</w:t>
            </w:r>
          </w:p>
        </w:tc>
        <w:tc>
          <w:tcPr>
            <w:tcW w:w="13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Expiration of a managed-only contract in Indiana</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2022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 of a residential reentry facility in Colorado</w:t>
            </w:r>
          </w:p>
        </w:tc>
        <w:tc>
          <w:tcPr>
            <w:tcW w:w="15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February 2022</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Sale of a residential reentry facility in Colorado</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March 2022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 of two leased community corrections facilities</w:t>
            </w: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 California</w:t>
            </w:r>
          </w:p>
        </w:tc>
        <w:tc>
          <w:tcPr>
            <w:tcW w:w="15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July 2022</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(2 )</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8"/>
                <w:szCs w:val="18"/>
                <w:color w:val="auto"/>
              </w:rPr>
              <w:t>Sale and subsequent termination of the contract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0"/>
              <w:spacing w:after="0"/>
              <w:rPr>
                <w:sz w:val="20"/>
                <w:szCs w:val="20"/>
                <w:color w:val="auto"/>
              </w:rPr>
            </w:pPr>
            <w:r>
              <w:rPr>
                <w:rFonts w:ascii="Arial" w:cs="Arial" w:eastAsia="Arial" w:hAnsi="Arial"/>
                <w:sz w:val="18"/>
                <w:szCs w:val="18"/>
                <w:color w:val="auto"/>
              </w:rPr>
              <w:t>lease of the McRae Correctional Facility in Georgia</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Aug/Nov 2022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 of an idled residential reentry facility in</w:t>
            </w: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11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Oklahoma</w:t>
            </w:r>
          </w:p>
        </w:tc>
        <w:tc>
          <w:tcPr>
            <w:tcW w:w="15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December 2022</w:t>
            </w:r>
          </w:p>
        </w:tc>
        <w:tc>
          <w:tcPr>
            <w:tcW w:w="1220" w:type="dxa"/>
            <w:vAlign w:val="bottom"/>
            <w:gridSpan w:val="2"/>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Facilities as of December 31, 2022</w:t>
            </w:r>
          </w:p>
        </w:tc>
        <w:tc>
          <w:tcPr>
            <w:tcW w:w="13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 of two leased community corrections facilities</w:t>
            </w: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(2 )</w:t>
            </w:r>
          </w:p>
        </w:tc>
        <w:tc>
          <w:tcPr>
            <w:tcW w:w="11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 Pennsylvania</w:t>
            </w:r>
          </w:p>
        </w:tc>
        <w:tc>
          <w:tcPr>
            <w:tcW w:w="15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May 2023</w:t>
            </w:r>
          </w:p>
        </w:tc>
        <w:tc>
          <w:tcPr>
            <w:tcW w:w="1220" w:type="dxa"/>
            <w:vAlign w:val="bottom"/>
            <w:gridSpan w:val="2"/>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Facilities as of September 30, 2023</w:t>
            </w:r>
          </w:p>
        </w:tc>
        <w:tc>
          <w:tcPr>
            <w:tcW w:w="13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-633730</wp:posOffset>
            </wp:positionV>
            <wp:extent cx="685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-633730</wp:posOffset>
            </wp:positionV>
            <wp:extent cx="6858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-633730</wp:posOffset>
            </wp:positionV>
            <wp:extent cx="685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2023 Compared to the Three and Nine Months Ended September 30, 2022</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income was $13.9 million, or $0.12 per diluted share, for the three months ended September 30, 2023, compared with net income of $68.3 million, or $0.58 per diluted share, for the three months ended September 30, 2022. Net income was $41.1 million, or $0.36 per diluted share, for the nine months ended September 30, 2023, compared with net income of $97.9 million, or $0.82 per diluted share, for the nine months ended September 30, 2022. Financial results for the three and nine months ended September 30, 2023 reflect a $0.4 million gain on the sale of real estate assets and $2.7 million of asset impairments. Financial results for the three and nine months ended September 30, 2023 also reflect $0.1 million and $0.3 million, respectively, of expenses associated with debt repayments and refinancing transactions. Financial results for the three months ended September 30, 2022 reflect an $83.8 million gain on the sale of real estate assets, $0.8 million of expenses associated with debt repayments and refinancing transactions, as well as $3.5 million of asset impairments. Financial results for the nine months ended September 30, 2022 reflect an $87.1 million gain on the sale of real estate assets, $7.6 million of expenses associated with debt repayments and refinancing transactions, $3.5 million of asset impairments, and $1.9 million of expenses associated with shareholder litigation. For the three months ended September 30, 2023 and 2022, income tax expense reflects a net benefit of $0.7 million and a net charge of $21.0 million, respectively, associated with the aforementioned special items. For the nine months ended September 30, 2023 and 2022, income tax expense reflects a net expense of $0.1 million and $19.5 million, respectively, associated with these special items and a change in our corporate tax structure in 2023.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Our Current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17" w:lineRule="exact"/>
        <w:rPr>
          <w:sz w:val="20"/>
          <w:szCs w:val="20"/>
          <w:color w:val="auto"/>
        </w:rPr>
      </w:pPr>
    </w:p>
    <w:p>
      <w:pPr>
        <w:jc w:val="both"/>
        <w:ind w:left="840" w:hanging="380"/>
        <w:spacing w:after="0" w:line="259"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CoreCivic Safety segment, consisting of the 44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8" w:lineRule="exact"/>
        <w:rPr>
          <w:rFonts w:ascii="Arial" w:cs="Arial" w:eastAsia="Arial" w:hAnsi="Arial"/>
          <w:sz w:val="18"/>
          <w:szCs w:val="18"/>
          <w:color w:val="auto"/>
        </w:rPr>
      </w:pPr>
    </w:p>
    <w:p>
      <w:pPr>
        <w:ind w:left="840" w:hanging="383"/>
        <w:spacing w:after="0" w:line="34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CoreCivic Community segment, consisting of the 23 residential reentry centers that are owned, or controlled via a long-term lease, and managed by CoreCivic. CoreCivic Community also includes the operating results of our electronic monitoring and case management services.</w:t>
      </w:r>
    </w:p>
    <w:p>
      <w:pPr>
        <w:spacing w:after="0" w:line="15" w:lineRule="exact"/>
        <w:rPr>
          <w:rFonts w:ascii="Arial" w:cs="Arial" w:eastAsia="Arial" w:hAnsi="Arial"/>
          <w:sz w:val="16"/>
          <w:szCs w:val="16"/>
          <w:color w:val="auto"/>
        </w:rPr>
      </w:pPr>
    </w:p>
    <w:p>
      <w:pPr>
        <w:ind w:left="840" w:hanging="383"/>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CoreCivic Properties segment, consisting of the 6 real estate properties owned by CoreCivic and leased to government agencies.</w:t>
      </w:r>
    </w:p>
    <w:p>
      <w:pPr>
        <w:spacing w:after="0" w:line="2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2023 and 2022, our total segment net operating income, which we define as facility revenue (including interest income associated with finance leases) less operating expenses, was divided among our three business segments as follows: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50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40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ind w:left="54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w:t>
            </w:r>
          </w:p>
        </w:tc>
        <w:tc>
          <w:tcPr>
            <w:tcW w:w="9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Safety</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85.2 %</w:t>
            </w:r>
          </w:p>
        </w:tc>
        <w:tc>
          <w:tcPr>
            <w:tcW w:w="9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82.5 %</w:t>
            </w:r>
          </w:p>
        </w:tc>
        <w:tc>
          <w:tcPr>
            <w:tcW w:w="1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84.2 %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83.5 %</w:t>
            </w:r>
          </w:p>
        </w:tc>
      </w:tr>
      <w:tr>
        <w:trPr>
          <w:trHeight w:val="238"/>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Community</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6.0 %</w:t>
            </w:r>
          </w:p>
        </w:tc>
        <w:tc>
          <w:tcPr>
            <w:tcW w:w="9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4.4 %</w:t>
            </w:r>
          </w:p>
        </w:tc>
        <w:tc>
          <w:tcPr>
            <w:tcW w:w="1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4.9 %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Properties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8.8 %</w:t>
            </w:r>
          </w:p>
        </w:tc>
        <w:tc>
          <w:tcPr>
            <w:tcW w:w="92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13.1 %</w:t>
            </w:r>
          </w:p>
        </w:tc>
        <w:tc>
          <w:tcPr>
            <w:tcW w:w="1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10.9 %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Operations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offender for one calendar day. Revenue and expenses per compensated man-day are computed by dividing facility revenue and expenses by the total number of compensated man-days during the period. A compensated man-day represents a calendar day for which we are paid for the occupancy of an offender. We believe the measurement is useful because we are compensated for operating and managing facilities at an offender per diem rate based upon actual or minimum guaranteed occupancy levels. We also measure our costs on a per compensated man-day basis, which is largely dependent upon the number of offenders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three and nine months ended September 30, 2023 and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w w:val="96"/>
              </w:rPr>
              <w:t>For the Three Months Ended</w:t>
            </w:r>
          </w:p>
        </w:tc>
        <w:tc>
          <w:tcPr>
            <w:tcW w:w="160" w:type="dxa"/>
            <w:vAlign w:val="bottom"/>
          </w:tcPr>
          <w:p>
            <w:pPr>
              <w:spacing w:after="0"/>
              <w:rPr>
                <w:sz w:val="14"/>
                <w:szCs w:val="14"/>
                <w:color w:val="auto"/>
              </w:rPr>
            </w:pPr>
          </w:p>
        </w:tc>
        <w:tc>
          <w:tcPr>
            <w:tcW w:w="27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Revenue per compensated man-day</w:t>
            </w: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98.66</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97.52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expenses per compensated man-day:</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Fixed expense</w:t>
            </w: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56.37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55.47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Variable expense</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77.67</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77.01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73.09</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income per compensated man-day</w:t>
            </w:r>
          </w:p>
        </w:tc>
        <w:tc>
          <w:tcPr>
            <w:tcW w:w="1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20.99</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rPr>
              <w:t>Operating margin</w:t>
            </w: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rPr>
              <w:t>Average compensated occupancy</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72.0 </w:t>
            </w:r>
            <w:r>
              <w:rPr>
                <w:rFonts w:ascii="Arial" w:cs="Arial" w:eastAsia="Arial" w:hAnsi="Arial"/>
                <w:sz w:val="18"/>
                <w:szCs w:val="18"/>
                <w:b w:val="1"/>
                <w:bCs w:val="1"/>
                <w:color w:val="auto"/>
                <w:highlight w:val="white"/>
              </w:rPr>
              <w:t>%</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70.8 %</w:t>
            </w:r>
          </w:p>
        </w:tc>
        <w:tc>
          <w:tcPr>
            <w:tcW w:w="240" w:type="dxa"/>
            <w:vAlign w:val="bottom"/>
          </w:tcPr>
          <w:p>
            <w:pPr>
              <w:spacing w:after="0"/>
              <w:rPr>
                <w:sz w:val="19"/>
                <w:szCs w:val="19"/>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available beds</w:t>
            </w:r>
          </w:p>
        </w:tc>
        <w:tc>
          <w:tcPr>
            <w:tcW w:w="1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71,068</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73,246</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71,068</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73,363</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Average compensated population</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51,138</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-1405255</wp:posOffset>
            </wp:positionV>
            <wp:extent cx="6412230" cy="548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12230" cy="54864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-702310</wp:posOffset>
            </wp:positionV>
            <wp:extent cx="244348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43480"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revenue consists of management revenue we generate through CoreCivic Safety and CoreCivic Community in the operation of correctional, detention, and residential reentry facilities, as well as the revenue we generate from TransCor and our electronic monitoring and case management services. Total revenue also consists of lease revenue we generate through CoreCivic Properties from facilities we lease to third-party operators. The following table reflects the components of revenue for the three and nine months ended September 30, 2023 and 2022 (in millions):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3"/>
              </w:rPr>
              <w:t>For the 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Management revenue:</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251.9</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8"/>
        </w:trPr>
        <w:tc>
          <w:tcPr>
            <w:tcW w:w="5200" w:type="dxa"/>
            <w:vAlign w:val="bottom"/>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192.2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Local</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360"/>
              <w:spacing w:after="0"/>
              <w:rPr>
                <w:sz w:val="20"/>
                <w:szCs w:val="20"/>
                <w:color w:val="auto"/>
              </w:rPr>
            </w:pPr>
            <w:r>
              <w:rPr>
                <w:rFonts w:ascii="Arial" w:cs="Arial" w:eastAsia="Arial" w:hAnsi="Arial"/>
                <w:sz w:val="18"/>
                <w:szCs w:val="18"/>
                <w:color w:val="auto"/>
              </w:rPr>
              <w:t>Total management revenue</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473.1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r>
              <w:rPr>
                <w:rFonts w:ascii="Arial" w:cs="Arial" w:eastAsia="Arial" w:hAnsi="Arial"/>
                <w:sz w:val="18"/>
                <w:szCs w:val="18"/>
                <w:color w:val="auto"/>
              </w:rPr>
              <w:t>Lease revenue</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483.7</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4"/>
              </w:rPr>
              <w:t>For the Nine Months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Management revenue:</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731.8</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(16.5 )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8"/>
        </w:trPr>
        <w:tc>
          <w:tcPr>
            <w:tcW w:w="5200" w:type="dxa"/>
            <w:vAlign w:val="bottom"/>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551.5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Local</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(0.5 )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360"/>
              <w:spacing w:after="0"/>
              <w:rPr>
                <w:sz w:val="20"/>
                <w:szCs w:val="20"/>
                <w:color w:val="auto"/>
              </w:rPr>
            </w:pPr>
            <w:r>
              <w:rPr>
                <w:rFonts w:ascii="Arial" w:cs="Arial" w:eastAsia="Arial" w:hAnsi="Arial"/>
                <w:sz w:val="18"/>
                <w:szCs w:val="18"/>
                <w:color w:val="auto"/>
              </w:rPr>
              <w:t>Total management revenue</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1,367.3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1,330.1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r>
              <w:rPr>
                <w:rFonts w:ascii="Arial" w:cs="Arial" w:eastAsia="Arial" w:hAnsi="Arial"/>
                <w:sz w:val="18"/>
                <w:szCs w:val="18"/>
                <w:color w:val="auto"/>
              </w:rPr>
              <w:t>Lease revenue</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1,405.4</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-3162300</wp:posOffset>
            </wp:positionV>
            <wp:extent cx="641223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-2853690</wp:posOffset>
            </wp:positionV>
            <wp:extent cx="6412230" cy="4718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12230" cy="4718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-2219325</wp:posOffset>
            </wp:positionV>
            <wp:extent cx="641223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12230" cy="1797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-1122045</wp:posOffset>
            </wp:positionV>
            <wp:extent cx="641223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-814070</wp:posOffset>
            </wp:positionV>
            <wp:extent cx="6412230" cy="4718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12230" cy="4718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$23.5 million, or 5.2%, increase in total management revenue for the three months ended September 30, 2023 as compared with the same period in 2022 was primarily a result of an increase in revenue of approximately $25.6 million driven primarily by an increase of 5.9% in average revenue per compensated man-day. The $37.2 million, or 2.8%, increase in total management revenue for the nine months ended September 30, 2023 as compared with the same period in 2022 was primarily a result of an increase in revenue of $64.0 million driven primarily by an increase of 5.0% in average revenue per compensated man-day. The increase in management revenue in both the three- and nine-month periods was partially offset by a decrease in revenue of $1.9 million and $27.8 million, respectively, driven primarily by a decrease in average daily compensated population from 2022 to 2023, as discussed further hereinafter. The increase in average revenue per compensated man-day in both periods primarily resulted from the effect of per diem increases at several of our facilities. We believe the impact of these per diem increases will provide further benefit to our operating margins as residential populations continue to recover from the impact of COVID-19 and will help offset the wage and employee benefit increases we have been incurring, as further discussed hereinafter. Revenue generated from our electronic monitoring and case management services during the three months ended September 30, 2023 decreased $0.2 million (from $9.2 million during the three months ended September 30, 2022 to $9.0 million during the three months ended September 30, 2023). Revenue generated from our electronic monitoring and case management services during the nine months ended September 30, 2023 increased $1.0 million (from $26.9 million during the nine months ended September 30, 2022 to $27.9 million during the nine months ended September 30, 2023).</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Average daily compensated population decreased 217, or 0.4%, to 51,138 during the three months ended September 30, 2023 compared to 51,355 during the three months ended September 30, 2022. Average daily compensated population decreased 1,096, or 2.1%, to 50,308 during the nine months ended September 30, 2023 compared to 51,404 during the nine months ended September 30, 2022. The decrease in average daily compensated population in both periods was primarily a result of the contract expiration at the 1,978-bed McRae Correctional Facility effective November 30, 2022, as further described hereinafter. The decrease in average daily compensated population in both periods was partially offset by an increase in average population at our 3,060-bed La Palma Correctional Center, which was a result of a new management contract from the state of Arizona, and by an increase in occupancy at facilities where ICE is our federal partner, both as further discussed hereinafter.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6"/>
          <w:szCs w:val="16"/>
          <w:color w:val="auto"/>
        </w:rPr>
        <w:t>The solutions we provide to our federal customers, including primarily ICE and the USMS, continue to be a significant component of our business. The federal customers in our Safety and Community segments generated approximately 52% and 54% of our total revenue for the three months ended September 30, 2023 and 2022, respectively, increasing $3.5 million, or 1.4%, during the three months ended September 30, 2023 as compared with the same period in 2022. The federal customers in our Safety and Community segments generated approximately 52% and 54% of our total revenue for the nine months ended September 30, 2023 and 2022, respectively, decreasing $16.5 million, or 2.2%, during the nine months ended September 30, 2023 as compared with the same period in 2022. As further described hereinafter, the increase in federal revenue during the three-month period was primarily a result of increased occupancy and the impact of per diem increases at certain facilities. The increase in federal revenue during the three-month period was partially offset by the expiration of the contract with the BOP at the McRae Correctional Facility, which resulted in a reduction in federal revenue of $10.3 million (2.1% of our total revenue) during the three months ended September 30, 2023 from the three months ended September 30, 2022, and as a result of the transition at our La Palma facility from an ICE population to the state of Arizona throughout 2022, as further described hereinafter. The decrease in federal revenue during the nine-month period was also a result of the expiration of the contract with the BOP at the McRae facility, which resulted in a reduction in federal revenue of $31.0 million (2.2% of our total revenue) during the nine months ended September 30, 2023 from the nine months ended September 30, 2022, and as a result of the transition at our La Palma facility. The decrease in federal revenue during the nine-month period was partially offset by the impact of increased occupancy and per diem increases at certain facilities.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decision near the end of the first quarter of 2020 by the federal government to deny entry at the United States southern border to asylum-seekers and anyone crossing the southern border without proper documentation or authority in an effort to contain the spread of COVID-19, a policy known as Title 42, resulted in a reduction in people being apprehended and detained by ICE. The financial impact was somewhat mitigated by fixed monthly payments from ICE at certain of our facilities, to ensure ICE has adequate bed capacity in the event of a surge in the future. Based on COVID-19 trends, the Department of Health and Human Services allowed Title 42 to expire on May 11, 2023, which has resulted in an increase in the number of undocumented people permitted to enter the United States claiming asylum, and has resulted in an increase in the number of people apprehended and detained by ICE. Due to fixed payments under many of our federal contracts, the increase in residential populations does not result in a proportionate increase in our financial results at such facilities until populations clear the fixed payment levels for certain bed capacity. Residential populations under certain of our federal contracts cleared the minimum compensated bed total associated with fixed payments during the third quarter of 2023. During 2022, revenue from ICE was $527.3 million compared to $579.5 million during 2019, prior to the implementation of Title 42. During the three and nine months ended September 30, 2023, revenue from ICE was $144.6 million and $412.0 million, respectively, compared to $129.7 million and $398.0 million, respectively, during the three and nine months ended September 30, 2022. Revenue from ICE during the three- and nine-month periods ended September 30, 2023 increased at facilities other than our La Palma facility by $21.2 million and $47.2 million, respectively, from the comparable periods in 2022 due to increased occupancy and the impact of per diem increases at certain facilities. During the three and nine months ended September 30, 2022, revenue from ICE at our La Palma facility was $6.2 million and $33.2 million, respectively. This facility was transitioned from an ICE population to a population from the state of Arizona throughout 2022, with the offender intake process being substantially completed during the fourth quarter of 2022.</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 revenues from contracts at correctional, detention, and residential reentry facilities that we operate increased $20.1 million, or 11.7%, from the third quarter of 2022 to the third quarter of 2023. State revenues increased $62.8 million, or 12.9%, from the nine months ended September 30, 2022 to the comparable period in 2023. State revenues increased in both periods primarily as a result of the new management contract with the state of Arizona at our 3,060-bed La Palma Correctional Center for up to 2,706 inmates, as the state transferred inmate populations from public sector facilities into our La Palma facility. We began receiving inmates from the state of Arizona in April 2022 and as of September 30, 2023, we cared for approximately 2,200 inmates from the state of Arizona at this facility. State revenue at the La Palma facility increased $11.2 million and $45.5 million during the three and nine months ended September 30, 2023, compared with the same periods in the prior year. State revenues also increased as a result of per diem increases under a number of our state contracts, as many of our state partners have recognized the need to provide additional funding to address increases in the wages of our employees.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Local revenues from contracts at correctional, detention, and residential reentry facilities that we operate decreased $0.2 million, or 2.2%, from the third quarter of 2022 to the third quarter of 2023. Local revenues decreased $0.5 million, or 1.9%, from the nine months ended September 30, 2022 to the nine months ended September 30,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$4.1 million, or 28.1%, decrease in lease revenue from the third quarter of 2022 to the third quarter of 2023, and the $5.8 million, or 13.3%, decrease in lease revenue from the nine months ended September 30, 2022 to the comparable period in 2023 primarily resulted from the termination of the lease at our North Fork Correctional Facility effective June 30, 2023, as further described hereinafter.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totaled $377.3 million and $368.2 million for the three months ended September 30, 2023 and 2022, respectively, while operating expenses for the nine months ended September 30, 2023 and 2022 totaled $1,093.9 million and $1,061.8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7"/>
          <w:szCs w:val="17"/>
          <w:color w:val="auto"/>
        </w:rPr>
        <w:t>respectively. Operating expenses consist of those expenses incurred in the operation and management of correctional, detention, and residential reentry facilities, as well as those expenses incurred in the operations of TransCor and our electronic monitoring and case management services. Operating expenses also consist of those expenses incurred in the operation of facilities we lease to third-party operators.</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Operating expenses incurred by CoreCivic Safety and CoreCivic Community in connection with the operation and management of our correctional, detention, and residential reentry facilities, as well as those incurred in the operations of TransCor and our electronic monitoring and case management services, increased $10.0 million, or 2.7%, during the third quarter of 2023 when compared with the same period in 2022. Expenses incurred by these segments increased $33.0 million, or 3.1%, during the nine months ended September 30, 2023, when compared to the same period in 2022. Operating expenses increased primarily as a result of wage increases resulting from labor shortages and wage pressures, as further described hereinafter. We achieved higher staffing levels during the first nine months of 2023 when compared to the same period in the prior year, and correspondingly, we were able to reduce our use of temporary incentives by $2.6 million and $8.3 million during the three- and nine-month periods of 2023, respectively, as we began to see improvement in our attraction and retention of facility staff in this challenging labor market. We believe these investments in staffing have positioned us to manage the increased number of residents we have begun to experience now that the remaining occupancy restrictions caused by the COVID-19 pandemic, most notably Title 42, have been removed. We have continued to invest in staffing resources during 2023, which has resulted in additional compensation and incremental expenses, and we expect to continue to invest in staffing resources in future quarters, which may result in additional compensation and incremental expenses. The benefits of our investments in staffing may not be realized immediately or at all. As the labor market improves and labor shortages and wage pressures are alleviated, which we believe will take some additional time, we expect to further reduce our reliance on these temporary incentives. Additionally, operating expenses increased as a result of expenses incurred at our La Palma Correctional Center as utilization of the facility increased under the new contract with the state of Arizona while we contended with a challenging labor market. The increase in operating expenses during the three months ended September 30, 2023 was also a result of less favorable claims experience in our self-insured employee medical and workers compensation plans when compared to the same period in the prior year. The increase in operating expenses in both the three- and nine-month periods was partially offset by the contract expiration at the 1,978-bed McRae Correctional Facility effective November 30, 2022. During the nine months ended September 30, 2023, we had more favorable claims experience in our self-insured employee medical and workers compensation plans when compared to the same period in the prior year, which also contributed to the partial offset in operating expenses during the nine-month period of 2023.</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Total expenses per compensated man-day increased to $77.67 during the three months ended September 30, 2023 from $75.28 during the three months ended September 30, 2022, and increased to $77.01 during the nine months ended September 30, 2023 from $73.09 during the same period in the prior year. We have experienced labor shortages and wage pressures in many markets across the country, and have provided customary inflationary wage increases to remain competitive. Recruiting has been particularly challenging since the start of the pandemic due to the front-line nature of the services we provide and the shortage of nursing staff across the country intensified as a result of the COVID-19 pandemic and the challenging labor market. The challenges of recruiting and retaining staff, including nursing, has been and could continue to be exacerbated by the current labor market. Further, we have incurred incremental expenses to help ensure sufficient staffing levels under unique and challenging working conditions. While, as mentioned in the preceding paragraph, we were able to reduce the use of these temporary incentives by $2.6 million and $8.3 million during the three and nine months ended September 30, 2023, respectively, when compared to the same periods in the prior year, we expect to continue to incur a certain level of incremental expenses in future quarters. Incremental expenses include, but may not be limited to, incentive payments to our front-line and field staff, temporary employee housing expenses and other travel related reimbursements, additional paid time off, off-cycle wage increases in certain markets to remain competitive, and registry nursing expenses. These incremental investments have enabled us to increase overall staffing levels, as described in the previous paragraph, contributing to the increase in total expenses per compensated man-day.</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continually monitor compensation levels very closely along with overall economic conditions and will adjust wage levels necessary to help ensure the long-term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60% and 58% of our total operating expenses during the nine months ended September 30, 2023 and 2022, respectively. As previously mentioned herein, recruiting and retaining staff has been particularly challenging for us and for the corrections and detention industry as a whole. An inability to attract and retain sufficient personnel could prevent us from caring for additional residential populations for government agencies in need of additional capacity due to an increase in inmate populations or an inability to adequately staff their facilities. An inability to attract and retain sufficient personnel in our existing facilities could also cause our government partners to assess liquidated damages, reduce our residential populations, or in extreme circumstances, cancel our contracts. We have also been subjected to staff vacancy deductions as a result of the labor shortages, which are reflected as reductions to other management revenue. Estimating vacancy deduction amounts can be complex and subject to management judgment and estimations. Some of our government partners have granted waivers for vacancy deductions in recognition of the unique and challenging labor market, while others have discretionarily adjusted such deductions based on our extraordinary costs, efforts and incentive programs implemented to attract and retain staff.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jc w:val="both"/>
        <w:spacing w:after="0" w:line="285" w:lineRule="auto"/>
        <w:rPr>
          <w:sz w:val="20"/>
          <w:szCs w:val="20"/>
          <w:color w:val="auto"/>
        </w:rPr>
      </w:pPr>
      <w:r>
        <w:rPr>
          <w:rFonts w:ascii="Arial" w:cs="Arial" w:eastAsia="Arial" w:hAnsi="Arial"/>
          <w:sz w:val="16"/>
          <w:szCs w:val="16"/>
          <w:color w:val="auto"/>
        </w:rPr>
        <w:t>Variable expenses per compensated man-day decreased to $21.30 during the three months ended September 30, 2023, from $22.18 during the same period in the prior year, or 4.0%, and increased to $21.54 during the nine months ended September 30, 2023 from $21.47 during the same period in the prior year, or 0.3%. The decrease in variable expenses per compensated man-day during the three-month period was primarily a result of the decrease in registry nursing expense and, to a lesser degree, recruiting expenses, as further described hereinafter. In addition to a high inflation rate applicable to all of our variable expenses, the increase in variable expenses per compensated man-day during the nine-month period also resulted from increases in recruiting expenses, as well as travel expenses as we supported our staff who are temporarily deployed across the Company to help address the labor shortages we are experiencing in certain regions, most notably at our La Palma facility in Arizona. While recruiting expenses began to stabilize during the three-month period ended September 30, 2023, decreasing $0.5 million, or $0.10 per compensated man-day when compared with the same period in 2022, recruiting expenses increased $3.2 million, or $0.25 per compensated man-day, during the nine-month period ended September 30, 2023 when compared with the same period in 2022. Travel expenses increased $0.3 million, or $0.06 per compensated man-day during the three-month period, and increased $2.7 million, or $0.23 per compensated man-day, during the nine-month period ended September 30, 2023 when compared with the same periods in 2022. While the shortage of nursing staff across the country continues to be challenging, we experienced a decrease in registry nursing expenses of $5.6 million, or $1.18 per compensated man-day, and $16.2 million, or $1.14 per compensated man-day, during the three- and nine-month periods ended September 30, 2023, respectively, when compared with the same periods in 2022. As previously mentioned, we have begun to see improvement in our recruiting and retention of facility staff, including nursing staff, as we have made investments in higher wages and increased our use of part-time positions, which helped us achieve higher staffing levels. The hiring environment for these positions has also improved.</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expenses incurred by CoreCivic Properties in connection with facilities we lease to third-party operators decreased $0.8 million, or 21.4%, and $0.8 million, or 7.7%, during the three and nine months ended September 30, 2023 when compared with the same periods in 2022. The reduction was primarily attributable to a decrease in utilities expense at our California City Correctional Center due to a reduction in inmate populations.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Management Contracts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facility management contracts to provide bed capacity and management services to governmental entities in our CoreCivic Safety and CoreCivic Community segments for terms typically ranging from three to five years, with additional renewal periods at the option of the contracting governmental agency. Accordingly, a substantial portion of our facility management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 Further, our government partners can generally terminate our management contracts for non-appropriation of funds or for convenience.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on January 26, 2021, President Biden issued the Private Prison EO. The Private Prison EO directs the Attorney General to not renew DOJ contracts with privately operated criminal detention facilities. The USMS, which is generally responsible for detainees who are awaiting trial, is an agency of the DOJ that utilizes our facilities and services. Another agency of the DOJ, the BOP, houses inmates who have been convicted, has experienced a steady decline in inmate populations over the last decade, a trend that was accelerated by the COVID-19 pandemic. Our remaining prison contract with the BOP at the 1,978-bed McRae Correctional Facility expired on November 30, 2022 and was not renewed. This contract accounted for 2% ($37.8 million) of our total revenue for the twelve months ended December 31, 2022. We completed the sale of the McRae facility in August 2022 to the Georgia Building Authority, and entered into an agreement to lease the facility through November 2022 to allow us to fulfill our obligations to the BOP. ICE, another federal agency that utilizes our facilities and services, is not covered by the Private Prison EO, as ICE is an agency of the Department of Homeland Security, or DHS, not the DOJ. For the nine months ended September 30, 2023, USMS and ICE accounted for 21% ($298.6 million) and 29% ($412.0 million), respectively, of our total revenue. For the year ended December 31, 2022, USMS and ICE accounted for 22% ($403.9 million) and 29% ($527.3 million), respectively, of our total revenue.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Unlike the BOP, the USMS does not own detention capacity and relies on the private sector, along with various government agencies, for its detainee population. We currently have two detention facilities that have direct contracts with the USMS. One of the contracts was renewed in September 2023, and now expires in September 2028. The second direct contract expires in September 2025. It is too early to predict the outcome of the expiration of the contract scheduled to expire in September 2025, and future developments could occur prior to the scheduled expiration date.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6, 2022, we received notice from the California Department of Corrections and Rehabilitation, or CDCR, of its intent to terminate the lease agreement for our 2,560-bed California City Correctional Center by March 31, 2024, due to the state's declining inmate population. As part of its annual budget process for the fiscal year ending June 30, 2024, the California legislature approved funding for the lease through March 31, 2024. We have engaged with the state of California regarding the continued utilization of our California City facility by the CDCR. However, we can provide no assurance that we will be successful in reaching an agreement for the utilization of the facility beyond March 31, 2024. We are also marketing the facility to other potential customers. Rental revenue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spacing w:after="0" w:line="311" w:lineRule="auto"/>
        <w:rPr>
          <w:sz w:val="20"/>
          <w:szCs w:val="20"/>
          <w:color w:val="auto"/>
        </w:rPr>
      </w:pPr>
      <w:r>
        <w:rPr>
          <w:rFonts w:ascii="Arial" w:cs="Arial" w:eastAsia="Arial" w:hAnsi="Arial"/>
          <w:sz w:val="16"/>
          <w:szCs w:val="16"/>
          <w:color w:val="auto"/>
        </w:rPr>
        <w:t>generated from the CDCR at the California City facility was $7.8 million and $23.6 million for the three and nine months ended September 30, 2023, respectively, and was $34.0 million for the twelve months ended December 31, 2022. Facility net operating income at the facility was $6.3 million and $19.0 million for the three and nine months ended September 30, 2023, respectively, and $27.9 million for the twelve months ended December 31, 2022.</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information available as of the date of this Quarterly Report, other than the previously mentioned lease agreement with the CDCR for our California City facility, we believe we will renew all other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that we will continue to achieve high renewal rates in the future.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CoreCivic Safety</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CoreCivic Safety includes the operating results of the correctional and detention facilities that we operated during each period. Total revenue generated by CoreCivic Safety increased $20.1 million, or 4.8%, from $423.2 million during the three months ended September 30, 2022 to $443.3 million during the three months ended September 30, 2023, and increased $28.9 million, or 2.3%, from $1,253.8 million during the nine months ended September 30, 2022 to $1,282.7 million during the nine months ended September 30, 2023. CoreCivic Safety's facility net operating income increased $11.4 million, or 14.1%, from $81.0 million during the three months ended September 30, 2022 to $92.4 million during the three months ended September 30, 2023, and increased $1.3 million or 0.5% from $266.3 million during the nine months ended September 30, 2022 to $267.6 million during the nine months ended September 30, 2023. During the three and nine months ended September 30, 2023, CoreCivic Safety generated 85.2% and 84.2%, respectively, of our total segment net operating income, compared with 82.5% and 83.5%, respectively, during the three and nine months ended September 30, 2022.</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w w:val="96"/>
              </w:rPr>
              <w:t>For the Three Months Ended</w:t>
            </w:r>
          </w:p>
        </w:tc>
        <w:tc>
          <w:tcPr>
            <w:tcW w:w="160" w:type="dxa"/>
            <w:vAlign w:val="bottom"/>
          </w:tcPr>
          <w:p>
            <w:pPr>
              <w:spacing w:after="0"/>
              <w:rPr>
                <w:sz w:val="14"/>
                <w:szCs w:val="1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CoreCivic Safety Facilities:</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r>
              <w:rPr>
                <w:rFonts w:ascii="Arial" w:cs="Arial" w:eastAsia="Arial" w:hAnsi="Arial"/>
                <w:sz w:val="18"/>
                <w:szCs w:val="18"/>
                <w:color w:val="auto"/>
              </w:rPr>
              <w:t>Revenue per compensated man-day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99.96</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94.73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99.07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per compensated man-day:</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Arial" w:cs="Arial" w:eastAsia="Arial" w:hAnsi="Arial"/>
                <w:sz w:val="18"/>
                <w:szCs w:val="18"/>
                <w:color w:val="auto"/>
              </w:rPr>
              <w:t>Fixed expense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57.26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56.31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Variable expense</w:t>
            </w: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21.87</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8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per compensated man-day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20.83</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20.8 </w:t>
            </w:r>
            <w:r>
              <w:rPr>
                <w:rFonts w:ascii="Arial" w:cs="Arial" w:eastAsia="Arial" w:hAnsi="Arial"/>
                <w:sz w:val="18"/>
                <w:szCs w:val="18"/>
                <w:b w:val="1"/>
                <w:bCs w:val="1"/>
                <w:color w:val="auto"/>
                <w:highlight w:val="white"/>
              </w:rPr>
              <w:t>%</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20.9 %</w:t>
            </w: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Average compensated occupancy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Average available beds</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66,399</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66,399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compensated population</w:t>
            </w:r>
          </w:p>
        </w:tc>
        <w:tc>
          <w:tcPr>
            <w:tcW w:w="1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48,205</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48,556</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47,427</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48,615</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-1070610</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-1070610</wp:posOffset>
            </wp:positionV>
            <wp:extent cx="6032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5969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-1070610</wp:posOffset>
            </wp:positionV>
            <wp:extent cx="6032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-744855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-744855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-744855</wp:posOffset>
            </wp:positionV>
            <wp:extent cx="6412230" cy="5657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12230" cy="56578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margins in the CoreCivic Safety segment have been negatively impacted by increased operating expenses per man-day, which was driven primarily by incremental staffing levels, higher wage rates and other related expenses. As previously described herein, we have experienced labor shortages and wage pressures in many markets across the country, and have provided inflationary wage increases to remain competitive, including increases to most of our facility staff during July of the last three years since the COVID-19 pandemic started. Further, we have incurred incremental expenses to help ensure sufficient staffing levels under unique and challenging working conditions, including but not limited to, shift incentive bonuses, recruiting and retention bonuses, temporary employee housing expenses and travel reimbursements, off-cycle wage increases, as well as relocation incentives. While, as previously described herein, we were able to reduce the use of these temporary incentives during the three and nine months ended September 30, 2023 when compared to the same periods in 2022, we expect to continue to incur a certain level of additional incremental expenses in future quarters as we expect to continue to invest in staffing resources. We believe the significant investments we have made in our workforce have positioned us well to meet the emerging needs of our government partners, as certain government agencies are experiencing an increase in the need for correctional and detention capacity in a post-pandemic environment, including as the result of the expiration of Title 42. The negative impact on operating margins resulting from these factors was more than offset by a 5.5% increase in average revenue per compensated man-day during the three months ended September 30, 2023 when compared to the prior year period. The negative impact on operating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margins resulting from these factors was partially offset by a 4.9% increase in average revenue per compensated man-day during the nine months ended September 30, 2023 when compared to the prior year period. The increase in average revenue per compensated man-day resulted from the effect of per diem increases at several of our facilities, as we have received per diem increases resulting from additional government appropriations funding to address increases in the wages of our employees.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December 2021, we were awarded a new management contract from the state of Arizona for up to 2,706 inmates at our 3,060-bed La Palma Correctional Center in Arizona. The State closed an outdated public-sector prison and transferred the inmate populations from this prison and multiple other public-sector prisons to our La Palma facility. The transfer began in April 2022 and during the first nine months of 2023, the average daily population was 2,417 inmates from the state of Arizona at our La Palma facility. During the first quarter of 2022, before the new contract commenced, the La Palma facility supported the mission of ICE by caring for an average daily population of 1,678 detainees. The new award expands and strengthens our relationship with the state of Arizona and we believe will maximize the utilization of our La Palma facility, while providing ICE with the ability to continue its mission under existing contracts at alternative facilities we own and operate in the same geographic region. The transition of populations from ICE detainees to inmates from the state of Arizona has resulted in the disruption of earnings and cash flows since the first quarter of 2022, and we expect this disruption will continue until we stabilize the operating expense structure at this facility by reducing incremental expenses associated with temporary staffing. Facility net operating loss incurred by the La Palma facility was consistent during the three months ended September 30, 2023 when compared to the same period in 2022. Facility net operating income decreased by $7.9 million during the nine months ended September 30, 2023, contributing to the slight decline in operating margin in the CoreCivic Safety segment when compared with the comparable nine-month period in 2022.</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described herein, we had one prison contract with the BOP at our 1,978-bed McRae Correctional Facility, which expired in November 2022 and was not renewed. During 2022, this facility generated facility net operating income of $6.4 million, including $1.6 million and $6.3 million during the three and nine months ended September 30, 2022, respectively. We entered into a Purchase and Sale Agreement with the Georgia Building Authority to purchase the McRae facility in July 2022 and completed the sale in August 2022. We leased the McRae Correctional Facility from the Georgia Building Authority through November 30, 2022 to allow us to fulfill our obligations to the BOP. We generated net sales proceeds of $129.7 million on the sale of the McRae facility, resulting in a net gain on the sale of $77.5 million, which we recognized in the third quarter of 2022.</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14, 2023, we announced that we entered into a lease agreement with the ODC for our 1,670-bed Allen Gamble Correctional Center (formerly known as the Davis Correctional Facility), which, until October 1, 2023, we reported in our CoreCivic Safety segment and operated under a management contract with the ODC. The management contract was scheduled to expire on June 30, 2023. However, effective July 1, 2023, we entered into a 90-day contract extension for the management contract, after which time, operations of the Allen Gamble facility will transfer from us to the ODC in accordance with the new lease agreement. The new lease agreement includes a base term commencing October 1, 2023, with a scheduled expiration date of June 30, 2029, and unlimited two-year renewal options. Annual lease revenue to be generated from the ODC at the Allen Gamble facility under the new lease agreement will be $7.5 million during the base term. The annual rent during each renewal option term shall be mutually agreed upon by the parties. Management revenue generated from the ODC at the Allen Gamble facility was $8.6 million and $23.0 million for the three and nine months ended September 30, 2023, respectively, and $29.1 million for the twelve months ended December 31, 2022. The Allen Gamble facility generated facility net operating income of $0.3 million for the three months ended September 30, 2023. The Allen Gamble facility incurred a net operating loss of $1.2 million for the nine months ended September 30, 2023 and $0.9 million for the twelve months ended December 31, 2022. Upon commencement of the new lease agreement, the Allen Gamble facility will be reported in our CoreCivic Properties segment.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25, 2023, we announced that we signed a new management contract with Hinds County, Mississippi for the housing of up to 250 adult male pre-trial detainees at our 2,672-bed Tallahatchie County Correctional Facility in Tutwiler, Mississippi. The initial contract term is for two years, which may be extended for an additional year upon mutual agreement. We began receiving inmates from Hinds County during October 2023, which is expected to result in an increase in facility net operating income at the Tallahatchie facility.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11, 2023, we were notified by the state of Montana of its intent to award us a new management contract for up to 120 inmates at our 1,896-bed Saguaro Correctional Facility in Eloy, Arizona. We expect to execute the contract in the short-term and begin accepting residents from Montana later in the fourth quarter of 2023. We currently care for residents from Hawaii and the state of Idaho at the Saguaro facility. We also manage the fully occupied company-owned Crossroads Correctional Center in Shelby, Montana for the state of Montana pursuant to a separate management contract.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CoreCivic Community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CoreCivic Community includes the operating results of the residential reentry centers that we operated during each period, along with the operating results of our electronic monitoring and case management services. Total revenue generated by CoreCivic Community increased $3.4 million, or 12.9%, from $26.4 million during the three months ended September 30, 2022 to $29.8 million during the three months ended September 30, 2023, and increased $8.3 million, or 10.9%, from $76.3 million during the nine months ended September 30, 2022 to $84.6 million during the nine months ended September 30, 2023. CoreCivic Community's facility net operating income increased $2.2 million, or 49.7%, from $4.4 million during the three months ended September 30, 2022 to $6.5 million during the three months ended September 30, 2023, and increased $2.9 million, or 23.1%, from $12.7 million during the nine months ended September 30, 2022 to $15.7 million during the nine months ended September 30, 2023. During the three and nine months ended September 30, 2023, CoreCivic Community generated 6.0% and 4.9%, respectively, of our total segment net operating income, compared with 4.4% and 4.0%, respectively, during the three and nine months ended September 30, 2022.</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displays the revenue and expenses per compensated man-day for CoreCivic Community's residential reentry facilities placed into service that we own and manage, but exclusive of the electronic monitoring and case management services given that revenue is not generated on a per compensated man-day basis for these services: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w w:val="96"/>
              </w:rPr>
              <w:t>For the Three Months Ended</w:t>
            </w:r>
          </w:p>
        </w:tc>
        <w:tc>
          <w:tcPr>
            <w:tcW w:w="160" w:type="dxa"/>
            <w:vAlign w:val="bottom"/>
          </w:tcPr>
          <w:p>
            <w:pPr>
              <w:spacing w:after="0"/>
              <w:rPr>
                <w:sz w:val="14"/>
                <w:szCs w:val="1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CoreCivic Community Facilities:</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r>
              <w:rPr>
                <w:rFonts w:ascii="Arial" w:cs="Arial" w:eastAsia="Arial" w:hAnsi="Arial"/>
                <w:sz w:val="18"/>
                <w:szCs w:val="18"/>
                <w:color w:val="auto"/>
              </w:rPr>
              <w:t>Revenue per compensated man-day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77.21</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66.62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72.00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per compensated man-day:</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Arial" w:cs="Arial" w:eastAsia="Arial" w:hAnsi="Arial"/>
                <w:sz w:val="18"/>
                <w:szCs w:val="18"/>
                <w:color w:val="auto"/>
              </w:rPr>
              <w:t>Fixed expense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41.71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Variable expense</w:t>
            </w: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11.93</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per compensated man-day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23.57</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17.85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color w:val="auto"/>
                <w:highlight w:val="white"/>
              </w:rPr>
              <w:t>%</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24.8 %</w:t>
            </w: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Average compensated occupancy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Average available beds</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compensated population</w:t>
            </w:r>
          </w:p>
        </w:tc>
        <w:tc>
          <w:tcPr>
            <w:tcW w:w="1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2,933</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2,881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-1071245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-1071245</wp:posOffset>
            </wp:positionV>
            <wp:extent cx="6032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5969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-1071245</wp:posOffset>
            </wp:positionV>
            <wp:extent cx="6032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-744855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-744855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-744855</wp:posOffset>
            </wp:positionV>
            <wp:extent cx="6412230" cy="5657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2230" cy="56578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Similar to our CoreCivic Safety segment, operating margins in our CoreCivic Community segment were negatively impacted during 2023 by increased operating expenses per man-day, which were driven primarily by higher staffing levels and wage rates. However, the effect of the increased operating expenses was more than offset during the three and nine months ended September 30, 2023 when compared to the same periods in the prior year by an increase in average revenue per compensated man-day during 2023. Average revenue per compensated man-day increased primarily as a result of per diem increases and increased occupancy under certain contracts. However, similar to our CoreCivic Safety segment, occupancy in our CoreCivic Community facilities has not yet returned to pre-pandemic occupancy levels due to a variety of factors being evaluated by our government partners, including appropriated funding for non-secure residential contracts. Because facilities in our Community segment are typically smaller in size than those in our Safety segment, occupancy changes have a larger impact on operating margin per compensated man-day. Accordingly, modest changes in occupancy can have a notable impact in our Community segment.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contributing to the improved average compensated occupancy in the CoreCivic Community segment during the nine months ended September 30, 2023 were the sales of our 120-bed Fox Facility and Training Center and our 90-bed Ulster Facility in the first quarter of 2022. During the fourth quarter of 2021, we entered into a Purchase and Sale Agreement for our Fox facility, which was sold in February 2022. In addition, during the fourth quarter of 2021, we entered into a separate Purchase and Sale Agreement for our idled Ulster facility, which was sold in March 2022. The two facilities were located in Denver, Colorado and had been under-utilized by Denver County. Also contributing to the improved average compensated occupancy in the CoreCivic Community segment during both the three- and nine-month periods of 2023 was the sale of an idled residential reentry center in Oklahoma City, Oklahoma in December 2022.</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CoreCivic Properties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CoreCivic Properties includes the operating results of the properties we leased to government agencies during each period. Total revenue generated by CoreCivic Properties decreased $4.1 million, or 28.2%, from $14.6 million during the three months ended September 30, 2022 to $10.5 million during the three months ended September 30, 2023, and decreased $5.8 million, or 13.3%, from $43.7 million during the nine months ended September 30, 2022 to $37.9 million during the nine months ended September 30, 2023. CoreCivic Properties' facility net operating income decreased $3.3 million, or 30.7%, from $10.7 million during the three months ended September 30, 2022 to $7.4 million during the three months ended September 30, 2023, and decreased $5.0 million, or 15.1%, from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72" w:lineRule="auto"/>
        <w:rPr>
          <w:sz w:val="20"/>
          <w:szCs w:val="20"/>
          <w:color w:val="auto"/>
        </w:rPr>
      </w:pPr>
      <w:r>
        <w:rPr>
          <w:rFonts w:ascii="Arial" w:cs="Arial" w:eastAsia="Arial" w:hAnsi="Arial"/>
          <w:sz w:val="17"/>
          <w:szCs w:val="17"/>
          <w:color w:val="auto"/>
        </w:rPr>
        <w:t>$33.1 million during the nine months ended September 30, 2022 to $28.1 million during the nine months ended September 30, 2023. CoreCivic Properties generated operating margins of 71% and 74% for the three and nine months ended September 30, 2023, respectively, compared with 73% and 76% for the three and nine months ended September 30, 2022, respectively. The decreases in total revenue and net operating income were primarily the result of the termination of the lease at our North Fork Correctional Facility effective June 30, 2023, the sale of two actively leased properties in the second quarter of 2023, and the sale of two actively leased properties in the third quarter of 2022, all as further described hereinafter. During the three and nine months ended September 30, 2023, CoreCivic Properties generated 8.8% and 10.9%, respectively, of our total segment net operating income, compared with 13.1% and 12.5%, respectively, during the three and nine months ended September 30, 2022.</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July 2022, we sold the Stockton Female Community Corrections Facility and the Long Beach Community Corrections Center, both located in California, generating net sales proceeds of $10.9 million. During our period of ownership in 2022, these two properties generated facility net operating income of $0.6 million.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third quarter of 2022, we began marketing for sale our Roth Hall Residential Reentry Center and the Walker Hall Residential Reentry Center, both located in Philadelphia, Pennsylvania. A purchase and sale agreement for these two Philadelphia properties was executed in March 2023 and the properties were sold on May 2, 2023, generating net sales proceeds of $5.8 million, resulting in a loss on sale of $25,000, which was reported in the second quarter of 2023. During the twelve months ended December 31, 2022, these two properties generated facility net operating income of $0.2 million. During our period of ownership in 2023, these two properties generated facility net operating income of $0.3 million.</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6, 2022, we received notice from the CDCR, of its intent to terminate the lease agreement for our 2,560-bed California City Correctional Center by March 31, 2024, due to the state's declining inmate population. As part of its annual budget process for the fiscal year ending June 30, 2024, the California legislature approved funding for the lease through March 31, 2024. We have engaged with the state of California regarding the continued utilization of our California City facility by the CDCR. However, we can provide no assurance that we will be successful in reaching an agreement for the utilization of the facility beyond March 31, 2024. We are also marketing the facility to other potential customers. Rental revenue generated from the CDCR at the California City facility was $7.8 million and $23.6 million for the three and nine months ended September 30, 2023, respectively, and was $34.0 million for the twelve months ended December 31, 2022. Facility net operating income at this facility was $6.3 million and $19.0 million for the three and nine months ended September 30, 2023, respectively, and was $27.9 million for the twelve months ended December 31, 2022.</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25, 2023, we announced that we received notice from the ODC of its intent to terminate the lease agreement for our 2,400-bed North Fork Correctional Facility upon the lease expiration on June 30, 2023. Rental revenue generated from the ODC while the lease was active at the North Fork facility was $6.1 million for the six months ended June 30, 2023 and $12.2 million for the twelve months ended December 31, 2022. Facility net operating income at this facility was $4.7 million for the six months ended June 30, 2023 and $9.3 million for the twelve months ended December 31, 2022. Upon expiration of the lease, the North Fork facility was idled in the third quarter of 2023. We are marketing the facility to potential customers. As previously described herein, beginning in the fourth quarter of 2023, a new lease agreement with the ODC for the Allen Gamble Correctional Center (formerly known as the Davis Correctional Facility) commenced, at which time the financial results will be reported in the CoreCivic Properties segment. Annual lease revenue to be generated from the ODC at the Allen Gamble facility under the new lease agreement of $7.5 million, at a margin expected to be consistent with the average operating margin we report in this segment, will partially offset the reduction of lease revenue and net operating income that was previously generated under the lease agreement for the North Fork facility prior to its termination.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2023 and 2022, general and administrative expenses totaled $33.9 million and $30.2 million, respectively, while general and administrative expenses totaled $99.2 million and $92.8 million during the nine months ended September 30, 2023 and 2022, respectively. General and administrative expenses consist primarily of corporate management salaries and benefits, professional fees, and other administrative expenses. General and administrative expenses increased from the prior year periods primarily as a result of an increase in corporate management salaries and benefits, which was largely related to higher incentive-based compensation.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2023 and 2022, depreciation and amortization expense totaled $32.5 million and $31.9 million, respectively, while depreciation and amortization expense totaled $95.2 million and $96.2 million during the nine months ended September 30, 2023 and 2022, respectively. Depreciation and amortization expense decreased in the nine-month period primarily as a result of the previously described sale of the McRae Correctional Facility in the third quarter of 2022. This reduction was partially offset by depreciation on renovations completed at several facilities during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2023, we recognized a $2.7 million contract acquisition asset impairment associated with the pursuit of new contracts with a selected technology vendor, as the agreement with the vendor terminated during the third quarter of 2023.</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agreement to sell the Oklahoma City Transitional Center in our Community segment, which was completed in the fourth quarter of 2022, we recognized an impairment charge of $3.5 million during the third quarter of 2022 associated with this facility, based on its estimated fair value less costs to sell.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 and expenses associated with debt repayments and refinancing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Interest expense is reported net of interest income and capitalized interest for the three and nine months ended September 30, 2023 and 2022. Gross interest expense, net of capitalized interest, was $20.7 million and $23.5 million for the three months ended September 30, 2023 and 2022, respectively, and was $64.0 million and $73.1 million for the nine months ended September 30, 2023 and 2022, respectively. Gross interest expense was based on outstanding borrowings under our revolving credit facility, our outstanding term loan, our Term Loan B (which we repaid in full in May 2022, as further described hereinafter), our outstanding senior unsecured notes, and our outstanding non-recourse mortgage note, as well as the amortization of loan costs and unused facility fees. Interest expense during 2023 decreased during the nine-month period primarily as a result of the $124.1 million repayment of the remaining balance of the Term Loan B during May 2022 and, during the three- and nine-month periods, as a result of the redemption of the outstanding balance of the 4.625% senior unsecured notes, or the 4.625% Senior Notes, on February 1, 2023, both as further described hereinafter. In addition, the repurchase in the open market of $80.8 million principal amount of senior unsecured notes during 2022 contributed to the decrease in interest expense. The decrease in interest expense was partially offset by an increase in interest rates associated with our variable rate debt, as further described hereinafter. During the third quarter of 2022, we incurred charges of $0.8 million for the write-off of a pro-rata portion of the loan costs associated with open market purchases of the 4.625% Senior Notes and the 8.25% Senior Notes, net of discounts to the principal balance of notes purchased.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further described hereinafter, on October 11, 2023, we entered into the New Bank Credit Facility that, among other things, increased the available borrowings under the Revolving Credit Facility from $250.0 million to $275.0 million and increased the size of the Term Loan A from an initial balance of $100.0 million to $125.0 million, extended the maturity date to October 11, 2028 and made conforming changes to replace the BSBY index with the Secured Overnight Financing Rate, or SOFR. At the closing of the New Bank Credit Facility, we received approximately $33.8 million of net borrowings before transaction costs as a result of the increased size of the Term Loan A, and our Revolving Credit Facility remains undrawn, except for $17.4 million in outstanding letters of credit. During the three and nine months ended September 30, 2023, we incurred charges of $0.1 million and $0.3 million, respectively, primarily associated with the Fourth Amended and Restated Credit Agreement and for the write-off of loan costs associated with the purchase of $21.0 million of our 8.25% Senior Notes through open market purchases.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12, 2022, we entered into a Third Amended and Restated Credit Agreement, or the Bank Credit Facility, in an aggregate principal amount of $350.0 million, consisting of a $100.0 million term loan, or the Term Loan A, and a revolving credit facility with a borrowing capacity of $250.0 million, or the Revolving Credit Facility. During the second quarter of 2022, we incurred charges of $0.8 million for the write-off of a portion of the pre-existing loan costs associated with the credit facility that was replaced by the Bank Credit Facility, reported as expenses associated with debt repayments and refinancing transactions.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19, 2022, we voluntarily repaid in full the debt outstanding under our Term Loan B, amounting to $124.1 million, and satisfied all of our outstanding obligations under the Term Loan B. We did not incur any prepayment penalties in connection with the repayment of the Term Loan B, which had a scheduled maturity of December 18, 2024. The prepayment was made in full with cash on hand. The Term Loan B bore interest at LIBOR plus 4.50%, with a 1.00% LIBOR floor (or, at our option, a base rate plus 3.50%). During the second quarter of 2022, we incurred charges of $6.0 million associated with the write-off of the remaining unamortized debt issuance costs and original issue discount resulting from the prepayment of the Term Loan B, reported as expenses associated with debt repayments and refinancing transactions.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22, 2022, we delivered an irrevocable notice to the holders of the 4.625% Senior Notes that we elected to redeem in full the 4.625% Senior Notes that remained outstanding on February 1, 2023. The 4.625% Senior Notes were redeemed on February 1, 2023 at a redemption price equal to 100% of the principal amount of the outstanding 4.625% Senior Notes, which amounted to $153.8 million, plus accrued and unpaid interest to, but not including, the redemption date. We used a combination of cash on hand and available capacity under our Revolving Credit Facility to fund the redemption. Following the redemption of the 4.625% Senior Notes, we have no debt maturities until 2026.</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total leverage ratio, interest on loans under our Bank Credit Facility through September 30, 2023 have been at a base rate plus a margin of 2.25% or at the Bloomberg Short-Term Bank Yield Index, or BSBY, rate plus a margin of 3.25%, and a commitment fee equal to 0.45% of the unfunded balance of the Revolving Credit Facility. In an effort to mitigate inflation, the Federal Reserve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increased interest rates throughout 2022 and has continued to increase interest rates in 2023. Although we continue to be exposed to rising interest rates, we have reduced our exposure to rising interest rates by paying down our variable rate debt. The only remaining variable rate debt we have is associated with our Term Loan A, which had an outstanding balance of $91.3 million as of September 30, 2023, and our Revolving Credit Facility which, as of September 30, 2023, had no borrowings outstanding.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interest income was $2.8 million and $2.7 million for the three months ended September 30, 2023 and 2022, respectively, and was $8.7 million and $7.7 million, for the nine months ended September 30, 2023 and 2022, respectively. Gross interest income is earned on notes receivable, investments, cash and cash equivalents, and restricted cash. Interest income also includes interest income associated with the 20-year finance receivable associated with the Lansing Correctional Facility lease to the Kansas Department of Corrections, which commenced in January 2020, and amounted to $2.1 million and $2.2 million for the three months ended September 30, 2023 and 2022, respectively, and $6.4 million and $6.6 million for the nine months ended September 30, 2023 and 2022, respectively. Total capitalized interest was $0.3 million and $0.8 million during the three and nine months ended September 30, 2022, respectively.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real estate assets,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2023, we sold a vacant parcel of land generating net sales proceeds of $0.5 million and resulting in a gain on sale of $0.4 million. The gain was reported in the third quarter of 2023.</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Gain on sale of real estate assets, net during the nine months ended September 30, 2022, primarily includes the gains on the sales of the McRae Correctional Facility in our Safety segment and the Stockton Female Community Corrections Facility and the Long Beach Community Corrections Center in our Properties segment, all of which were recorded in the third quarter of 2022, as previously described herein. Gain on sale of real estate assets, net during the nine-month period also includes gains related to the sales of certain other real estate properties, including two vacant land parcels.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recorded income tax expense of $5.6 million and $24.2 million for the three months ended September 30, 2023 and 2022, respectively, and $18.0 million and $34.9 million for the nine months ended September 30, 2023 and 2022, respectively. Income tax expense for the nine months ended September 30, 2023 included an increase to income tax expense of $0.9 million for the revaluation of net deferred tax liabilities associated with a change in our corporate tax structure. During the first quarter of 2023, we completed a reorganization of our tax structure to simplify and more closely align operations and assets of certain of our subsidiaries and to reduce administrative efforts following our conversion from a real estate investment trust to a taxable C-corporation. Income tax expense related to operations for the three and nine months ended September 30, 2023 was net of an income tax benefit of $0.7 million and $0.8 million, respectively, associated with asset impairments and expenses associated with debt repayments and refinancing transactions, net of the gain on sale of real estate assets. Income tax expense related to operations for the three and nine months ended September 30, 2022 included an income tax expense of $21.0 million and $19.5 million, respectively, associated with the gain on sale of real estate assets, net of an income tax benefit associated with asset impairments and expenses associated with debt repayments and refinancing transactions. Income tax expense for the nine months ended September 30, 2022 was also net of an income tax benefit associated with shareholder litigation expenses.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could fluctuate in the future based on changes in estimates of taxable income, the implementation of additional tax planning strategies, changes in federal or state tax rates or laws affecting tax credits available to us, changes in other tax laws,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principal capital requirements are for working capital, capital expenditures, and debt service payments, as well as outstanding commitments and contingencies, as further discussed in the notes to our financial statements. Effective January 1, 2021, we became subject to federal and state income taxes on our taxable income at applicable tax rates, and are no longer entitled to a tax deduction for dividends paid, which were available when we elected REIT status. However, we believe this conversion in corporate tax structure improves our overall credit profile and will lower our overall cost of capital, as we are able to allocate our free cash flow toward the repayment of debt, which may include the purchase of our outstanding debt in open market transactions, privately negotiated transactions or otherwise. Any such debt repurchases will depend upon prevailing market conditions, our liquidity requirements, contractual requirements, applicable securities laws requirements, and other factors. From January 1, 2021 through September 30, 2023, we have repaid $718.9 million of debt, net of the change in cash. Following our first priority of utilizing free cash flow to reduce debt, we expect to allocate a substantial portion of our free cash flow to returning capital to our shareholders, which could include share repurchases and future dividends. Any future dividend is subject to the Board of Directors', or BODs', determinations as to the amount of distributions and the timing thereof, as well as limitations under the Company's debt covenants. We were not able to implement a meaningful share repurchase program under the REIT structure without increasing our debt because a substantial portion of our free cash flow was required to satisfy the distribution requirements under the REIT structure. On May 2, 2022, the BOD approved a share repurchase program to purchase up to $150.0 million of our common stock. On August 2, 2022, the BOD increased the authorization to repurchase under the share repurchase program by up to an additional $75.0 million of our common stock, which resulted in a total aggregate authorized amount to repurchase up to $225.0 million of our common stock. Repurchases of our outstanding common stock will be made in accordance with applicable securities laws and may be made at our discretion based on parameters set by our BOD from time to time in the open market, through privately negotiated transactions, or otherwise. The share repurchase program has no time limit and does not obligate us to purchase any particular amount of our common stock. The authorization for the share repurchase program may be terminated, suspended, increased or decreased by the BOD in its discretion at any time. Through December 31, 2022, we completed the repurchase of 6.6 million shares of our common stock at a total cost of $74.5 million, using cash on hand and cash provided by operations. During the first nine months of 2023, we completed the repurchase of an additional 2.6 million shares of our common stock at a total cost of $25.6 million. No shares were repurchased during the third quarter of 2023.</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also pursue attractive growth opportunities, including new development opportunities in our Properties segment, to meet the need to modernize outdated correctional infrastructure across the country, and explore potential opportunities to expand the scope of non-residential correctional alternatives we provide in our Community segment.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the extensively aged criminal justice infrastructure in the U.S. today, we believe we can bring real estate and financing solutions to government agencies as we did in connection with the construction of the Lansing Correctional Facility that commenced operations in January 2020. We financed the construction of the Lansing Correctional Facility 100% with project specific financing, requiring no equity commitment from us. We believe we can also provide other real estate solutions to government agencies faced with extensively aged criminal justice infrastructure, including "turn-key" solutions similar to those we are providing to the state of Arizona in connection with the new contract that commenced during the second quarter of 2022 at our La Palma Correctional Center, as well as real estate only solutions to government agencies that need correctional capacity where they prefer to perform the operations, similar to our Allen Gamble Correctional Center (formerly known as the Davis Correctional Facility) in Oklahoma, as previously described herein. In addition, in August 2022, we completed the sale of the 1,978-bed McRae Correctional Facility to the Georgia Building Authority in order to update its aged and inefficient public sector correctional infrastructure. Most real estate only solutions would not require material capital expenditures if we have existing capacity. However, in the future we could incur capital expenditures to provide replacement capacity for government agencies that have extensively aged criminal justice infrastructure and are in need of new capacity.</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we had cash on hand of $103.7 million, and $232.6 million available under our Revolving Credit Facility. During the nine months ended September 30, 2023 and 2022, we generated $209.6 million and $118.2 million, respectively, in cash through operating activities. We currently expect to be able to meet our cash expenditure requirements for the next year and beyond utilizing cash on hand, cash flows from operations, and availability under our Revolving Credit Facility. As of September 30, 2023, we had no debt maturities until April 2026.</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which could include the deferral of payments to us during government shutdowns (including the potential impending November 17, 2023 deadline for Congress to enact a fiscal year 2024 appropriations bill or approve another continuing resolution), or the termination of contracts from our major customers could have an adverse effect on our cash flow and financial condition. We have not experienced any unusual delays in payments from our major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2023, we had $250.0 million principal amount of unsecured notes outstanding with a fixed stated interest rate of 4.75%, and $593.1 million principal amount of unsecured notes outstanding with a fixed stated interest rate of 8.25%, or the 8.25% Senior Notes, or collectively, the Senior Notes. In addition, we had $146.8 million outstanding under the Kansas Notes with a fixed stated interest rate of 4.43% and $91.3 million outstanding under our Term Loan A with a variable interest rate of 8.6%. We had $17.4 million of letters of credit outstanding under our Revolving Credit Facility as of September 30, 2023. There was no other amount outstanding under our Revolving Credit Facility as of September 30, 2023. As of September 30, 2023, our total weighted average effective interest rate was 7.5%, while our total weighted average maturity was 4.8 years, and we have no debt maturities until 2026. In the second quarter of 2023, we purchased $21.0 million of the 8.25% Senior Notes at a weighted average purchase price approximately equal to par through open market purchases, reducing the outstanding balance of the 8.25% Senior Notes to $593.1 million as of September 30, 2023. In the future, we could elect to use our free cash flow to purchase additional Senior Notes in open market transactions, privately negotiated transactions or otherwise. We could also use our effective shelf registration statement to issue additional debt securities when we determine that market conditions and the opportunity to utilize the proceeds therefrom are favorable.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mentioned, on October 11, 2023, we entered into a New Bank Credit Facility that, among other things, increased the available borrowings under the Revolving Credit Facility from $250.0 million to $275.0 million and increased the size of the Term Loan A from an initial balance of $100.0 million to $125.0 million, extended the maturity date to October 11, 2028 and made conforming changes to replace the BSBY index with SOFR. Our financial covenants were modified to remove the $100.0 million limit of netting unrestricted cash and cash equivalents when calculating the consolidated total leverage ratio and the consolidated secured leverage ratio. Further, the consolidated total leverage ratio resulting in a "springing lien" event was increased from 4.00 to 1.00 to 4.25 to 1.00. At the closing of the New Bank Credit Facility, we received approximately $33.8 million of net borrowings before transaction costs as a result of the increased size of the Term Loan A, and our Revolving Credit Facility remains undrawn, except for $17.4 million in outstanding letters of credit.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cash provided by operating activities for the nine months ended September 30, 2023 was $209.6 million, compared with $118.2 million for the same period in the prior year. Cash provided by operating activities represents the year-to-date net income plus depreciation and amortization, changes in various components of working capital, and various non-cash charges. The increase in cash provided by operating activities resulted primarily from positive fluctuations in working capital accounts relative to the prior year nine-month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cash flow used in investing activities was $39.2 million for the nine months ended September 30, 2023 and was primarily attributable to capital expenditures for facility development and expansions of $5.0 million and $39.3 million for facility maintenance and information technology capital expenditures, partially offset by $6.4 million in net proceeds from the sale of assets. Our net cash flow provided by investing activities was $101.9 million for the nine months ended September 30, 2022 and was primarily attributable to $156.2 million in net proceeds from the sale of assets, partially offset by capital expenditures for facility development and expansions of $17.2 million and $33.7 million for facility maintenance and information technology capital expenditures.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cash flow used in financing activities was $214.6 million for the nine months ended September 30, 2023 and was primarily attributable to debt repayments related to the $153.8 million redemption of the 4.625% Senior Notes and the $21.0 million purchase of the 8.25% Senior Notes in the second quarter of 2023. In addition, our net cash flow used in financing activities was attributable to $8.6 million of scheduled principal repayments under our Term Loan A and our non-recourse mortgage note. Our net cash flow used in financing activities also included $30.5 million for the share repurchase program, as well as the purchase and retirement of common stock that was issued in connection with equity-based compensation, and dividend payments on restricted stock units that became vested of $0.1 million.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cash flow used in financing activities was $331.6 million for the nine months ended September 30, 2022 and was primarily attributable to debt repayments, including $167.5 million related to our previous Term Loan A, $124.1 million related to our Term Loan B, and $40.6 million related to our 4.625% and 8.25% Senior Notes. In addition, our net cash flow used in financing activities was attributable to $12.7 million of scheduled principal repayments under our Term Loan A, Term Loan B, and our non-recourse mortgage note. Our net cash flow used in financing activities also included $79.1 million for the share repurchase program, as well as the purchase and retirement of common stock that was issued in connection with equity-based compensation, and dividend payments on restricted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stock units that became vested of $0.9 million. These payments were partially offset by the $100.0 million of proceeds from the issuance of the New Term Loan 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domestic subsidiaries of CoreCivic (as the parent corporation) that guarantee the Bank Credit Facility have provided full and unconditional guarantees of our Senior Notes. All of CoreCivic's subsidiaries guaranteeing the Senior Notes are 100% owned direct or indirect subsidiaries of CoreCivic, and the subsidiary guarantees are full and unconditional and are joint and several obligations of the guarantors.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neither CoreCivic nor any of its subsidiary guarantors had any material or significant restrictions on CoreCivic's ability to obtain funds from its subsidiaries by dividend or loan or to transfer assets from such subsidiaries.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indentures governing our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our 8.25% Senior Notes additionally limits our ability to incur indebtedness, make restricted payments and investments and prepay certain indebtedness.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summarized information for CoreCivic and the subsidiary guarantors, on a combined basis after elimination of (i) intercompany transactions and balances among CoreCivic and the subsidiary guarantors and (ii) equity in earnings from, and any investments in, any subsidiary that is a non-guarantor (in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September 30, 2023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31, 2022</w:t>
            </w:r>
          </w:p>
        </w:tc>
        <w:tc>
          <w:tcPr>
            <w:tcW w:w="100" w:type="dxa"/>
            <w:vAlign w:val="bottom"/>
          </w:tcPr>
          <w:p>
            <w:pPr>
              <w:spacing w:after="0"/>
              <w:rPr>
                <w:sz w:val="16"/>
                <w:szCs w:val="16"/>
                <w:color w:val="auto"/>
              </w:rPr>
            </w:pPr>
          </w:p>
        </w:tc>
      </w:tr>
      <w:tr>
        <w:trPr>
          <w:trHeight w:val="23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405,902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415,304</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140"/>
              <w:spacing w:after="0"/>
              <w:rPr>
                <w:sz w:val="20"/>
                <w:szCs w:val="20"/>
                <w:color w:val="auto"/>
              </w:rPr>
            </w:pPr>
            <w:r>
              <w:rPr>
                <w:rFonts w:ascii="Arial" w:cs="Arial" w:eastAsia="Arial" w:hAnsi="Arial"/>
                <w:sz w:val="18"/>
                <w:szCs w:val="18"/>
                <w:color w:val="auto"/>
              </w:rPr>
              <w:t>Real estate and related assets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2,331,896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2,384,279</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176,930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204,606</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2,508,826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2,588,885</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292,263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345,241</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40"/>
              <w:spacing w:after="0"/>
              <w:rPr>
                <w:sz w:val="20"/>
                <w:szCs w:val="20"/>
                <w:color w:val="auto"/>
              </w:rPr>
            </w:pPr>
            <w:r>
              <w:rPr>
                <w:rFonts w:ascii="Arial" w:cs="Arial" w:eastAsia="Arial" w:hAnsi="Arial"/>
                <w:sz w:val="18"/>
                <w:szCs w:val="18"/>
                <w:color w:val="auto"/>
              </w:rPr>
              <w:t>Long-term debt, net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916,744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942,147</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250,351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276,752</w:t>
            </w:r>
          </w:p>
        </w:tc>
        <w:tc>
          <w:tcPr>
            <w:tcW w:w="100" w:type="dxa"/>
            <w:vAlign w:val="bottom"/>
            <w:shd w:val="clear" w:color="auto" w:fill="CFF0FC"/>
          </w:tcPr>
          <w:p>
            <w:pPr>
              <w:spacing w:after="0"/>
              <w:rPr>
                <w:sz w:val="21"/>
                <w:szCs w:val="2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1,167,095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1,218,899</w:t>
            </w:r>
          </w:p>
        </w:tc>
        <w:tc>
          <w:tcPr>
            <w:tcW w:w="100" w:type="dxa"/>
            <w:vAlign w:val="bottom"/>
          </w:tcPr>
          <w:p>
            <w:pPr>
              <w:spacing w:after="0"/>
              <w:rPr>
                <w:sz w:val="20"/>
                <w:szCs w:val="20"/>
                <w:color w:val="auto"/>
              </w:rPr>
            </w:pPr>
          </w:p>
        </w:tc>
      </w:tr>
      <w:tr>
        <w:trPr>
          <w:trHeight w:val="580"/>
        </w:trPr>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 Nine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auto"/>
                <w:w w:val="97"/>
              </w:rPr>
              <w:t>For the Twelve</w:t>
            </w:r>
          </w:p>
        </w:tc>
        <w:tc>
          <w:tcPr>
            <w:tcW w:w="100" w:type="dxa"/>
            <w:vAlign w:val="bottom"/>
          </w:tcPr>
          <w:p>
            <w:pPr>
              <w:spacing w:after="0"/>
              <w:rPr>
                <w:sz w:val="24"/>
                <w:szCs w:val="24"/>
                <w:color w:val="auto"/>
              </w:rPr>
            </w:pPr>
          </w:p>
        </w:tc>
      </w:tr>
      <w:tr>
        <w:trPr>
          <w:trHeight w:val="149"/>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w w:val="99"/>
              </w:rPr>
              <w:t>Months Ended</w:t>
            </w:r>
          </w:p>
        </w:tc>
        <w:tc>
          <w:tcPr>
            <w:tcW w:w="100" w:type="dxa"/>
            <w:vAlign w:val="bottom"/>
          </w:tcPr>
          <w:p>
            <w:pPr>
              <w:spacing w:after="0"/>
              <w:rPr>
                <w:sz w:val="12"/>
                <w:szCs w:val="12"/>
                <w:color w:val="auto"/>
              </w:rPr>
            </w:pPr>
          </w:p>
        </w:tc>
      </w:tr>
      <w:tr>
        <w:trPr>
          <w:trHeight w:val="185"/>
        </w:trPr>
        <w:tc>
          <w:tcPr>
            <w:tcW w:w="6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 2023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6"/>
                <w:szCs w:val="16"/>
                <w:color w:val="auto"/>
              </w:rPr>
            </w:pPr>
          </w:p>
        </w:tc>
      </w:tr>
      <w:tr>
        <w:trPr>
          <w:trHeight w:val="23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gridSpan w:val="2"/>
            <w:shd w:val="clear" w:color="auto" w:fill="CFF0FC"/>
          </w:tcPr>
          <w:p>
            <w:pPr>
              <w:jc w:val="right"/>
              <w:ind w:right="22"/>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1,404,357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1,844,084</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1,093,851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1,413,788</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expenses</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194,401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261,898</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1,288,252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1,675,686</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56,972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162,454</w:t>
            </w:r>
          </w:p>
        </w:tc>
        <w:tc>
          <w:tcPr>
            <w:tcW w:w="100" w:type="dxa"/>
            <w:vAlign w:val="bottom"/>
            <w:shd w:val="clear" w:color="auto" w:fill="CFF0FC"/>
          </w:tcPr>
          <w:p>
            <w:pPr>
              <w:spacing w:after="0"/>
              <w:rPr>
                <w:sz w:val="21"/>
                <w:szCs w:val="2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119,472</w:t>
            </w:r>
          </w:p>
        </w:tc>
        <w:tc>
          <w:tcPr>
            <w:tcW w:w="100" w:type="dxa"/>
            <w:vAlign w:val="bottom"/>
          </w:tcPr>
          <w:p>
            <w:pPr>
              <w:spacing w:after="0"/>
              <w:rPr>
                <w:sz w:val="20"/>
                <w:szCs w:val="20"/>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is an important supplemental measure of our operating performance and believe it is frequently used by securities analysts, investors and other interested parties in the evaluation of REITs and other real estate operating companies, many of which present FFO when reporting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or ordinary component of our ongoing operations. Normalized FFO excludes the effects of such items.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FFO and Normalized FFO are supplemental non-GAAP financial measures of real estate companies' operating performance,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real estate operating companies and, accordingly, may not be comparable to such REITs and other real estate operating companies.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reconciliation of net income to FFO and Normalized FFO for the three and nine months ended September 30, 2023 and 2022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4"/>
                <w:szCs w:val="14"/>
                <w:b w:val="1"/>
                <w:bCs w:val="1"/>
                <w:color w:val="auto"/>
              </w:rPr>
              <w:t>FUNDS FROM OPERATIONS:</w:t>
            </w:r>
          </w:p>
        </w:tc>
        <w:tc>
          <w:tcPr>
            <w:tcW w:w="2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13,892</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24,837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real estate assets</w:t>
            </w:r>
          </w:p>
        </w:tc>
        <w:tc>
          <w:tcPr>
            <w:tcW w:w="2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Gain on sale of real estate assets, net</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(368 )</w:t>
            </w: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(83,828 )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for special items</w:t>
            </w:r>
          </w:p>
        </w:tc>
        <w:tc>
          <w:tcPr>
            <w:tcW w:w="26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Funds From Operations</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38,468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Expenses associated with debt repayments</w:t>
            </w:r>
          </w:p>
        </w:tc>
        <w:tc>
          <w:tcPr>
            <w:tcW w:w="2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and refinancing transactions</w:t>
            </w:r>
          </w:p>
        </w:tc>
        <w:tc>
          <w:tcPr>
            <w:tcW w:w="2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asset impairments</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2,710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for special items</w:t>
            </w:r>
          </w:p>
        </w:tc>
        <w:tc>
          <w:tcPr>
            <w:tcW w:w="2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(816 )</w:t>
            </w:r>
          </w:p>
        </w:tc>
        <w:tc>
          <w:tcPr>
            <w:tcW w:w="4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Normalized Funds From Operations</w:t>
            </w:r>
          </w:p>
        </w:tc>
        <w:tc>
          <w:tcPr>
            <w:tcW w:w="26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40,462</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33,903</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4"/>
                <w:szCs w:val="14"/>
                <w:b w:val="1"/>
                <w:bCs w:val="1"/>
                <w:color w:val="auto"/>
              </w:rPr>
              <w:t>FUNDS FROM OPERATIONS:</w:t>
            </w:r>
          </w:p>
        </w:tc>
        <w:tc>
          <w:tcPr>
            <w:tcW w:w="2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41,122</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97,883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73,206</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real estate assets</w:t>
            </w:r>
          </w:p>
        </w:tc>
        <w:tc>
          <w:tcPr>
            <w:tcW w:w="2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Gain on sale of real estate assets, net</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(343 )</w:t>
            </w: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(87,149 )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for special items</w:t>
            </w:r>
          </w:p>
        </w:tc>
        <w:tc>
          <w:tcPr>
            <w:tcW w:w="26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Funds From Operations</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114,085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109,145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Expenses associated with debt repayments</w:t>
            </w:r>
          </w:p>
        </w:tc>
        <w:tc>
          <w:tcPr>
            <w:tcW w:w="2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and refinancing transactions</w:t>
            </w:r>
          </w:p>
        </w:tc>
        <w:tc>
          <w:tcPr>
            <w:tcW w:w="2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Shareholder litigation expense</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associated with change in</w:t>
            </w:r>
          </w:p>
        </w:tc>
        <w:tc>
          <w:tcPr>
            <w:tcW w:w="2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930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tax structure</w:t>
            </w:r>
          </w:p>
        </w:tc>
        <w:tc>
          <w:tcPr>
            <w:tcW w:w="2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asset impairments</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2,710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for special items</w:t>
            </w:r>
          </w:p>
        </w:tc>
        <w:tc>
          <w:tcPr>
            <w:tcW w:w="2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(884 )</w:t>
            </w:r>
          </w:p>
        </w:tc>
        <w:tc>
          <w:tcPr>
            <w:tcW w:w="4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(2,530 )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Normalized Funds From Operations</w:t>
            </w:r>
          </w:p>
        </w:tc>
        <w:tc>
          <w:tcPr>
            <w:tcW w:w="26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117,167</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116,103</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60" w:type="dxa"/>
            <w:vAlign w:val="bottom"/>
            <w:vMerge w:val="restart"/>
          </w:tcPr>
          <w:p>
            <w:pPr>
              <w:jc w:val="right"/>
              <w:ind w:right="171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-4225290</wp:posOffset>
            </wp:positionV>
            <wp:extent cx="60325"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-4225290</wp:posOffset>
            </wp:positionV>
            <wp:extent cx="60325"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-3462655</wp:posOffset>
            </wp:positionV>
            <wp:extent cx="6032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-3462655</wp:posOffset>
            </wp:positionV>
            <wp:extent cx="6032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-1893570</wp:posOffset>
            </wp:positionV>
            <wp:extent cx="60325"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-1893570</wp:posOffset>
            </wp:positionV>
            <wp:extent cx="60325"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-685165</wp:posOffset>
            </wp:positionV>
            <wp:extent cx="6032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summarizes our contractual cash obligations by the indicated period as of September 30, 2023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w w:val="93"/>
              </w:rPr>
              <w:t>Payments Due By 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2025</w:t>
            </w:r>
          </w:p>
        </w:tc>
        <w:tc>
          <w:tcPr>
            <w:tcW w:w="10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2026</w:t>
            </w:r>
          </w:p>
        </w:tc>
        <w:tc>
          <w:tcPr>
            <w:tcW w:w="10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2027</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(remainder)</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1,081,13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40" w:type="dxa"/>
            <w:vAlign w:val="bottom"/>
            <w:gridSpan w:val="2"/>
            <w:shd w:val="clear" w:color="auto" w:fill="CFF0FC"/>
          </w:tcPr>
          <w:p>
            <w:pPr>
              <w:ind w:left="4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$ 667,563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$ 256,855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$ 121,159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Interest on senior and mortgage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160"/>
              <w:spacing w:after="0"/>
              <w:rPr>
                <w:sz w:val="20"/>
                <w:szCs w:val="20"/>
                <w:color w:val="auto"/>
              </w:rPr>
            </w:pPr>
            <w:r>
              <w:rPr>
                <w:rFonts w:ascii="Arial" w:cs="Arial" w:eastAsia="Arial" w:hAnsi="Arial"/>
                <w:sz w:val="18"/>
                <w:szCs w:val="18"/>
                <w:color w:val="auto"/>
              </w:rPr>
              <w:t>notes</w:t>
            </w:r>
          </w:p>
        </w:tc>
        <w:tc>
          <w:tcPr>
            <w:tcW w:w="640" w:type="dxa"/>
            <w:vAlign w:val="bottom"/>
          </w:tcPr>
          <w:p>
            <w:pPr>
              <w:jc w:val="right"/>
              <w:spacing w:after="0"/>
              <w:rPr>
                <w:sz w:val="20"/>
                <w:szCs w:val="20"/>
                <w:color w:val="auto"/>
              </w:rPr>
            </w:pPr>
            <w:r>
              <w:rPr>
                <w:rFonts w:ascii="Arial" w:cs="Arial" w:eastAsia="Arial" w:hAnsi="Arial"/>
                <w:sz w:val="18"/>
                <w:szCs w:val="18"/>
                <w:color w:val="auto"/>
              </w:rPr>
              <w:t>32,029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42,189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17,434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37,418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263,157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Contractual facility developments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and other commitments</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South Texas Family Residential</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160"/>
              <w:spacing w:after="0"/>
              <w:rPr>
                <w:sz w:val="20"/>
                <w:szCs w:val="20"/>
                <w:color w:val="auto"/>
              </w:rPr>
            </w:pPr>
            <w:r>
              <w:rPr>
                <w:rFonts w:ascii="Arial" w:cs="Arial" w:eastAsia="Arial" w:hAnsi="Arial"/>
                <w:sz w:val="18"/>
                <w:szCs w:val="18"/>
                <w:color w:val="auto"/>
              </w:rPr>
              <w:t>Center</w:t>
            </w:r>
          </w:p>
        </w:tc>
        <w:tc>
          <w:tcPr>
            <w:tcW w:w="640" w:type="dxa"/>
            <w:vAlign w:val="bottom"/>
          </w:tcPr>
          <w:p>
            <w:pPr>
              <w:jc w:val="right"/>
              <w:spacing w:after="0"/>
              <w:rPr>
                <w:sz w:val="20"/>
                <w:szCs w:val="20"/>
                <w:color w:val="auto"/>
              </w:rPr>
            </w:pPr>
            <w:r>
              <w:rPr>
                <w:rFonts w:ascii="Arial" w:cs="Arial" w:eastAsia="Arial" w:hAnsi="Arial"/>
                <w:sz w:val="18"/>
                <w:szCs w:val="18"/>
                <w:color w:val="auto"/>
              </w:rPr>
              <w:t>12,961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38,460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154,404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contractual cash obligations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1,537,97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4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50,596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142,495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140,846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$ 752,579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$ 277,971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$ 173,486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-325120</wp:posOffset>
            </wp:positionV>
            <wp:extent cx="77470" cy="3257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-325120</wp:posOffset>
            </wp:positionV>
            <wp:extent cx="68580" cy="3257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-325120</wp:posOffset>
            </wp:positionV>
            <wp:extent cx="68580" cy="3257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-325120</wp:posOffset>
            </wp:positionV>
            <wp:extent cx="68580" cy="3257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-325120</wp:posOffset>
            </wp:positionV>
            <wp:extent cx="68580" cy="3257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-325120</wp:posOffset>
            </wp:positionV>
            <wp:extent cx="68580" cy="3257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3257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cash obligations in the table above do not include future cash obligations for variable interest expense associated with our Term Loan A or the balance outstanding on our Revolving Credit Facility, if any, as projections would be based on future outstanding balances as well as future variable interest rates, and we are unable to make reliable estimates of either. Certain of our other ongoing construction projects are not currently under contract and thus are not included as a contractual obligation above as we may generally suspend or terminate such projects without substantial penalty. With respect to the South Texas Family Residential Center, the cash obligations included in the table above reflect the full contractual obligations of the lease of the site, excluding contingent payments, even though the lease agreement provides us with the ability to terminate if ICE terminates the amended inter-governmental service agreement associated with the facility.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$17.4 million of letters of credit outstanding at September 30, 2023 primarily to support our requirement to repay fees and claims under our self-insured workers' compensation plan in the event we do not repay the fees and claims due in accordance with the terms of the plan, and for a debt service reserve requirement under terms of the Kansas Notes. The letters of credit are renewable annually. We did not have any draws under these outstanding letters of credit during the nine months ended September 30, 2023 or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contracts include provisions for inflationary indexing, which may mitigate an adverse impact of inflation on net income. However, a substantial increase in personnel costs, workers' compensation, utilities, food, and medical expenses could have an adverse impact on our results of operations in the future to the extent that these expenses increase at a faster pace than the per diem or fixed rates we receive for our management services. As previously described herein, we have experienced increases in personnel costs and expect the labor market to remain challenging, which could have a material adverse effect on our operations. We outsource our food service operations to a third party. The contract with our outsourced food service vendor contains certain protections against increases in food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aspects of our business are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Quarterly results are also affected by government funding initiatives, acquisitions, the timing of the opening of new facilities, or the commencement of new management contracts and related start-up expenses which may mitigate or exacerbate the impact of other seasonal influences. Because of seasonality factors, and other factors described herein, results for any quarter are not necessarily indicative of the results that may be achieved for the full fiscal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market risk exposure is to changes in U.S. interest rates. In an effort to mitigate inflation, the Federal Reserve increased interest rates throughout 2022 and has continued to increase interest rates in 2023. It is anticipated that interest rates will continue to rise in the near term. We are exposed to market risk related to our Bank Credit Facility because the interest rates on these loans are subject to fluctuations in the market. If the interest rate for our outstanding indebtedness under the Bank Credit Facility was 100 basis points higher or lower (but not less than 0%) during the three and nine months ended September 30, 2023, our interest expense, net of amounts capitalized, would have been increased or decreased by $0.2 million and $0.8 million, respectively.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we had $593.1 million of senior notes due 2026 with a fixed interest rate of 8.25% and $250.0 million of senior notes due 2027 with a fixed interest rate of 4.75%. We also had $146.8 million outstanding under the Kansas Notes with a fixed interest rate of 4.43%. Because the interest rates with respect to these instruments are fixed, a hypothetical 100 basis point increase or decrease in market interest rates would not have a material impact on our financial statements.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Arial" w:cs="Arial" w:eastAsia="Arial" w:hAnsi="Arial"/>
          <w:sz w:val="17"/>
          <w:szCs w:val="17"/>
          <w:i w:val="1"/>
          <w:iCs w:val="1"/>
          <w:color w:val="auto"/>
        </w:rPr>
        <w:t>Rising interest rates increase the cost of our variable rate debt</w:t>
      </w:r>
      <w:r>
        <w:rPr>
          <w:rFonts w:ascii="Arial" w:cs="Arial" w:eastAsia="Arial" w:hAnsi="Arial"/>
          <w:sz w:val="17"/>
          <w:szCs w:val="17"/>
          <w:color w:val="auto"/>
        </w:rPr>
        <w:t xml:space="preserve">" under </w:t>
      </w:r>
      <w:r>
        <w:rPr>
          <w:rFonts w:ascii="Arial" w:cs="Arial" w:eastAsia="Arial" w:hAnsi="Arial"/>
          <w:sz w:val="17"/>
          <w:szCs w:val="17"/>
          <w:i w:val="1"/>
          <w:iCs w:val="1"/>
          <w:color w:val="auto"/>
        </w:rPr>
        <w:t>Part 1, Item 1A</w:t>
      </w:r>
      <w:r>
        <w:rPr>
          <w:rFonts w:ascii="Arial" w:cs="Arial" w:eastAsia="Arial" w:hAnsi="Arial"/>
          <w:sz w:val="17"/>
          <w:szCs w:val="17"/>
          <w:color w:val="auto"/>
        </w:rPr>
        <w:t xml:space="preserve"> of our 2022 Form 10-K for more discussion on interest rate risks that may affect our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Quarterly Report. Based on that evaluation, our officers, including our Chief Executive Officer and Chief Financial Officer, concluded that as of the end of the period covered by this Quarterly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 There have been no changes in our internal control over financial reporting that occurred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See the information reported in Note 8 to the financial statements included in Part I, which information is incorporated hereunder by this reference.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Item 1A of Part 1 of our 2022 Form 10-K includes a detailed discussion of the risk factors that could materially affect our business, financial condition or future prospects. There have been no material changes in our risk factors previously disclosed in the 2022 Form 10-K.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12, 2022, the Company announced that its Board of Directors, or BOD, had approved a share repurchase program to repurchase up to $150.0 million of the Company's common stock. On August 2, 2022, the BOD increased the authorization to repurchase under the share repurchase program by up to an additional $75.0 million of the Company's common stock, which resulted in a total aggregate amount to repurchase up to $225.0 million of the Company's common stock. 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The share repurchase program has no time limit and does not obligate the Company to purchase any particular amount of its common stock. The authorization for the share repurchase program may be terminated, suspended, increased or decreased by the BOD in its discretion at any time. As of September 30, 2023, the Company had repurchased a total of 9.2 million common shares at an aggregate cost of approximately $100.1 million. The Company did not repurchase any shares during the three months ended September 30, 2023.</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Without limiting the generality of the foregoing, during the three months ended September 30, 2023, no director or officer of the Company adopted or terminated any “Rule 10b5-1 trading arrangement,” or any “non-Rule 10b-5 trading arrangement,” as such terms are defined in Item 408(a) of Regulation S-K.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Exhibit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240" w:type="dxa"/>
            <w:vAlign w:val="bottom"/>
          </w:tcPr>
          <w:p>
            <w:pPr>
              <w:spacing w:after="0"/>
              <w:rPr>
                <w:sz w:val="16"/>
                <w:szCs w:val="16"/>
                <w:color w:val="auto"/>
              </w:rPr>
            </w:pPr>
          </w:p>
        </w:tc>
        <w:tc>
          <w:tcPr>
            <w:tcW w:w="600" w:type="dxa"/>
            <w:vAlign w:val="bottom"/>
          </w:tcPr>
          <w:p>
            <w:pPr>
              <w:jc w:val="center"/>
              <w:spacing w:after="0" w:line="190" w:lineRule="exact"/>
              <w:rPr>
                <w:sz w:val="20"/>
                <w:szCs w:val="20"/>
                <w:color w:val="auto"/>
              </w:rPr>
            </w:pPr>
            <w:r>
              <w:rPr>
                <w:rFonts w:ascii="Arial" w:cs="Arial" w:eastAsia="Arial" w:hAnsi="Arial"/>
                <w:sz w:val="18"/>
                <w:szCs w:val="18"/>
                <w:color w:val="auto"/>
                <w:w w:val="93"/>
              </w:rPr>
              <w:t>Number</w:t>
            </w:r>
          </w:p>
        </w:tc>
        <w:tc>
          <w:tcPr>
            <w:tcW w:w="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500" w:type="dxa"/>
            <w:vAlign w:val="bottom"/>
            <w:gridSpan w:val="6"/>
          </w:tcPr>
          <w:p>
            <w:pPr>
              <w:ind w:left="1860"/>
              <w:spacing w:after="0" w:line="190" w:lineRule="exact"/>
              <w:rPr>
                <w:sz w:val="20"/>
                <w:szCs w:val="20"/>
                <w:color w:val="auto"/>
              </w:rPr>
            </w:pPr>
            <w:r>
              <w:rPr>
                <w:rFonts w:ascii="Arial" w:cs="Arial" w:eastAsia="Arial" w:hAnsi="Arial"/>
                <w:sz w:val="18"/>
                <w:szCs w:val="18"/>
                <w:color w:val="auto"/>
              </w:rPr>
              <w:t>Description of Exhibits</w:t>
            </w: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840" w:type="dxa"/>
            <w:vAlign w:val="bottom"/>
            <w:gridSpan w:val="2"/>
          </w:tcPr>
          <w:p>
            <w:pPr>
              <w:spacing w:after="0"/>
              <w:rPr>
                <w:sz w:val="20"/>
                <w:szCs w:val="20"/>
                <w:color w:val="auto"/>
              </w:rPr>
            </w:pPr>
            <w:r>
              <w:rPr>
                <w:rFonts w:ascii="Arial" w:cs="Arial" w:eastAsia="Arial" w:hAnsi="Arial"/>
                <w:sz w:val="18"/>
                <w:szCs w:val="18"/>
                <w:color w:val="auto"/>
              </w:rPr>
              <w:t>22.1*</w:t>
            </w:r>
          </w:p>
        </w:tc>
        <w:tc>
          <w:tcPr>
            <w:tcW w:w="5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0000FF"/>
              </w:rPr>
              <w:t>List of Guarantor Subsidiaries.</w:t>
            </w:r>
          </w:p>
        </w:tc>
      </w:tr>
      <w:tr>
        <w:trPr>
          <w:trHeight w:val="20"/>
        </w:trPr>
        <w:tc>
          <w:tcPr>
            <w:tcW w:w="84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0000FF"/>
                <w:w w:val="93"/>
              </w:rPr>
              <w:t>Certification of the Company's Chief Executive Officer pursuant to Securities and Exchange Act Rules 13a-14(a) and 15d-14(a), as</w:t>
            </w:r>
          </w:p>
        </w:tc>
      </w:tr>
      <w:tr>
        <w:trPr>
          <w:trHeight w:val="20"/>
        </w:trPr>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8"/>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84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EE"/>
            </w:tcBorders>
            <w:gridSpan w:val="3"/>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0000FF"/>
                <w:w w:val="93"/>
              </w:rPr>
              <w:t>Certification of the Company's Chief Financial Officer pursuant to Securities and Exchange Act Rules 13a-14(a) and 15d-14(a), as</w:t>
            </w:r>
          </w:p>
        </w:tc>
      </w:tr>
      <w:tr>
        <w:trPr>
          <w:trHeight w:val="20"/>
        </w:trPr>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3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8"/>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84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EE"/>
            </w:tcBorders>
            <w:gridSpan w:val="3"/>
            <w:shd w:val="clear" w:color="auto" w:fill="0000FF"/>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0000FF"/>
                <w:w w:val="91"/>
              </w:rPr>
              <w:t>Certification of the Company's Chief Executive Officer pursuant to 18 U.S.C. Section 1350, as adopted pursuant to Section 906 of the</w:t>
            </w:r>
          </w:p>
        </w:tc>
      </w:tr>
      <w:tr>
        <w:trPr>
          <w:trHeight w:val="20"/>
        </w:trPr>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5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8"/>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20"/>
        </w:trPr>
        <w:tc>
          <w:tcPr>
            <w:tcW w:w="84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0000FF"/>
                <w:w w:val="91"/>
              </w:rPr>
              <w:t>Certification of the Company's Chief Financial Officer pursuant to 18 U.S.C. Section 1350, as adopted pursuant to Section 906 of the</w:t>
            </w:r>
          </w:p>
        </w:tc>
      </w:tr>
      <w:tr>
        <w:trPr>
          <w:trHeight w:val="20"/>
        </w:trPr>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2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8"/>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20"/>
        </w:trPr>
        <w:tc>
          <w:tcPr>
            <w:tcW w:w="84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600" w:type="dxa"/>
            <w:vAlign w:val="bottom"/>
            <w:gridSpan w:val="7"/>
          </w:tcPr>
          <w:p>
            <w:pPr>
              <w:spacing w:after="0" w:line="20" w:lineRule="exact"/>
              <w:rPr>
                <w:sz w:val="1"/>
                <w:szCs w:val="1"/>
                <w:color w:val="auto"/>
              </w:rPr>
            </w:pPr>
          </w:p>
        </w:tc>
      </w:tr>
      <w:tr>
        <w:trPr>
          <w:trHeight w:val="398"/>
        </w:trPr>
        <w:tc>
          <w:tcPr>
            <w:tcW w:w="840" w:type="dxa"/>
            <w:vAlign w:val="bottom"/>
            <w:gridSpan w:val="2"/>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auto"/>
                <w:w w:val="93"/>
              </w:rPr>
              <w:t>The following financial information from the Company's Quarterly Report on Form 10-Q for the quarter ended September 30, 2023,</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auto"/>
                <w:w w:val="99"/>
              </w:rPr>
              <w:t>formatted in Inline XBRL (Extensible Business Reporting Language) includes: (i) the Consolidated Balance Sheets, (ii) the</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auto"/>
                <w:w w:val="97"/>
              </w:rPr>
              <w:t>Consolidated Statements of Operations, (iii) the Consolidated Statements of Cash Flows, (iv) the Consolidated Statements of</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auto"/>
                <w:w w:val="89"/>
              </w:rPr>
              <w:t>Stockholders' Equity, and (v) the Notes to Consolidated Financial Statements. The instance document does not appear in the interactive</w:t>
            </w:r>
          </w:p>
        </w:tc>
      </w:tr>
      <w:tr>
        <w:trPr>
          <w:trHeight w:val="230"/>
        </w:trPr>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r>
      <w:tr>
        <w:trPr>
          <w:trHeight w:val="391"/>
        </w:trPr>
        <w:tc>
          <w:tcPr>
            <w:tcW w:w="840" w:type="dxa"/>
            <w:vAlign w:val="bottom"/>
            <w:gridSpan w:val="2"/>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auto"/>
                <w:w w:val="93"/>
              </w:rPr>
              <w:t>The cover page from the Company's Quarterly Report on Form 10-Q for the quarter ended September 30, 2023, formatted in Inline</w:t>
            </w:r>
          </w:p>
        </w:tc>
      </w:tr>
      <w:tr>
        <w:trPr>
          <w:trHeight w:val="230"/>
        </w:trPr>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8"/>
          </w:tcPr>
          <w:p>
            <w:pPr>
              <w:spacing w:after="0"/>
              <w:rPr>
                <w:sz w:val="20"/>
                <w:szCs w:val="20"/>
                <w:color w:val="auto"/>
              </w:rPr>
            </w:pPr>
            <w:r>
              <w:rPr>
                <w:rFonts w:ascii="Arial" w:cs="Arial" w:eastAsia="Arial" w:hAnsi="Arial"/>
                <w:sz w:val="18"/>
                <w:szCs w:val="18"/>
                <w:color w:val="auto"/>
              </w:rPr>
              <w:t>XBRL (included in Exhibit 101).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CORECIVIC, INC.</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Damon T. Hininger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M. Garfinkle</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ind w:left="9240"/>
        <w:spacing w:after="0"/>
        <w:rPr>
          <w:sz w:val="20"/>
          <w:szCs w:val="20"/>
          <w:color w:val="auto"/>
        </w:rPr>
      </w:pPr>
      <w:r>
        <w:rPr>
          <w:rFonts w:ascii="Arial" w:cs="Arial" w:eastAsia="Arial" w:hAnsi="Arial"/>
          <w:sz w:val="20"/>
          <w:szCs w:val="20"/>
          <w:b w:val="1"/>
          <w:bCs w:val="1"/>
          <w:color w:val="auto"/>
        </w:rPr>
        <w:t>Exhibit 22.1</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List of Guarantor Subsidiaries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subsidiaries of CoreCivic, Inc. (the "Issuer") are guarantors of the Issuer's (i) 8.25% Senior Notes due 2026; and (ii) 4.75% Senior Notes due 2027: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ACS Corrections of Texas,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Avalon Corpus Christi Transitional Center,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Avalon Correctional Services,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Avalon Transitional Center Dallas,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Avalon Tulsa, L.L.C., an Oklahoma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Carver Transitional Center, L.L.C., an Oklahoma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CCA Health Services, LLC, a Tennessee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CCA International,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CCA South Texas, LLC, a Maryland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CoreCivic,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CoreCivic of Tallahassee, LLC, a Maryland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CoreCivic of Tennessee, LLC, a Tennessee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CoreCivic Western Operations,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Correctional Alternatives, LLC, a California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Correctional Management, LLC, a Colorado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 Horizon Management,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Transitional Center, L.L.C., an Oklahoma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Level Realty LLC, a Colorado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Government Solutions, LLC, a Maryland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Prison Realty Management, LLC, a Tennessee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Recovery Monitoring Solutions,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Corrections Systems of Wyoming, L.L.C., an Oklahoma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Technical and Business Institute of America, LLC, a Tennessee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Thrivur Health, LLC, a Colorado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To Change, LLC, a Colorado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 America, LLC, a Tennessee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Turley Residential Center, L.L.C., an Oklahoma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Damon T. Hininger, certify that:</w:t>
      </w:r>
    </w:p>
    <w:p>
      <w:pPr>
        <w:spacing w:after="0" w:line="117"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CoreCivic, Inc.;</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hanging="513"/>
        <w:spacing w:after="0" w:line="342" w:lineRule="auto"/>
        <w:tabs>
          <w:tab w:leader="none" w:pos="15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hanging="513"/>
        <w:spacing w:after="0" w:line="277"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Damon T. Hininger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M. Garfinkle, certify that:</w:t>
      </w:r>
    </w:p>
    <w:p>
      <w:pPr>
        <w:spacing w:after="0" w:line="11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CoreCivic, Inc.;</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40" w:hanging="513"/>
        <w:spacing w:after="0" w:line="263"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hanging="513"/>
        <w:spacing w:after="0" w:line="342" w:lineRule="auto"/>
        <w:tabs>
          <w:tab w:leader="none" w:pos="15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hanging="513"/>
        <w:spacing w:after="0" w:line="277"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M. Garfinkle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Executive Vice President, Chief Financial Officer, and Principal Accounting</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CoreCivic, Inc. (the “Company”) on Form 10-Q for the period ending September 30, 2023 as filed with the Securities and Exchange Commission on the date hereof (the “Report”), I, Damon T. Hininger, President and Chief Executive Officer of the Company, certify, pursuant to 18 U.S.C. §1350, as adopted pursuant to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Damon T. Hininger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CoreCivic, Inc. (the “Company”) on Form 10-Q for the period ending September 30, 2023 as filed with the Securities and Exchange Commission on the date hereof (the “Report”), I, David M. Garfinkle, Executive Vice President and Chief Financial Officer of the Company, certify, pursuant to 18 U.S.C. §1350, as adopted pursuant to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M. Garfinkle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Executive Vice President, Chief Financial Officer, and Principal Accounting</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Officer</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7"/>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9"/>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2023-11-07T12:24:20Z</dcterms:created>
  <dcterms:modified xsi:type="dcterms:W3CDTF">2023-11-07T12:24:20Z</dcterms:modified>
</cp:coreProperties>
</file>