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55504d8k.htm"/>
      <w:bookmarkStart w:id="1" w:name="ksd25550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24,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CoreCivic,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Maryland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001-16109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62-1763875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4370"/>
        <w:gridCol w:w="60"/>
        <w:gridCol w:w="1145"/>
      </w:tblGrid>
      <w:tr>
        <w:trPr/>
        <w:tc>
          <w:tcPr>
            <w:tcW w:w="4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283"/>
              <w:jc w:val="center"/>
              <w:rPr>
                <w:b/>
              </w:rPr>
            </w:pPr>
            <w:r>
              <w:rPr>
                <w:b/>
              </w:rPr>
              <w:t>5501 Virginia Way, Brentwood, Tennessee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37027</w:t>
            </w:r>
          </w:p>
        </w:tc>
      </w:tr>
      <w:tr>
        <w:trPr/>
        <w:tc>
          <w:tcPr>
            <w:tcW w:w="43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(615) 263-3000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5040" w:type="dxa"/>
        <w:jc w:val="left"/>
        <w:tblInd w:w="0" w:type="dxa"/>
        <w:tblLayout w:type="fixed"/>
        <w:tblCellMar>
          <w:top w:w="0" w:type="dxa"/>
          <w:left w:w="0" w:type="dxa"/>
          <w:bottom w:w="0" w:type="dxa"/>
          <w:right w:w="0" w:type="dxa"/>
        </w:tblCellMar>
      </w:tblPr>
      <w:tblGrid>
        <w:gridCol w:w="1520"/>
        <w:gridCol w:w="60"/>
        <w:gridCol w:w="740"/>
        <w:gridCol w:w="60"/>
        <w:gridCol w:w="266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CXW</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CEO Transition </w:t>
      </w:r>
    </w:p>
    <w:p>
      <w:pPr>
        <w:pStyle w:val="TextBody"/>
        <w:bidi w:val="0"/>
        <w:spacing w:before="120" w:after="0"/>
        <w:jc w:val="left"/>
        <w:rPr>
          <w:rFonts w:ascii="Times New Roman" w:hAnsi="Times New Roman"/>
          <w:sz w:val="20"/>
        </w:rPr>
      </w:pPr>
      <w:r>
        <w:rPr>
          <w:rFonts w:ascii="Times New Roman" w:hAnsi="Times New Roman"/>
          <w:sz w:val="20"/>
        </w:rPr>
        <w:t xml:space="preserve">On September 25, 2026, CoreCivic, Inc., a Maryland corporation (the “Company”) announced that Patrick D. Swindle, the Company’s President and Chief Executive Officer (“CEO”), has stepped down as President and CEO and resigned from his position on the Company’s Board of Directors (the “Board”), effective as of September 24, 2026 (the “Transition Date”), due to health reasons. Lucibeth N. Mayberry, who most recently served as the Company’s Executive Vice President and Chief Strategy Officer, has been appointed as President and CEO of the Company, effective as of the Transition Date. Additionally, the Board has appointed Ms. Mayberry to the Board to fill the vacancy created by Mr. Swindle’s resignation as of the Transition Date. </w:t>
      </w:r>
    </w:p>
    <w:p>
      <w:pPr>
        <w:pStyle w:val="TextBody"/>
        <w:bidi w:val="0"/>
        <w:spacing w:before="240" w:after="0"/>
        <w:jc w:val="left"/>
        <w:rPr>
          <w:rFonts w:ascii="Times New Roman" w:hAnsi="Times New Roman"/>
          <w:sz w:val="20"/>
        </w:rPr>
      </w:pPr>
      <w:r>
        <w:rPr>
          <w:rFonts w:ascii="Times New Roman" w:hAnsi="Times New Roman"/>
          <w:sz w:val="20"/>
        </w:rPr>
        <w:t xml:space="preserve">Mr. Swindle and the Company have entered into a Transition Agreement, effective as of the Transition Date (the “Transition Agreement”), pursuant to which Mr. Swindle will serve as a Special Advisor to the CEO and to the Chairman of the Board beginning on the Transition Date through September 24, 2028, unless the Transition Agreement is earlier terminated as set forth in the Transition Agreement (the “Transition Period”). </w:t>
      </w:r>
    </w:p>
    <w:p>
      <w:pPr>
        <w:pStyle w:val="TextBody"/>
        <w:bidi w:val="0"/>
        <w:spacing w:before="240" w:after="0"/>
        <w:jc w:val="left"/>
        <w:rPr/>
      </w:pPr>
      <w:r>
        <w:rPr>
          <w:rFonts w:ascii="Times New Roman" w:hAnsi="Times New Roman"/>
          <w:sz w:val="20"/>
        </w:rPr>
        <w:t>A description of the business background and experience of Ms. Mayberry, age 54, is incorporated herein by reference to the information included under the heading “Executive Officers” in </w:t>
      </w:r>
      <w:r>
        <w:fldChar w:fldCharType="begin"/>
      </w:r>
      <w:r>
        <w:rPr>
          <w:rStyle w:val="InternetLink"/>
          <w:sz w:val="20"/>
          <w:rFonts w:ascii="Times New Roman" w:hAnsi="Times New Roman"/>
        </w:rPr>
        <w:instrText xml:space="preserve"> HYPERLINK "http://www.sec.gov/Archives/edgar/data/../../../ix?doc=/Archives/edgar/data/0001070985/000114036126012100/ny20060006x1_def14a.htm" \l "tEXEA"</w:instrText>
      </w:r>
      <w:r>
        <w:rPr>
          <w:rStyle w:val="InternetLink"/>
          <w:sz w:val="20"/>
          <w:rFonts w:ascii="Times New Roman" w:hAnsi="Times New Roman"/>
        </w:rPr>
        <w:fldChar w:fldCharType="separate"/>
      </w:r>
      <w:r>
        <w:rPr>
          <w:rStyle w:val="InternetLink"/>
          <w:rFonts w:ascii="Times New Roman" w:hAnsi="Times New Roman"/>
          <w:sz w:val="20"/>
        </w:rPr>
        <w:t>the Company’s Definitive Proxy Statement filed with the U.S. Securities and Exchange Commission (“SEC”) on March 31, 2026</w:t>
      </w:r>
      <w:r>
        <w:rPr>
          <w:rStyle w:val="InternetLink"/>
          <w:sz w:val="20"/>
          <w:rFonts w:ascii="Times New Roman" w:hAnsi="Times New Roman"/>
        </w:rPr>
        <w:fldChar w:fldCharType="end"/>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Neither Mr. Swindle’s nor Ms. Mayberry’s change in duties were made pursuant to any arrangement or understanding between Mr. Swindle or Ms. Mayberry, as applicable, and any other person. Ms. Mayberry has no family relationships that would require disclosure under Item 401(d) of Regulation S-K in this Current Report on Form 8-K, and, except for previously disclosed compensation arrangements and as otherwise described in this Current Report on Form 8-K, she is not a party to any material plan, contract or arrangement with the Company. Ms. Mayberry neither is a party to nor has any direct or indirect material interest in any transaction with the Company that would require disclosure under Item 404(a) of Regulation S-K in this Current Report on Form 8-K.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Swindle Transition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Transition Agreement is effective as of the Transition Date. The Transition Agreement will govern Mr. Swindle’s employment with the Company during the Transition Period. The Transition Agreement provides for, among other things, (i) Mr. Swindle’s automatic resignation from all positions that he holds as an officer or member of the Board, effective as of the Transition Date, and (ii) Mr. Swindle’s duties as Special Advisor to the CEO and to the Chairman of the Board during the Transition Period. </w:t>
      </w:r>
    </w:p>
    <w:p>
      <w:pPr>
        <w:pStyle w:val="TextBody"/>
        <w:bidi w:val="0"/>
        <w:spacing w:before="240" w:after="0"/>
        <w:jc w:val="left"/>
        <w:rPr>
          <w:rFonts w:ascii="Times New Roman" w:hAnsi="Times New Roman"/>
          <w:sz w:val="20"/>
        </w:rPr>
      </w:pPr>
      <w:r>
        <w:rPr>
          <w:rFonts w:ascii="Times New Roman" w:hAnsi="Times New Roman"/>
          <w:sz w:val="20"/>
        </w:rPr>
        <w:t xml:space="preserve">The Transition Agreement provides that Mr. Swindle will be entitled to receive the following payments and benefits: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base salary as currently in effect during the first twelve months of the Transition Period, with a step-down to fifty (50%) of the annual base salary during the second twelve months of the Transition Period;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Mr. Swindle’s execution and non-revocation of a release of claims: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$2,293,270 in cash (less applicable deferrals, deductions, taxes and withholdings), equal to the maximum cash incentive compensation to which Mr. Swindle would have been entitled to for fiscal year 2026;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lump sum amount in cash (less applicable deferrals, deductions, taxes and withholdings), equal to $8,059,609, in exchange for the forfeiture of Mr. Swindle’s outstanding and unvested equity awards;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Reimbursement of business expenses and tax preparation assistance and legal assistance related to Mr. Swindle’s transition of responsibility to the CEO. </w:t>
            </w:r>
          </w:p>
        </w:tc>
      </w:tr>
    </w:tbl>
    <w:p>
      <w:pPr>
        <w:pStyle w:val="TextBody"/>
        <w:bidi w:val="0"/>
        <w:spacing w:before="240" w:after="0"/>
        <w:jc w:val="left"/>
        <w:rPr>
          <w:rFonts w:ascii="Times New Roman" w:hAnsi="Times New Roman"/>
          <w:sz w:val="20"/>
        </w:rPr>
      </w:pPr>
      <w:r>
        <w:rPr>
          <w:rFonts w:ascii="Times New Roman" w:hAnsi="Times New Roman"/>
          <w:sz w:val="20"/>
        </w:rPr>
        <w:t xml:space="preserve">Mr. Swindle will not be entitled to any cash bonus and will not receive any new equity awards during the Transition Period. </w:t>
      </w:r>
    </w:p>
    <w:p>
      <w:pPr>
        <w:pStyle w:val="TextBody"/>
        <w:bidi w:val="0"/>
        <w:spacing w:before="240" w:after="0"/>
        <w:jc w:val="left"/>
        <w:rPr>
          <w:rFonts w:ascii="Times New Roman" w:hAnsi="Times New Roman"/>
          <w:sz w:val="20"/>
        </w:rPr>
      </w:pPr>
      <w:r>
        <w:rPr>
          <w:rFonts w:ascii="Times New Roman" w:hAnsi="Times New Roman"/>
          <w:sz w:val="20"/>
        </w:rPr>
        <w:t xml:space="preserve">Upon the expiration of Transition Agreement following the Transition Period, Mr. Swindle will also receive a lump sum amount, representing three months of Mr. Swindle’s base salary as in effect on the Transition Date, subject to Mr. Swindle’s execution and non-revocation of a release of claims. By accepting the employment offered under the Transition Agreement, Mr. Swindle has waived any current or future rights or payments he might otherwise have become entitled to under the Company’s Amended and Restated Executive Severance and Change in Control Plan effective as of July 25, 2025 (the “Severance Plan”).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copy of the Transition Agreement is included as Exhibit 10.1 to this Current Report on Form 8-K. The description of the Transition Agreement included in this Current Report on Form 8-K is a summary, is not complete and is qualified in its entirety by reference to the terms of the Transition Agreement filed as Exhibit 10.1 hereto. </w:t>
      </w:r>
    </w:p>
    <w:p>
      <w:pPr>
        <w:pStyle w:val="TextBody"/>
        <w:bidi w:val="0"/>
        <w:spacing w:before="360" w:after="0"/>
        <w:jc w:val="left"/>
        <w:rPr>
          <w:rFonts w:ascii="Times New Roman" w:hAnsi="Times New Roman"/>
          <w:b/>
          <w:i/>
          <w:sz w:val="20"/>
        </w:rPr>
      </w:pPr>
      <w:r>
        <w:rPr>
          <w:rFonts w:ascii="Times New Roman" w:hAnsi="Times New Roman"/>
          <w:b/>
          <w:i/>
          <w:sz w:val="20"/>
        </w:rPr>
        <w:t xml:space="preserve">CEO Employment Terms </w:t>
      </w:r>
    </w:p>
    <w:p>
      <w:pPr>
        <w:pStyle w:val="TextBody"/>
        <w:bidi w:val="0"/>
        <w:spacing w:before="120" w:after="0"/>
        <w:jc w:val="left"/>
        <w:rPr>
          <w:rFonts w:ascii="Times New Roman" w:hAnsi="Times New Roman"/>
          <w:sz w:val="20"/>
        </w:rPr>
      </w:pPr>
      <w:r>
        <w:rPr>
          <w:rFonts w:ascii="Times New Roman" w:hAnsi="Times New Roman"/>
          <w:sz w:val="20"/>
        </w:rPr>
        <w:t xml:space="preserve">Ms. Mayberry’s annual base salary commencing on the Transition Date is $900,000 (the “CEO Base Salary”). Ms. Mayberry’s short-term cash incentive compensation target is an amount equal to 135% of the CEO Base Salary, based on the achievement of performance goals established by the Compensation Committee in the first quarter of 2026 (as part of the Company’s regular compensation practices), and prorated for time of service as CEO during 2026. Ms. Mayberry will receive a long-term equity incentive grant of restricted stock units having a value equal to approximately $2.5 million in the first quarter of 2027 (as part of the Company’s regular equity award grant-cycle). Forty percent of these restricted stock units will be time-based (vesting ratably over three years) and the remaining sixty percent will be performance-based (vesting over a three-year period, subject to the achievement of the applicable performance criteria to be established by the Compensation Committee). The Severance Plan will continue to apply to Ms. Mayberry in the same manner as it did prior to her promotion to President and CEO. Ms. Mayberry will not receive any additional compensation for her service on the Board.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25, 2026, the Company issued a press release announcing Ms. Mayberry’s appointment as President and CEO and Mr. Swindle’s resignation as President and CEO due to health reasons. A copy of such press release is attached hereto as Exhibit 99.1 and incorporated herein by reference.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statements as to the Company’s beliefs and expectations of the outcome of future events that are “forward-looking” statements as defined within the meaning of the Private Securities Litigation Reform Act of 1995, as amended, including, but not limited to, statements concerning the transition of executive leadership at the Company. These forward-looking statements may include such words as “anticipate,” “estimate,” “expect,” “project,” “plan,” “intend,” “believe,” “may,” “will,” “should,” “can have,” “likely,” and other words and terms of similar meaning in connection with any discussion of the timing or nature of future operating or financial performance or other events. These forward-looking statements are subject to risks and uncertainties that could cause actual results to differ materially from the statements made. Important factors that could cause actual results to differ from our expectations are described in the filings made from time to time by the Company with the SEC and include the risk factors described in the Company’s Annual Report on Form 10-K for the year ended December 31, 2025, filed with the SEC on February 20, 2026 and subsequent filings. </w:t>
      </w:r>
    </w:p>
    <w:p>
      <w:pPr>
        <w:pStyle w:val="TextBody"/>
        <w:bidi w:val="0"/>
        <w:spacing w:before="240" w:after="0"/>
        <w:jc w:val="left"/>
        <w:rPr>
          <w:rFonts w:ascii="Times New Roman" w:hAnsi="Times New Roman"/>
          <w:sz w:val="20"/>
        </w:rPr>
      </w:pPr>
      <w:r>
        <w:rPr>
          <w:rFonts w:ascii="Times New Roman" w:hAnsi="Times New Roman"/>
          <w:sz w:val="20"/>
        </w:rPr>
        <w:t xml:space="preserve">The Company takes no responsibility for updating the information contained in this Current Report on Form 8-K following the date hereof to reflect events or circumstances occurring after the date hereof or the occurrence of unanticipated events, except as may be required by law.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255504dex101.htm">
              <w:r>
                <w:rPr>
                  <w:rStyle w:val="InternetLink"/>
                </w:rPr>
                <w:t xml:space="preserve">Transition Agreement, dated as of September 24, 2026, by and between the Company and Patrick D. Swindle.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255504dex991.htm">
              <w:r>
                <w:rPr>
                  <w:rStyle w:val="InternetLink"/>
                </w:rPr>
                <w:t xml:space="preserve">Press Release, dated September 25,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068" w:type="dxa"/>
        <w:jc w:val="left"/>
        <w:tblInd w:w="0" w:type="dxa"/>
        <w:tblLayout w:type="fixed"/>
        <w:tblCellMar>
          <w:top w:w="0" w:type="dxa"/>
          <w:left w:w="0" w:type="dxa"/>
          <w:bottom w:w="0" w:type="dxa"/>
          <w:right w:w="0" w:type="dxa"/>
        </w:tblCellMar>
      </w:tblPr>
      <w:tblGrid>
        <w:gridCol w:w="787"/>
        <w:gridCol w:w="1243"/>
        <w:gridCol w:w="478"/>
        <w:gridCol w:w="60"/>
        <w:gridCol w:w="365"/>
        <w:gridCol w:w="60"/>
        <w:gridCol w:w="5075"/>
      </w:tblGrid>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pPr>
            <w:r>
              <w:rPr/>
              <w:t>Date: September 25, 2026</w:t>
            </w:r>
          </w:p>
        </w:tc>
        <w:tc>
          <w:tcPr>
            <w:tcW w:w="60" w:type="dxa"/>
            <w:tcBorders/>
            <w:vAlign w:val="center"/>
          </w:tcPr>
          <w:p>
            <w:pPr>
              <w:pStyle w:val="TableContents"/>
              <w:bidi w:val="0"/>
              <w:spacing w:before="0" w:after="283"/>
              <w:jc w:val="left"/>
              <w:rPr/>
            </w:pPr>
            <w:r>
              <w:rPr/>
              <w:t> </w:t>
            </w:r>
          </w:p>
        </w:tc>
        <w:tc>
          <w:tcPr>
            <w:tcW w:w="5500" w:type="dxa"/>
            <w:gridSpan w:val="3"/>
            <w:tcBorders/>
            <w:vAlign w:val="center"/>
          </w:tcPr>
          <w:p>
            <w:pPr>
              <w:pStyle w:val="TableContents"/>
              <w:bidi w:val="0"/>
              <w:spacing w:before="0" w:after="283"/>
              <w:jc w:val="left"/>
              <w:rPr/>
            </w:pPr>
            <w:r>
              <w:rPr/>
              <w:t>CORECIVIC, INC.</w:t>
            </w:r>
          </w:p>
        </w:tc>
      </w:tr>
      <w:tr>
        <w:trPr/>
        <w:tc>
          <w:tcPr>
            <w:tcW w:w="787" w:type="dxa"/>
            <w:tcBorders/>
            <w:vAlign w:val="center"/>
          </w:tcPr>
          <w:p>
            <w:pPr>
              <w:pStyle w:val="TableContents"/>
              <w:bidi w:val="0"/>
              <w:spacing w:before="0" w:after="283"/>
              <w:jc w:val="left"/>
              <w:rPr>
                <w:sz w:val="4"/>
                <w:szCs w:val="4"/>
              </w:rPr>
            </w:pPr>
            <w:r>
              <w:rPr>
                <w:sz w:val="4"/>
                <w:szCs w:val="4"/>
              </w:rPr>
            </w:r>
          </w:p>
        </w:tc>
        <w:tc>
          <w:tcPr>
            <w:tcW w:w="1721"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M. Garfinkle</w:t>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David M. Garfinkle</w:t>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0"/>
        <w:jc w:val="right"/>
        <w:rPr>
          <w:rFonts w:ascii="Times New Roman" w:hAnsi="Times New Roman"/>
          <w:b/>
          <w:sz w:val="20"/>
        </w:rPr>
      </w:pPr>
      <w:bookmarkStart w:id="2" w:name="d255504dex101.htm"/>
      <w:bookmarkStart w:id="3" w:name="ksd255504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TRANSITION AGREEMENT </w:t>
      </w:r>
    </w:p>
    <w:p>
      <w:pPr>
        <w:pStyle w:val="TextBody"/>
        <w:bidi w:val="0"/>
        <w:spacing w:before="240" w:after="0"/>
        <w:jc w:val="left"/>
        <w:rPr>
          <w:rFonts w:ascii="Times New Roman" w:hAnsi="Times New Roman"/>
          <w:sz w:val="20"/>
        </w:rPr>
      </w:pPr>
      <w:r>
        <w:rPr>
          <w:rFonts w:ascii="Times New Roman" w:hAnsi="Times New Roman"/>
          <w:b/>
          <w:sz w:val="20"/>
        </w:rPr>
        <w:t>THIS TRANSITION AGREEMENT</w:t>
      </w:r>
      <w:r>
        <w:rPr>
          <w:rFonts w:ascii="Times New Roman" w:hAnsi="Times New Roman"/>
          <w:sz w:val="20"/>
        </w:rPr>
        <w:t xml:space="preserve"> (this “Agreement”) is made and entered into as of the 24th day of September, 2026 (the “</w:t>
      </w:r>
      <w:r>
        <w:rPr>
          <w:rFonts w:ascii="Times New Roman" w:hAnsi="Times New Roman"/>
          <w:sz w:val="20"/>
          <w:u w:val="single"/>
        </w:rPr>
        <w:t>Effective Date</w:t>
      </w:r>
      <w:r>
        <w:rPr>
          <w:rFonts w:ascii="Times New Roman" w:hAnsi="Times New Roman"/>
          <w:sz w:val="20"/>
        </w:rPr>
        <w:t>”) by and between CoreCivic, Inc. (“</w:t>
      </w:r>
      <w:r>
        <w:rPr>
          <w:rFonts w:ascii="Times New Roman" w:hAnsi="Times New Roman"/>
          <w:sz w:val="20"/>
          <w:u w:val="single"/>
        </w:rPr>
        <w:t>Company</w:t>
      </w:r>
      <w:r>
        <w:rPr>
          <w:rFonts w:ascii="Times New Roman" w:hAnsi="Times New Roman"/>
          <w:sz w:val="20"/>
        </w:rPr>
        <w:t>”) and Patrick D. Swindle (“</w:t>
      </w:r>
      <w:r>
        <w:rPr>
          <w:rFonts w:ascii="Times New Roman" w:hAnsi="Times New Roman"/>
          <w:sz w:val="20"/>
          <w:u w:val="single"/>
        </w:rPr>
        <w:t>Executive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Executive is currently employed by the Company or one of its Affiliates or Subsidiaries (collectively with the Company, the “</w:t>
      </w:r>
      <w:r>
        <w:rPr>
          <w:rFonts w:ascii="Times New Roman" w:hAnsi="Times New Roman"/>
          <w:sz w:val="20"/>
          <w:u w:val="single"/>
        </w:rPr>
        <w:t>Company Group</w:t>
      </w:r>
      <w:r>
        <w:rPr>
          <w:rFonts w:ascii="Times New Roman" w:hAnsi="Times New Roman"/>
          <w:sz w:val="20"/>
        </w:rPr>
        <w:t>”), subject to that certain Amended and Restated Executive Severance and Change in Control Plan effective as of July 25, 2025 (the “</w:t>
      </w:r>
      <w:r>
        <w:rPr>
          <w:rFonts w:ascii="Times New Roman" w:hAnsi="Times New Roman"/>
          <w:sz w:val="20"/>
          <w:u w:val="single"/>
        </w:rPr>
        <w:t>Severance Plan</w:t>
      </w:r>
      <w:r>
        <w:rPr>
          <w:rFonts w:ascii="Times New Roman" w:hAnsi="Times New Roman"/>
          <w:sz w:val="20"/>
        </w:rPr>
        <w:t>”), and the accompanying Confidentiality, Intellectual Property Rights and Non-Competition Restrictive Covenants Agreement of even date therewith (the “</w:t>
      </w:r>
      <w:r>
        <w:rPr>
          <w:rFonts w:ascii="Times New Roman" w:hAnsi="Times New Roman"/>
          <w:sz w:val="20"/>
          <w:u w:val="single"/>
        </w:rPr>
        <w:t>RCA</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agrees to continue or otherwise cause to continue Executive’s employment with the Company Group throughout the Transition Period on a full-time basis and provide certain benefits thereafter pursuant to the terms set forth herein and, in return, Executive is willing to accept such employment, waive Executive’s rights under the Severance Plan, and provide the Company with a full release of claims and other good and valuable consideration in accordance with the terms and conditions hereof.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promises contained herein, and other good and valuable consideration, the parties covenant and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Transition Period</w:t>
      </w:r>
      <w:r>
        <w:rPr>
          <w:rFonts w:ascii="Times New Roman" w:hAnsi="Times New Roman"/>
          <w:sz w:val="20"/>
        </w:rPr>
        <w:t>. The Company hereby agrees to employ the Executive and the Executive hereby accepts employment with the Company to provide the duties set forth herein, beginning on the Effective Date and ending on September 24, 2028, unless this Agreement is earlier terminated as set forth herein (the “</w:t>
      </w:r>
      <w:r>
        <w:rPr>
          <w:rFonts w:ascii="Times New Roman" w:hAnsi="Times New Roman"/>
          <w:sz w:val="20"/>
          <w:u w:val="single"/>
        </w:rPr>
        <w:t>Transition Period</w:t>
      </w:r>
      <w:r>
        <w:rPr>
          <w:rFonts w:ascii="Times New Roman" w:hAnsi="Times New Roman"/>
          <w:sz w:val="20"/>
        </w:rPr>
        <w:t xml:space="preserve">”), upon the terms and subject to the conditions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Termination Events</w:t>
      </w:r>
      <w:r>
        <w:rPr>
          <w:rFonts w:ascii="Times New Roman" w:hAnsi="Times New Roman"/>
          <w:sz w:val="20"/>
        </w:rPr>
        <w:t xml:space="preserve">. This Agreement may be terminated under the following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may terminate this Agreement for Cause upon action of the Board of Directors of the Company (the “</w:t>
            </w:r>
            <w:r>
              <w:rPr>
                <w:rFonts w:ascii="Times New Roman" w:hAnsi="Times New Roman"/>
                <w:sz w:val="20"/>
                <w:u w:val="single"/>
              </w:rPr>
              <w:t>Board</w:t>
            </w:r>
            <w:r>
              <w:rPr>
                <w:rFonts w:ascii="Times New Roman" w:hAnsi="Times New Roman"/>
                <w:sz w:val="20"/>
              </w:rPr>
              <w:t xml:space="preserve">”) at any time and in the Board’s sole discretion, subject to any prior notice requirements set forth in the definition of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Executive may voluntarily terminate this Agreement for any reason or no reason, upon ninety (90) days prior written notice to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may mutually agree to terminate this Agreement without Cause on such date as may be mutually agreed;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This Agreement shall terminate in the event of Executive’s death or Disability. As used herein, “</w:t>
            </w:r>
            <w:r>
              <w:rPr>
                <w:rFonts w:ascii="Times New Roman" w:hAnsi="Times New Roman"/>
                <w:sz w:val="20"/>
                <w:u w:val="single"/>
              </w:rPr>
              <w:t>Disability</w:t>
            </w:r>
            <w:r>
              <w:rPr>
                <w:rFonts w:ascii="Times New Roman" w:hAnsi="Times New Roman"/>
                <w:sz w:val="20"/>
              </w:rPr>
              <w:t xml:space="preserve">” means the inability of the Executive, as a result of physical or mental illness or incapacity, to substantially perform the Executive’s duties pursuant to this Agreement for a period of one hundred eighty (180) days during any twelve-month period. </w:t>
            </w:r>
          </w:p>
        </w:tc>
      </w:tr>
    </w:tbl>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Effect of Termination</w:t>
      </w:r>
      <w:r>
        <w:rPr>
          <w:rFonts w:ascii="Times New Roman" w:hAnsi="Times New Roman"/>
          <w:sz w:val="20"/>
        </w:rPr>
        <w:t xml:space="preserve">. In the event of a termination of this Agreement pursuant to </w:t>
      </w:r>
      <w:r>
        <w:rPr>
          <w:rFonts w:ascii="Times New Roman" w:hAnsi="Times New Roman"/>
          <w:sz w:val="20"/>
          <w:u w:val="single"/>
        </w:rPr>
        <w:t>Section 2(a)(i)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Executive shall not be entitled to the rights and payments set forth in this Agreement other than the Accrued Amounts, and the Company shall not have any further obligations following the Termination Date other than the payment of the Accrued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Duties</w:t>
      </w:r>
      <w:r>
        <w:rPr>
          <w:rFonts w:ascii="Times New Roman" w:hAnsi="Times New Roman"/>
          <w:sz w:val="20"/>
        </w:rPr>
        <w:t>. During the Transition Period, Executive will serve as a Special Advisor to the Chief Executive Officer (the “</w:t>
      </w:r>
      <w:r>
        <w:rPr>
          <w:rFonts w:ascii="Times New Roman" w:hAnsi="Times New Roman"/>
          <w:sz w:val="20"/>
          <w:u w:val="single"/>
        </w:rPr>
        <w:t>CEO</w:t>
      </w:r>
      <w:r>
        <w:rPr>
          <w:rFonts w:ascii="Times New Roman" w:hAnsi="Times New Roman"/>
          <w:sz w:val="20"/>
        </w:rPr>
        <w:t xml:space="preserve">”) and Chairman of the Board of Directors, on a full-time basis, and shall perform and discharge faithfully the duties and responsibilities which may be assigned by the CEO or the Board to the Executive from time to time in connection with the conduct of the Company Group’s and Board’s business, which shall include, without limitation, providing expertise, insight and guidance in support of the new Chief Executive Officer and related assistance in furtherance of a smooth transition of the Company’s leadership. The Executive shall report to the Board and the CEO. The Executive hereby agrees that he shall at all times comply with and abide by all terms and conditions set forth in this Agreement and all applicable work policies, procedures and rules of the Company. The Executive also agrees that he shall comply with all federal, state and local statutes, regulations and public ordinances governing the performance of his duties hereunder. The Company will provide Executive with access to Company premises and administrative support consistent with past practice. During the Transition Period, the Company will provide the Executive with access and technical and administrative support reasonably sufficient to allow the Executive to perform his duties hereunder, which is anticipated to include (i) computer hardware of the type currently used by the Executive; (ii) a Company email account; (iii) access to an executive administrative assistant for purposes of scheduling Company-related matters; (iv) IT support for the Executive’s hardware and software, including with respect the Executive’s personal devices to the extent they are used for Company matters; (v) mail forwarding services; and (v) key-card access to Company facilities.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Compensation &amp; Benefits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Benefits</w:t>
      </w:r>
      <w:r>
        <w:rPr>
          <w:rFonts w:ascii="Times New Roman" w:hAnsi="Times New Roman"/>
          <w:sz w:val="20"/>
        </w:rPr>
        <w:t>. During the Transition Period, Executive will continue to be a benefits-eligible employee in plans that are applicable generally to senior executive officers of the Company (“</w:t>
      </w:r>
      <w:r>
        <w:rPr>
          <w:rFonts w:ascii="Times New Roman" w:hAnsi="Times New Roman"/>
          <w:sz w:val="20"/>
          <w:u w:val="single"/>
        </w:rPr>
        <w:t>Peer Executives</w:t>
      </w:r>
      <w:r>
        <w:rPr>
          <w:rFonts w:ascii="Times New Roman" w:hAnsi="Times New Roman"/>
          <w:sz w:val="20"/>
        </w:rPr>
        <w:t xml:space="preserve">”), subject to the terms of the applicable benefit plan or arrangement.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Compensation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Base Salary</w:t>
            </w:r>
            <w:r>
              <w:rPr>
                <w:rFonts w:ascii="Times New Roman" w:hAnsi="Times New Roman"/>
                <w:sz w:val="20"/>
              </w:rPr>
              <w:t>. During the first twelve-month period of the Transition Period, Executive will continue to receive Executive’s current base salary as in effect as of the Effective Date (the “</w:t>
            </w:r>
            <w:r>
              <w:rPr>
                <w:rFonts w:ascii="Times New Roman" w:hAnsi="Times New Roman"/>
                <w:sz w:val="20"/>
                <w:u w:val="single"/>
              </w:rPr>
              <w:t>Base Salary</w:t>
            </w:r>
            <w:r>
              <w:rPr>
                <w:rFonts w:ascii="Times New Roman" w:hAnsi="Times New Roman"/>
                <w:sz w:val="20"/>
              </w:rPr>
              <w:t xml:space="preserve">”), less all applicable deductions, taxes and withholdings. During the second twelve-month period of the Transition Period, Executive shall receive fifty (50%) of the Base Salary, less all applicable deductions, taxes and withholdings. The compensation described in the preceding sentences of this </w:t>
            </w:r>
            <w:r>
              <w:rPr>
                <w:rFonts w:ascii="Times New Roman" w:hAnsi="Times New Roman"/>
                <w:sz w:val="20"/>
                <w:u w:val="single"/>
              </w:rPr>
              <w:t>Section 4(b)(i)</w:t>
            </w:r>
            <w:r>
              <w:rPr>
                <w:rFonts w:ascii="Times New Roman" w:hAnsi="Times New Roman"/>
                <w:sz w:val="20"/>
              </w:rPr>
              <w:t xml:space="preserve"> shall be paid in accordance with the Company’s normal payroll practices. Subject to Executive’s execution and non-revocation of a release of claims substantially in the form of </w:t>
            </w:r>
            <w:r>
              <w:rPr>
                <w:rFonts w:ascii="Times New Roman" w:hAnsi="Times New Roman"/>
                <w:b/>
                <w:sz w:val="20"/>
                <w:u w:val="single"/>
              </w:rPr>
              <w:t>Exhibit A</w:t>
            </w:r>
            <w:r>
              <w:rPr>
                <w:rFonts w:ascii="Times New Roman" w:hAnsi="Times New Roman"/>
                <w:sz w:val="20"/>
              </w:rPr>
              <w:t xml:space="preserve"> hereto (the “</w:t>
            </w:r>
            <w:r>
              <w:rPr>
                <w:rFonts w:ascii="Times New Roman" w:hAnsi="Times New Roman"/>
                <w:sz w:val="20"/>
                <w:u w:val="single"/>
              </w:rPr>
              <w:t>Release</w:t>
            </w:r>
            <w:r>
              <w:rPr>
                <w:rFonts w:ascii="Times New Roman" w:hAnsi="Times New Roman"/>
                <w:sz w:val="20"/>
              </w:rPr>
              <w:t xml:space="preserve">”) promptly following the expiration of the Transition Period, Executive will be entitled to receive a lump sum amount in cash equal to $225,000, which represents three (3) months’ of Executive’s Base Salary (less all applicable deductions, taxes and withholdings).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Cash Bonus</w:t>
            </w:r>
            <w:r>
              <w:rPr>
                <w:rFonts w:ascii="Times New Roman" w:hAnsi="Times New Roman"/>
                <w:sz w:val="20"/>
              </w:rPr>
              <w:t xml:space="preserve">. Subject to Executive’s execution and non-revocation of a Release, Executive will be entitled to receive a lump sum amount in cash equal to $2,293,270 (less all applicable deductions, taxes and withholdings, and subject to any applicable deferral elections). Executive shall not be entitled to receive any further annual cash bonuses during the Transition Period or thereafter.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Existing Equity Awards</w:t>
            </w:r>
            <w:r>
              <w:rPr>
                <w:rFonts w:ascii="Times New Roman" w:hAnsi="Times New Roman"/>
                <w:sz w:val="20"/>
              </w:rPr>
              <w:t xml:space="preserve">. Subject to Executive’s execution and non-revocation of the Release, Executive shall forfeit all of Executive’s existing unvested equity awards under the Company’s Amended and Restated 2020 Stock Incentive Plan, as listed on </w:t>
            </w:r>
            <w:r>
              <w:rPr>
                <w:rFonts w:ascii="Times New Roman" w:hAnsi="Times New Roman"/>
                <w:b/>
                <w:sz w:val="20"/>
                <w:u w:val="single"/>
              </w:rPr>
              <w:t>Exhibit B</w:t>
            </w:r>
            <w:r>
              <w:rPr>
                <w:rFonts w:ascii="Times New Roman" w:hAnsi="Times New Roman"/>
                <w:sz w:val="20"/>
              </w:rPr>
              <w:t xml:space="preserve"> hereto, in exchange for a lump sum amount in cash equal to $8,059,609 (less all applicable deductions, taxes and withholdings, and subject to any applicable deferral elections).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New Equity</w:t>
            </w:r>
            <w:r>
              <w:rPr>
                <w:rFonts w:ascii="Times New Roman" w:hAnsi="Times New Roman"/>
                <w:sz w:val="20"/>
              </w:rPr>
              <w:t xml:space="preserve">. Executive will not be entitled to and will not receive any new equity awards during the Transition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Reimbursable Business Expenses</w:t>
            </w:r>
            <w:r>
              <w:rPr>
                <w:rFonts w:ascii="Times New Roman" w:hAnsi="Times New Roman"/>
                <w:sz w:val="20"/>
              </w:rPr>
              <w:t xml:space="preserve">. The Company shall reimburse the Executive for all reasonable business expenses incurred by the Executive during the Transition Period in the performance of the Executive’s services under this Agreement. All expenses eligible for reimbursements described in this Agreement must be incurred by the Executive during the Transition Period to be eligible for reimbursement. The Executive shall follow the Company’s expense procedures that generally apply to Peer Executives in accordance with the policies, practices and procedures of the Company to the extent applicable generally to Peer Executives.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Reimbursable Other Expenses</w:t>
            </w:r>
            <w:r>
              <w:rPr>
                <w:rFonts w:ascii="Times New Roman" w:hAnsi="Times New Roman"/>
                <w:sz w:val="20"/>
              </w:rPr>
              <w:t xml:space="preserve">. During the Transition Period, the Executive shall receive reasonable tax preparation assistance and legal assistance related to Executive’s transition of responsibility to the CEO at the Company’s cost during the Transition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Release</w:t>
            </w:r>
            <w:r>
              <w:rPr>
                <w:rFonts w:ascii="Times New Roman" w:hAnsi="Times New Roman"/>
                <w:sz w:val="20"/>
              </w:rPr>
              <w:t xml:space="preserve">. The payment in </w:t>
            </w:r>
            <w:r>
              <w:rPr>
                <w:rFonts w:ascii="Times New Roman" w:hAnsi="Times New Roman"/>
                <w:sz w:val="20"/>
                <w:u w:val="single"/>
              </w:rPr>
              <w:t>Section 4(b)(i)</w:t>
            </w:r>
            <w:r>
              <w:rPr>
                <w:rFonts w:ascii="Times New Roman" w:hAnsi="Times New Roman"/>
                <w:sz w:val="20"/>
              </w:rPr>
              <w:t xml:space="preserve"> and the payments in </w:t>
            </w:r>
            <w:r>
              <w:rPr>
                <w:rFonts w:ascii="Times New Roman" w:hAnsi="Times New Roman"/>
                <w:sz w:val="20"/>
                <w:u w:val="single"/>
              </w:rPr>
              <w:t>Section 4(b)(ii)</w:t>
            </w:r>
            <w:r>
              <w:rPr>
                <w:rFonts w:ascii="Times New Roman" w:hAnsi="Times New Roman"/>
                <w:sz w:val="20"/>
              </w:rPr>
              <w:t xml:space="preserve"> and </w:t>
            </w:r>
            <w:r>
              <w:rPr>
                <w:rFonts w:ascii="Times New Roman" w:hAnsi="Times New Roman"/>
                <w:sz w:val="20"/>
                <w:u w:val="single"/>
              </w:rPr>
              <w:t>Section 4(b)(iii)</w:t>
            </w:r>
            <w:r>
              <w:rPr>
                <w:rFonts w:ascii="Times New Roman" w:hAnsi="Times New Roman"/>
                <w:sz w:val="20"/>
              </w:rPr>
              <w:t xml:space="preserve"> shall each be conditioned upon execution of a Release. Executive shall execute a Release in exchange for the payments in </w:t>
            </w:r>
            <w:r>
              <w:rPr>
                <w:rFonts w:ascii="Times New Roman" w:hAnsi="Times New Roman"/>
                <w:sz w:val="20"/>
                <w:u w:val="single"/>
              </w:rPr>
              <w:t>Section 4(b)(ii)</w:t>
            </w:r>
            <w:r>
              <w:rPr>
                <w:rFonts w:ascii="Times New Roman" w:hAnsi="Times New Roman"/>
                <w:sz w:val="20"/>
              </w:rPr>
              <w:t xml:space="preserve"> and </w:t>
            </w:r>
            <w:r>
              <w:rPr>
                <w:rFonts w:ascii="Times New Roman" w:hAnsi="Times New Roman"/>
                <w:sz w:val="20"/>
                <w:u w:val="single"/>
              </w:rPr>
              <w:t>Section 4(b)(iii)</w:t>
            </w:r>
            <w:r>
              <w:rPr>
                <w:rFonts w:ascii="Times New Roman" w:hAnsi="Times New Roman"/>
                <w:sz w:val="20"/>
              </w:rPr>
              <w:t xml:space="preserve"> concurrently with the execution of this Agreement, and shall subsequently execute a Release at the end of the Transition Period in exchange for the payment in </w:t>
            </w:r>
            <w:r>
              <w:rPr>
                <w:rFonts w:ascii="Times New Roman" w:hAnsi="Times New Roman"/>
                <w:sz w:val="20"/>
                <w:u w:val="single"/>
              </w:rPr>
              <w:t>Section 4(b)(i)</w:t>
            </w:r>
            <w:r>
              <w:rPr>
                <w:rFonts w:ascii="Times New Roman" w:hAnsi="Times New Roman"/>
                <w:sz w:val="20"/>
              </w:rPr>
              <w:t xml:space="preserve">. If this Agreement terminates as provided in </w:t>
            </w:r>
            <w:r>
              <w:rPr>
                <w:rFonts w:ascii="Times New Roman" w:hAnsi="Times New Roman"/>
                <w:sz w:val="20"/>
                <w:u w:val="single"/>
              </w:rPr>
              <w:t>Section 2(a)(iii)</w:t>
            </w:r>
            <w:r>
              <w:rPr>
                <w:rFonts w:ascii="Times New Roman" w:hAnsi="Times New Roman"/>
                <w:sz w:val="20"/>
              </w:rPr>
              <w:t xml:space="preserve"> or </w:t>
            </w:r>
            <w:r>
              <w:rPr>
                <w:rFonts w:ascii="Times New Roman" w:hAnsi="Times New Roman"/>
                <w:sz w:val="20"/>
                <w:u w:val="single"/>
              </w:rPr>
              <w:t>(iv)</w:t>
            </w:r>
            <w:r>
              <w:rPr>
                <w:rFonts w:ascii="Times New Roman" w:hAnsi="Times New Roman"/>
                <w:sz w:val="20"/>
              </w:rPr>
              <w:t xml:space="preserve">, Executive shall nevertheless be entitled to the amounts set forth in this </w:t>
            </w:r>
            <w:r>
              <w:rPr>
                <w:rFonts w:ascii="Times New Roman" w:hAnsi="Times New Roman"/>
                <w:sz w:val="20"/>
                <w:u w:val="single"/>
              </w:rPr>
              <w:t>Section 4(b)</w:t>
            </w:r>
            <w:r>
              <w:rPr>
                <w:rFonts w:ascii="Times New Roman" w:hAnsi="Times New Roman"/>
                <w:sz w:val="20"/>
              </w:rPr>
              <w:t xml:space="preserve">, subject to the execution and non-revocation of a Release by either Executive or Executive’s estate or legal representative in the case of Executive’s death or Disability.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Resignation of All Other Positions</w:t>
      </w:r>
      <w:r>
        <w:rPr>
          <w:rFonts w:ascii="Times New Roman" w:hAnsi="Times New Roman"/>
          <w:sz w:val="20"/>
        </w:rPr>
        <w:t xml:space="preserve">. Effective as of the Effective Date, Executive automatically and without the necessity of further action is hereby deemed to have resigned from all positions that Executive holds as an officer or member of the Board (or substantially similar governing body) of the Company and each of its affiliates.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Severance Plan Waiver</w:t>
      </w:r>
      <w:r>
        <w:rPr>
          <w:rFonts w:ascii="Times New Roman" w:hAnsi="Times New Roman"/>
          <w:sz w:val="20"/>
        </w:rPr>
        <w:t xml:space="preserve">. By accepting the employment offered under this Agreement, Executive explicitly acknowledges that Executive is not entitled to any rights or payments under the Severance Plan (including any predecessor plan thereto), and Executive hereby explicitly waives and releases any rights or payments related thereto. Executive shall only be entitled to the rights and payments set forth in this Agreement upon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Restrictive Covenant Agreement</w:t>
      </w:r>
      <w:r>
        <w:rPr>
          <w:rFonts w:ascii="Times New Roman" w:hAnsi="Times New Roman"/>
          <w:sz w:val="20"/>
        </w:rPr>
        <w:t xml:space="preserve">. Executive acknowledges and agrees that the payments, benefits and consideration provided hereunder constitute ongoing consideration that is adequate and sufficient consideration to support the covenants set forth in the RCA, and Executive hereby agrees that Executive shall be subject to the covenants set forth in the RCA (including the post-employment covenants which shall commence after Executive’s employment under this Agreement ends) and such covenants shall be incorporated by reference into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Company Property</w:t>
      </w:r>
      <w:r>
        <w:rPr>
          <w:rFonts w:ascii="Times New Roman" w:hAnsi="Times New Roman"/>
          <w:sz w:val="20"/>
        </w:rPr>
        <w:t xml:space="preserve">. Executive agrees to return all Company Group property that Executive reasonably knows to be in Executive’s possession or control no later than the Termination Date, or earlier if requested by the Company or any member of the Company Group, including without limitation, all Company Group log-ins and passwords. All records, files, lists, including computer generated lists, data, drawings, documents, equipment, data, and similar items relating to the Company Group’s business that Executive generated or received from the Company Group remain the Company Group’s sole and exclusive property. Executive represents that Executive has not copied or caused to be copied, printed out, or caused to be printed out any documents or other material originating with or belonging to the Company Group except for in the scope of Executive’s duties on behalf of the Company Group. Executive additionally represents that, following the Termination Date, Executive will not retain in Executive’s possession any such documents or other materials belonging to the Company Group.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 Date</w:t>
      </w:r>
      <w:r>
        <w:rPr>
          <w:rFonts w:ascii="Times New Roman" w:hAnsi="Times New Roman"/>
          <w:sz w:val="20"/>
        </w:rPr>
        <w:t xml:space="preserve">. Upon the Termination Date, Executive shall not be entitled to any further payments from the Company Group, nor shall the Company Group have any further liability or obligation to Executive, except for the payments referenced herein.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Release of Claims at Termination</w:t>
      </w:r>
      <w:r>
        <w:rPr>
          <w:rFonts w:ascii="Times New Roman" w:hAnsi="Times New Roman"/>
          <w:sz w:val="20"/>
        </w:rPr>
        <w:t xml:space="preserve">. Executive acknowledges that it is Executive’s intention and that of the Company to resolve any and all issues between them, including any possible issue that could arise between the Effective Date of this Agreement and the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Additional Limitations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Anything in this Agreement to the contrary notwithstanding, in the event that the amount of any compensation, payment or distribution to or for the benefit of the Executive, whether paid or payable or distributed or distributable pursuant to the terms of this Agreement or otherwise in connection with any change in the ownership or effective control of the Company (or in the ownership of a substantial portion of the assets thereof) within the meaning of Section 280G of the Internal Revenue Code of 1986, as amended (the “</w:t>
      </w:r>
      <w:r>
        <w:rPr>
          <w:rFonts w:ascii="Times New Roman" w:hAnsi="Times New Roman"/>
          <w:sz w:val="20"/>
          <w:u w:val="single"/>
        </w:rPr>
        <w:t>Code</w:t>
      </w:r>
      <w:r>
        <w:rPr>
          <w:rFonts w:ascii="Times New Roman" w:hAnsi="Times New Roman"/>
          <w:sz w:val="20"/>
        </w:rPr>
        <w:t>”) and the applicable regulations thereunder (together, the “</w:t>
      </w:r>
      <w:r>
        <w:rPr>
          <w:rFonts w:ascii="Times New Roman" w:hAnsi="Times New Roman"/>
          <w:sz w:val="20"/>
          <w:u w:val="single"/>
        </w:rPr>
        <w:t>Parachute Provisions</w:t>
      </w:r>
      <w:r>
        <w:rPr>
          <w:rFonts w:ascii="Times New Roman" w:hAnsi="Times New Roman"/>
          <w:sz w:val="20"/>
        </w:rPr>
        <w:t>”), calculated in a manner consistent with the Parachute Provisions (any such payments, the “</w:t>
      </w:r>
      <w:r>
        <w:rPr>
          <w:rFonts w:ascii="Times New Roman" w:hAnsi="Times New Roman"/>
          <w:sz w:val="20"/>
          <w:u w:val="single"/>
        </w:rPr>
        <w:t>Compensatory Payments</w:t>
      </w:r>
      <w:r>
        <w:rPr>
          <w:rFonts w:ascii="Times New Roman" w:hAnsi="Times New Roman"/>
          <w:sz w:val="20"/>
        </w:rPr>
        <w:t>”), would be subject to the excise tax imposed by Section 4999 of the Code, (or any successor provision) (the “</w:t>
      </w:r>
      <w:r>
        <w:rPr>
          <w:rFonts w:ascii="Times New Roman" w:hAnsi="Times New Roman"/>
          <w:sz w:val="20"/>
          <w:u w:val="single"/>
        </w:rPr>
        <w:t>Excise Tax</w:t>
      </w:r>
      <w:r>
        <w:rPr>
          <w:rFonts w:ascii="Times New Roman" w:hAnsi="Times New Roman"/>
          <w:sz w:val="20"/>
        </w:rPr>
        <w:t xml:space="preserve">”), then the Compensatory Payments shall be reduced so that the sum of all of the Compensatory Payments shall be one dollar ($1.00) less than the amount at which the Executive becomes subject to such Excise Tax; </w:t>
      </w:r>
      <w:r>
        <w:rPr>
          <w:rFonts w:ascii="Times New Roman" w:hAnsi="Times New Roman"/>
          <w:sz w:val="20"/>
          <w:u w:val="single"/>
        </w:rPr>
        <w:t>provided</w:t>
      </w:r>
      <w:r>
        <w:rPr>
          <w:rFonts w:ascii="Times New Roman" w:hAnsi="Times New Roman"/>
          <w:sz w:val="20"/>
        </w:rPr>
        <w:t xml:space="preserve"> that such reduction shall occur only if, as a result of such reduction, Executive would receive a higher After Tax Amount (as defined below) than the Executive would receive if the Compensatory Payments were not subject to such reduction. In such event, the Compensatory Payments shall be reduced in the following order, in each case, in reverse chronological order beginning with the Compensatory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w:t>
      </w:r>
      <w:r>
        <w:rPr>
          <w:rFonts w:ascii="Times New Roman" w:hAnsi="Times New Roman"/>
          <w:sz w:val="20"/>
          <w:u w:val="single"/>
        </w:rPr>
        <w:t>provided</w:t>
      </w:r>
      <w:r>
        <w:rPr>
          <w:rFonts w:ascii="Times New Roman" w:hAnsi="Times New Roman"/>
          <w:sz w:val="20"/>
        </w:rPr>
        <w:t xml:space="preserve"> that in the case of all the foregoing Compensatory Payments all amounts or payments that are not subject to calculation under Treas. Reg. §1.280G-1, Q&amp;A-24(b) or (c) shall be reduced before any amounts that are subject to calculation under Treas. Reg. §1.280G-l, Q&amp;A-24(b) or (c), and in accordance with Section 409A of the Code. </w:t>
      </w:r>
    </w:p>
    <w:p>
      <w:pPr>
        <w:pStyle w:val="TextBody"/>
        <w:bidi w:val="0"/>
        <w:spacing w:before="120" w:after="0"/>
        <w:jc w:val="left"/>
        <w:rPr>
          <w:rFonts w:ascii="Times New Roman" w:hAnsi="Times New Roman"/>
          <w:sz w:val="20"/>
        </w:rPr>
      </w:pPr>
      <w:r>
        <w:rPr>
          <w:rFonts w:ascii="Times New Roman" w:hAnsi="Times New Roman"/>
          <w:sz w:val="20"/>
        </w:rPr>
        <w:t>(b) The “</w:t>
      </w:r>
      <w:r>
        <w:rPr>
          <w:rFonts w:ascii="Times New Roman" w:hAnsi="Times New Roman"/>
          <w:sz w:val="20"/>
          <w:u w:val="single"/>
        </w:rPr>
        <w:t>After Tax Amount</w:t>
      </w:r>
      <w:r>
        <w:rPr>
          <w:rFonts w:ascii="Times New Roman" w:hAnsi="Times New Roman"/>
          <w:sz w:val="20"/>
        </w:rPr>
        <w:t xml:space="preserve">” means the amount of the Compensatory Payments less all U.S. federal, state, and local income, excise and employment taxes imposed on the Executive as a result of the Executive’s receipt of the Compensatory Payments. For purposes of determining the After Tax Amount, the Executive shall be deemed to pay U.S. federal income taxes at the highest marginal rate of U.S.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determination as to whether a reduction in the Compensatory Payments shall be made pursuant to </w:t>
      </w:r>
      <w:r>
        <w:rPr>
          <w:rFonts w:ascii="Times New Roman" w:hAnsi="Times New Roman"/>
          <w:sz w:val="20"/>
          <w:u w:val="single"/>
        </w:rPr>
        <w:t>Section 11(a)</w:t>
      </w:r>
      <w:r>
        <w:rPr>
          <w:rFonts w:ascii="Times New Roman" w:hAnsi="Times New Roman"/>
          <w:sz w:val="20"/>
        </w:rPr>
        <w:t xml:space="preserve"> shall be made by an accounting or law firm selected by the Company having expertise with matters under the Parachute Provisions (the “</w:t>
      </w:r>
      <w:r>
        <w:rPr>
          <w:rFonts w:ascii="Times New Roman" w:hAnsi="Times New Roman"/>
          <w:sz w:val="20"/>
          <w:u w:val="single"/>
        </w:rPr>
        <w:t>Tax Firm</w:t>
      </w:r>
      <w:r>
        <w:rPr>
          <w:rFonts w:ascii="Times New Roman" w:hAnsi="Times New Roman"/>
          <w:sz w:val="20"/>
        </w:rPr>
        <w:t xml:space="preserve">”), which shall provide detailed supporting calculations both to the Company and the Executive within fifteen (15) business days of the Termination Date, if applicable, or at such earlier time as is reasonably requested by the Company or the Executive. Any determination by the Tax Firm shall be binding upon the Company and the Executive.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Section 409A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Notwithstanding anything to the contrary in this Agreement, if the Company determines in accordance with its “specified employee” procedures (i) that on the date Executive’s termination of employment with the Company or at such other time that the Company determines to be relevant, the Executive is a “specified employee” (as such term is defined under Treasury Regulation 1.409A-1(i)(1)) of the Company and (ii) that any payments to be provided to the Executive pursuant to this Agreement constitute “deferred compensation” (as defined under Treasury Regulation 1.409A01(b)(1)), after giving effect to available exemptions under Section 409A of the Code; then such payments shall be delayed until the date that is six months after the date of Executive’s termination of employment with the Company, or, if earlier, the Executive’s death (the “</w:t>
      </w:r>
      <w:r>
        <w:rPr>
          <w:rFonts w:ascii="Times New Roman" w:hAnsi="Times New Roman"/>
          <w:sz w:val="20"/>
          <w:u w:val="single"/>
        </w:rPr>
        <w:t>Payment Delay Period</w:t>
      </w:r>
      <w:r>
        <w:rPr>
          <w:rFonts w:ascii="Times New Roman" w:hAnsi="Times New Roman"/>
          <w:sz w:val="20"/>
        </w:rPr>
        <w:t xml:space="preserve">”). Any payments delayed pursuant to this </w:t>
      </w:r>
      <w:r>
        <w:rPr>
          <w:rFonts w:ascii="Times New Roman" w:hAnsi="Times New Roman"/>
          <w:sz w:val="20"/>
          <w:u w:val="single"/>
        </w:rPr>
        <w:t>Section 12(a)</w:t>
      </w:r>
      <w:r>
        <w:rPr>
          <w:rFonts w:ascii="Times New Roman" w:hAnsi="Times New Roman"/>
          <w:sz w:val="20"/>
        </w:rPr>
        <w:t xml:space="preserve"> shall be made in a lump sum on the first day of the seventh month following the Executive’s termination of employment or, if earlier, the Executive’s death. </w:t>
      </w:r>
    </w:p>
    <w:p>
      <w:pPr>
        <w:pStyle w:val="TextBody"/>
        <w:bidi w:val="0"/>
        <w:spacing w:before="120" w:after="0"/>
        <w:jc w:val="left"/>
        <w:rPr>
          <w:rFonts w:ascii="Times New Roman" w:hAnsi="Times New Roman"/>
          <w:sz w:val="20"/>
        </w:rPr>
      </w:pPr>
      <w:r>
        <w:rPr>
          <w:rFonts w:ascii="Times New Roman" w:hAnsi="Times New Roman"/>
          <w:sz w:val="20"/>
        </w:rPr>
        <w:t xml:space="preserve">(b) It is intended that this Agreement will satisfy, to the greatest extent possible, the exemptions from the application of Section 409A of the Code, including those provided under Treasury Regulations 1.409A-1(b)(4), 1.409A-1(b)(9)(iii), and 1.409A-1(b)(9)(v). Furthermore, it is intended that to the extent the Agreement is not exempt from Section 409A of the Code, this Agreement will be administered in accordance with Section 409A of the Code. To the extent that any provision of this Agreement is ambiguous as to its compliance with Section 409A of the Code, the provision shall be read in such a manner so as not to be part of this Agreement or in compliance with Section 409A of the Code so that all payments hereunder are either exempt or comply with Section 409A of the Code. Each installment of the payments provided for pursuant to this Agreement is intended to constitute a separate payment for purposes of applying Section 409A, any exemptions thereto and Treasury Regulation Section 1.409A-2(b)(2). </w:t>
      </w:r>
    </w:p>
    <w:p>
      <w:pPr>
        <w:pStyle w:val="TextBody"/>
        <w:bidi w:val="0"/>
        <w:spacing w:before="120" w:after="0"/>
        <w:jc w:val="left"/>
        <w:rPr>
          <w:rFonts w:ascii="Times New Roman" w:hAnsi="Times New Roman"/>
          <w:sz w:val="20"/>
        </w:rPr>
      </w:pPr>
      <w:r>
        <w:rPr>
          <w:rFonts w:ascii="Times New Roman" w:hAnsi="Times New Roman"/>
          <w:sz w:val="20"/>
        </w:rPr>
        <w:t xml:space="preserve">(c) 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and for purposes of any such provision of this Agreement, references to a “separation,” “termination,” “termination of employment,” or like terms shall mean the Executive’s “separation from service.” The determination of whether and when a “separation from service” has occurred shall be made in accordance with the presumptions set forth in Treasury Regulation Section 1.409A-1(h).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that any expenses, reimbursement, fringe benefit or other, similar plan or arrangement in which Executive participates during the term of Executive’s employment under this Agreement or thereafter provides for a “deferral of compensation” within the meaning of Section 409A, the such amount shall be reimbursed in accordance with Section 1.409A-3(i)(1)(iv) of the Treasury Regulations, including (i) the amount eligible for reimbursement or payment under such plan or arrangement in one calendar year may not affect the amount eligible for reimbursement or payment in any other calendar year (except that a plan providing medical or health benefits may impose a generally applicable limit on the amount that may be reimbursed or paid), (ii) subject to any shorter time periods provided herein or the applicable plans or arrangements, any reimbursement or payment of an expense under such plan or arrangement must be made on or before the last day of the calendar year following the calendar year in which the expense was incurred, and (iii) the right to any reimbursement or in-kind benefit is not subject to liquidation or exchange for another benefit.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Notwithstanding any other provision to the contrary, in no event shall any payment under this Agreement that constitutes “deferred compensation” for purposes of Section 409A of the Code and the Treasury Regulations promulgated thereunder be subject to offset by any other amount unless otherwise permitted by Section 409A of the Code. </w:t>
      </w:r>
    </w:p>
    <w:p>
      <w:pPr>
        <w:pStyle w:val="TextBody"/>
        <w:bidi w:val="0"/>
        <w:spacing w:before="120" w:after="0"/>
        <w:jc w:val="left"/>
        <w:rPr>
          <w:rFonts w:ascii="Times New Roman" w:hAnsi="Times New Roman"/>
          <w:sz w:val="20"/>
        </w:rPr>
      </w:pPr>
      <w:r>
        <w:rPr>
          <w:rFonts w:ascii="Times New Roman" w:hAnsi="Times New Roman"/>
          <w:sz w:val="20"/>
        </w:rPr>
        <w:t xml:space="preserve">(f) For the avoidance of doubt, any payment due under this Agreement within a period following Executive’s termination of employment or other event, shall be made on a date during such period as determined by the Company in its sole discretion, and in accordance with Section 409A. Additionally, if a payment hereunder is conditioned upon the effectiveness of a Release and if the period during which the Release is to become effective begins and ends in separate calendar years, then, the commencement of such payments shall be made in the later year in all instances. </w:t>
      </w:r>
    </w:p>
    <w:p>
      <w:pPr>
        <w:pStyle w:val="TextBody"/>
        <w:bidi w:val="0"/>
        <w:spacing w:before="120" w:after="0"/>
        <w:jc w:val="left"/>
        <w:rPr>
          <w:rFonts w:ascii="Times New Roman" w:hAnsi="Times New Roman"/>
          <w:sz w:val="20"/>
        </w:rPr>
      </w:pPr>
      <w:r>
        <w:rPr>
          <w:rFonts w:ascii="Times New Roman" w:hAnsi="Times New Roman"/>
          <w:sz w:val="20"/>
        </w:rPr>
        <w:t xml:space="preserve">(g) The Company Group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Withholding</w:t>
      </w:r>
      <w:r>
        <w:rPr>
          <w:rFonts w:ascii="Times New Roman" w:hAnsi="Times New Roman"/>
          <w:sz w:val="20"/>
        </w:rPr>
        <w:t xml:space="preserve">. All payments made by the Company Group to the Executive under this Agreement shall be made net of any tax or other amounts required to be withheld by the Company Group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Clawback</w:t>
      </w:r>
      <w:r>
        <w:rPr>
          <w:rFonts w:ascii="Times New Roman" w:hAnsi="Times New Roman"/>
          <w:sz w:val="20"/>
        </w:rPr>
        <w:t xml:space="preserve">. Any amounts payable under the Agreement are subject to any policy (whether in existence as of the Effective Date or later adopted) established by the Company Group providing for clawback or recovery of amounts that were paid to the Executive. The Company Group will make any determination for clawback or recovery in its sole discretion and in accordance with any applicable law or regulation.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Governing Law</w:t>
      </w:r>
      <w:r>
        <w:rPr>
          <w:rFonts w:ascii="Times New Roman" w:hAnsi="Times New Roman"/>
          <w:sz w:val="20"/>
        </w:rPr>
        <w:t xml:space="preserve">. This Agreement is to be governed by the laws of the State of Tennessee. Any action brought by either party hereto regarding this Agreement shall be brought and maintained in the federal or state courts sitting in Davidson County, Tennessee. Each party hereto waives all rights to trial by jury in any action, proceeding or counterclaim arising out of or relating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Successors and Assigns</w:t>
      </w:r>
      <w:r>
        <w:rPr>
          <w:rFonts w:ascii="Times New Roman" w:hAnsi="Times New Roman"/>
          <w:sz w:val="20"/>
        </w:rPr>
        <w:t xml:space="preserve">. The provisions hereof shall inure to the benefit of and be binding upon the successors and assigns of the parties hereto as provided herein. The Company may assign its rights and obligations under this Agreement to any Affiliate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u w:val="single"/>
        </w:rPr>
        <w:t>Counterparts</w:t>
      </w:r>
      <w:r>
        <w:rPr>
          <w:rFonts w:ascii="Times New Roman" w:hAnsi="Times New Roman"/>
          <w:sz w:val="20"/>
        </w:rPr>
        <w:t xml:space="preserve">. This Agreement may be executed simultaneously in any number of counterparts, each of which shall be deemed an original, but all of which shall together constitute one and the same instrument.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u w:val="single"/>
        </w:rPr>
        <w:t>Cost of Litigation</w:t>
      </w:r>
      <w:r>
        <w:rPr>
          <w:rFonts w:ascii="Times New Roman" w:hAnsi="Times New Roman"/>
          <w:sz w:val="20"/>
        </w:rPr>
        <w:t xml:space="preserve">. In the event either party must take legal action to enforce its rights under this Agreement, the prevailing party in any such action shall be entitled to an award of its costs of such an action, including the prevailing party’s reasonable attorney’s 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u w:val="single"/>
        </w:rPr>
        <w:t>Counsel</w:t>
      </w:r>
      <w:r>
        <w:rPr>
          <w:rFonts w:ascii="Times New Roman" w:hAnsi="Times New Roman"/>
          <w:sz w:val="20"/>
        </w:rPr>
        <w:t xml:space="preserve">. Executive has been given the opportunity to consult with legal counsel of Executive’s own choice before executing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u w:val="single"/>
        </w:rPr>
        <w:t>Certain Defined Terms</w:t>
      </w:r>
      <w:r>
        <w:rPr>
          <w:rFonts w:ascii="Times New Roman" w:hAnsi="Times New Roman"/>
          <w:sz w:val="20"/>
        </w:rPr>
        <w:t xml:space="preserve">. For purposes of this Agreement, the following terms shall have the meanings set forth below: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Accrued Amounts</w:t>
      </w:r>
      <w:r>
        <w:rPr>
          <w:rFonts w:ascii="Times New Roman" w:hAnsi="Times New Roman"/>
          <w:sz w:val="20"/>
        </w:rPr>
        <w:t>” shall mean (A) any unpaid base salary earned through the Termination Date in a cash lump sum within ten (10) days of the Termination Date, (B) any compensation previously deferred by the Executive (together with any accrued interest or earnings thereon) payable at the times provided in the applicable plans under which the deferral was made, to the extent not paid as of the Termination Date, (C) reimbursement for any amounts due to the Executive pursuant to</w:t>
      </w:r>
      <w:r>
        <w:rPr>
          <w:rFonts w:ascii="Times New Roman" w:hAnsi="Times New Roman"/>
          <w:sz w:val="20"/>
          <w:u w:val="single"/>
        </w:rPr>
        <w:t> Section 4(b)(v)</w:t>
      </w:r>
      <w:r>
        <w:rPr>
          <w:rFonts w:ascii="Times New Roman" w:hAnsi="Times New Roman"/>
          <w:sz w:val="20"/>
        </w:rPr>
        <w:t xml:space="preserve"> and </w:t>
      </w:r>
      <w:r>
        <w:rPr>
          <w:rFonts w:ascii="Times New Roman" w:hAnsi="Times New Roman"/>
          <w:sz w:val="20"/>
          <w:u w:val="single"/>
        </w:rPr>
        <w:t>Section 4(b)(vi)</w:t>
      </w:r>
      <w:r>
        <w:rPr>
          <w:rFonts w:ascii="Times New Roman" w:hAnsi="Times New Roman"/>
          <w:sz w:val="20"/>
        </w:rPr>
        <w:t xml:space="preserve"> as of the Termination Date at such times as provided in the applicable reimbursement policies of the Company, and (D) to the extent not theretofore paid or provided, any other accrued amounts or accrued benefits required to be paid or provided or which the Executive is eligible to receive under any plan, program, policy, practice, contract or agreement of the Company at the times provided under the applicable plan, program, policy, practice, contract or agreement of the Company.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Affiliate</w:t>
      </w:r>
      <w:r>
        <w:rPr>
          <w:rFonts w:ascii="Times New Roman" w:hAnsi="Times New Roman"/>
          <w:sz w:val="20"/>
        </w:rPr>
        <w:t xml:space="preserve">” shall mean (A) any entity that, directly or indirectly, is controlled by the Company, (B) any entity in which the Company has a significant equity interest, (C) an affiliate of the Company, as defined in Rule 12b-2 promulgated under Section 12 of the Securities Exchange Act of 1934, as amended from time to time, and (D) any entity in which the Company has at least twenty percent (20%) of the combined voting power of the entity’s outstanding voting securities.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Cause</w:t>
      </w:r>
      <w:r>
        <w:rPr>
          <w:rFonts w:ascii="Times New Roman" w:hAnsi="Times New Roman"/>
          <w:sz w:val="20"/>
        </w:rPr>
        <w:t xml:space="preserve">” shall mean: (A) the Executive’s conviction of a felony or of a crime involving dishonesty or moral turpitude, including, without limitation, any act or crime involving misappropriation or embezzlement of assets or funds of any member of the Company Group; (B) willful or material wrongdoing by the Executive, including, but not limited to, acts of dishonesty or fraud, which could be expected to have a materially adverse effect, monetarily or otherwise, on the Company Group, individually or collectively, as determined by the Board; (C) material breach by the Executive of any fiduciary duty to the Company, its stockholders or any other member of the Company Group; (D) material violation of a policy or procedure of any member of the Company Group or any written agreement with any member of the Company Group, including but not limited to, the Company’s Code of Ethics; or (E) the Executive’s intentional violation of any applicable local, state or federal law or regulation affecting any member of the Company Group in any material respect, as determined by the Company and the Board. Notwithstanding the foregoing, to the extent that any of the events, actions or breaches set forth in subsections (C) or (D) above are able to be remedied or cured by the Executive in the sole discretion of the Board, Cause shall not be deemed to exist (and thus the Company may not terminate the Executive for Cause hereunder) unless the Executive fails to remedy or cure such event, action or breach within twenty (20) days after being given written notice by the Company of such event, action or breach; provided however that the Executive shall not be entitled to any subsequent cure period for any repeated event, action or breach.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Subsidiary</w:t>
      </w:r>
      <w:r>
        <w:rPr>
          <w:rFonts w:ascii="Times New Roman" w:hAnsi="Times New Roman"/>
          <w:sz w:val="20"/>
        </w:rPr>
        <w:t xml:space="preserve">” shall mean any corporation or other entity in an unbroken chain of corporations or other entities beginning with the Company if each of the corporations or other entities, or group of commonly controlled corporations or other entities, other than the last corporation or other entity in the unbroken chain then owns stock or other equity interests possessing 50% or more of the total combined voting power of all classes of stock or other equity interests in one of the other corporations or other entities in such chain.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sz w:val="20"/>
          <w:u w:val="single"/>
        </w:rPr>
        <w:t>Termination Date</w:t>
      </w:r>
      <w:r>
        <w:rPr>
          <w:rFonts w:ascii="Times New Roman" w:hAnsi="Times New Roman"/>
          <w:sz w:val="20"/>
        </w:rPr>
        <w:t xml:space="preserve">” shall mean the date of any early termination of the Agreement or expiration of the Transition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Entire Agreement; Severability of Terms.</w:t>
      </w:r>
      <w:r>
        <w:rPr>
          <w:rFonts w:ascii="Times New Roman" w:hAnsi="Times New Roman"/>
          <w:sz w:val="20"/>
        </w:rPr>
        <w:t xml:space="preserve"> This Agreement contains the complete, entire understanding of the parties concerning the subject matter hereof. In executing this Agreement, neither party relies on any term, condition, promise or representation other than those expressed in this Agreement. This Agreement supersedes all prior and contemporaneous oral and written agreements and discussions with respect to the subject matter hereof. </w:t>
      </w:r>
      <w:r>
        <w:rPr>
          <w:rFonts w:ascii="Times New Roman" w:hAnsi="Times New Roman"/>
          <w:b/>
          <w:i/>
          <w:sz w:val="20"/>
        </w:rPr>
        <w:t xml:space="preserve">Except as expressly set forth in this Agreement, nothing in this Agreement is intended to or shall limit, terminate or modify, in any manner, any continuing obligations that Executive has to the Company Group under any other agreement or policy. </w:t>
      </w:r>
      <w:r>
        <w:rPr>
          <w:rFonts w:ascii="Times New Roman" w:hAnsi="Times New Roman"/>
          <w:sz w:val="20"/>
        </w:rPr>
        <w:t xml:space="preserve">This Agreement may be amended or modified only by an agreement in writing. If any provision of this Agreement is determined to be invalid or otherwise unenforceable, then that invalidity or unenforceability shall not affect any other provision of this Agreement, which shall continue and remain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Waiver of Jury Trial</w:t>
      </w:r>
      <w:r>
        <w:rPr>
          <w:rFonts w:ascii="Times New Roman" w:hAnsi="Times New Roman"/>
          <w:sz w:val="20"/>
        </w:rPr>
        <w:t xml:space="preserve">.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Notices</w:t>
      </w:r>
      <w:r>
        <w:rPr>
          <w:rFonts w:ascii="Times New Roman" w:hAnsi="Times New Roman"/>
          <w:sz w:val="20"/>
        </w:rPr>
        <w:t xml:space="preserve">. Any notice required or desired to be given under this Agreement shall be in writing and shall be delivered personally, mailed by registered mail, return receipt requested, transmitted via email or delivered by overnight courier service and shall be deemed to have been given on the date of its delivery, if delivered in person or transmitted via email, and on the second (2nd) full business day following the date of the mailing, if mailed, to each of the parties thereto at the following respective addresses or such other address as may be specified in any notice delivered or mailed as above provided: (a) if to the Company: CoreCivic, Inc. 5501 Virginia Way, Suite 110 Brentwood, TN 37207, Attn: General Counsel; and (b) if to the Executive: his address and email address on record with the Company. </w:t>
      </w:r>
    </w:p>
    <w:p>
      <w:pPr>
        <w:pStyle w:val="TextBody"/>
        <w:bidi w:val="0"/>
        <w:spacing w:before="12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Survival</w:t>
      </w:r>
      <w:r>
        <w:rPr>
          <w:rFonts w:ascii="Times New Roman" w:hAnsi="Times New Roman"/>
          <w:sz w:val="20"/>
        </w:rPr>
        <w:t xml:space="preserve">. The obligations of the parties pursuant to </w:t>
      </w:r>
      <w:r>
        <w:rPr>
          <w:rFonts w:ascii="Times New Roman" w:hAnsi="Times New Roman"/>
          <w:sz w:val="20"/>
          <w:u w:val="single"/>
        </w:rPr>
        <w:t>Sections 5</w:t>
      </w:r>
      <w:r>
        <w:rPr>
          <w:rFonts w:ascii="Times New Roman" w:hAnsi="Times New Roman"/>
          <w:sz w:val="20"/>
        </w:rPr>
        <w:t xml:space="preserve"> through </w:t>
      </w:r>
      <w:r>
        <w:rPr>
          <w:rFonts w:ascii="Times New Roman" w:hAnsi="Times New Roman"/>
          <w:sz w:val="20"/>
          <w:u w:val="single"/>
        </w:rPr>
        <w:t>20</w:t>
      </w:r>
      <w:r>
        <w:rPr>
          <w:rFonts w:ascii="Times New Roman" w:hAnsi="Times New Roman"/>
          <w:sz w:val="20"/>
        </w:rPr>
        <w:t xml:space="preserve">, as applicable, shall survive the termination of the Executive’s employment and any termination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Headings</w:t>
      </w:r>
      <w:r>
        <w:rPr>
          <w:rFonts w:ascii="Times New Roman" w:hAnsi="Times New Roman"/>
          <w:sz w:val="20"/>
        </w:rPr>
        <w:t xml:space="preserve">. The sections, subjects and headings in this Agreement are inserted for convenience only and shall not affect in any way the meaning or interpretation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Signatures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Transition Agreement on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9"/>
        <w:gridCol w:w="60"/>
        <w:gridCol w:w="3373"/>
      </w:tblGrid>
      <w:tr>
        <w:trPr/>
        <w:tc>
          <w:tcPr>
            <w:tcW w:w="64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b/>
                <w:u w:val="single"/>
              </w:rPr>
              <w:t>COMPANY</w:t>
            </w:r>
            <w:r>
              <w:rPr>
                <w:u w:val="single"/>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CoreCivic, Inc.</w:t>
            </w:r>
          </w:p>
        </w:tc>
      </w:tr>
      <w:tr>
        <w:trPr>
          <w:trHeight w:val="240" w:hRule="atLeast"/>
        </w:trPr>
        <w:tc>
          <w:tcPr>
            <w:tcW w:w="649" w:type="dxa"/>
            <w:tcBorders/>
            <w:vAlign w:val="center"/>
          </w:tcPr>
          <w:p>
            <w:pPr>
              <w:pStyle w:val="TableContents"/>
              <w:bidi w:val="0"/>
              <w:spacing w:before="0" w:after="283"/>
              <w:jc w:val="left"/>
              <w:rPr>
                <w:sz w:val="4"/>
                <w:szCs w:val="4"/>
              </w:rPr>
            </w:pPr>
            <w:r>
              <w:rPr>
                <w:sz w:val="4"/>
                <w:szCs w:val="4"/>
              </w:rPr>
            </w:r>
          </w:p>
        </w:tc>
        <w:tc>
          <w:tcPr>
            <w:tcW w:w="3433" w:type="dxa"/>
            <w:gridSpan w:val="2"/>
            <w:tcBorders/>
            <w:vAlign w:val="center"/>
          </w:tcPr>
          <w:p>
            <w:pPr>
              <w:pStyle w:val="TableContents"/>
              <w:bidi w:val="0"/>
              <w:spacing w:before="0" w:after="283"/>
              <w:jc w:val="left"/>
              <w:rPr>
                <w:sz w:val="4"/>
                <w:szCs w:val="4"/>
              </w:rPr>
            </w:pPr>
            <w:r>
              <w:rPr>
                <w:sz w:val="4"/>
                <w:szCs w:val="4"/>
              </w:rPr>
            </w:r>
          </w:p>
        </w:tc>
      </w:tr>
      <w:tr>
        <w:trPr/>
        <w:tc>
          <w:tcPr>
            <w:tcW w:w="64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Cole G. Carter</w:t>
            </w:r>
          </w:p>
        </w:tc>
      </w:tr>
      <w:tr>
        <w:trPr/>
        <w:tc>
          <w:tcPr>
            <w:tcW w:w="64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3" w:type="dxa"/>
            <w:tcBorders/>
          </w:tcPr>
          <w:p>
            <w:pPr>
              <w:pStyle w:val="TableContents"/>
              <w:bidi w:val="0"/>
              <w:spacing w:before="0" w:after="283"/>
              <w:jc w:val="left"/>
              <w:rPr/>
            </w:pPr>
            <w:r>
              <w:rPr/>
              <w:t>Cole G. Carter</w:t>
            </w:r>
          </w:p>
        </w:tc>
      </w:tr>
      <w:tr>
        <w:trPr/>
        <w:tc>
          <w:tcPr>
            <w:tcW w:w="64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3" w:type="dxa"/>
            <w:tcBorders/>
          </w:tcPr>
          <w:p>
            <w:pPr>
              <w:pStyle w:val="TableContents"/>
              <w:bidi w:val="0"/>
              <w:spacing w:before="0" w:after="283"/>
              <w:jc w:val="left"/>
              <w:rPr/>
            </w:pPr>
            <w:r>
              <w:rPr/>
              <w:t>Executive Vice President, Chief Administrative Officer, General Counsel &amp;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b/>
                <w:u w:val="single"/>
              </w:rPr>
              <w:t>EXECUTIVE</w:t>
            </w:r>
            <w:r>
              <w:rPr>
                <w:u w:val="single"/>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Patrick D. Swindle</w:t>
            </w:r>
          </w:p>
        </w:tc>
      </w:tr>
      <w:tr>
        <w:trPr/>
        <w:tc>
          <w:tcPr>
            <w:tcW w:w="4082" w:type="dxa"/>
            <w:gridSpan w:val="3"/>
            <w:tcBorders/>
          </w:tcPr>
          <w:p>
            <w:pPr>
              <w:pStyle w:val="TableContents"/>
              <w:bidi w:val="0"/>
              <w:spacing w:before="0" w:after="283"/>
              <w:jc w:val="left"/>
              <w:rPr/>
            </w:pPr>
            <w:r>
              <w:rPr/>
              <w:t>Patrick D. Swindle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Transition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RELEASE </w:t>
      </w:r>
    </w:p>
    <w:p>
      <w:pPr>
        <w:pStyle w:val="TextBody"/>
        <w:bidi w:val="0"/>
        <w:spacing w:before="240" w:after="0"/>
        <w:jc w:val="left"/>
        <w:rPr>
          <w:rFonts w:ascii="Times New Roman" w:hAnsi="Times New Roman"/>
          <w:sz w:val="20"/>
        </w:rPr>
      </w:pPr>
      <w:r>
        <w:rPr>
          <w:rFonts w:ascii="Times New Roman" w:hAnsi="Times New Roman"/>
          <w:sz w:val="20"/>
        </w:rPr>
        <w:t>This Release (“</w:t>
      </w:r>
      <w:r>
        <w:rPr>
          <w:rFonts w:ascii="Times New Roman" w:hAnsi="Times New Roman"/>
          <w:sz w:val="20"/>
          <w:u w:val="single"/>
        </w:rPr>
        <w:t>Release</w:t>
      </w:r>
      <w:r>
        <w:rPr>
          <w:rFonts w:ascii="Times New Roman" w:hAnsi="Times New Roman"/>
          <w:sz w:val="20"/>
        </w:rPr>
        <w:t>”) is hereby entered into on the ___ day of _____, 202_, by and between Patrick D. Swindle (“</w:t>
      </w:r>
      <w:r>
        <w:rPr>
          <w:rFonts w:ascii="Times New Roman" w:hAnsi="Times New Roman"/>
          <w:sz w:val="20"/>
          <w:u w:val="single"/>
        </w:rPr>
        <w:t>Executive</w:t>
      </w:r>
      <w:r>
        <w:rPr>
          <w:rFonts w:ascii="Times New Roman" w:hAnsi="Times New Roman"/>
          <w:sz w:val="20"/>
        </w:rPr>
        <w:t>”) and CoreCivic, Inc. (the “</w:t>
      </w:r>
      <w:r>
        <w:rPr>
          <w:rFonts w:ascii="Times New Roman" w:hAnsi="Times New Roman"/>
          <w:sz w:val="20"/>
          <w:u w:val="single"/>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and Executive have entered into that Transition Agreement dated as of September __, 2026 (the “</w:t>
      </w:r>
      <w:r>
        <w:rPr>
          <w:rFonts w:ascii="Times New Roman" w:hAnsi="Times New Roman"/>
          <w:sz w:val="20"/>
          <w:u w:val="single"/>
        </w:rPr>
        <w:t>Transition Agreement</w:t>
      </w:r>
      <w:r>
        <w:rPr>
          <w:rFonts w:ascii="Times New Roman" w:hAnsi="Times New Roman"/>
          <w:sz w:val="20"/>
        </w:rPr>
        <w:t xml:space="preserve">”) providing Executive, among other things, certain payments conditioned on executing and delivering this Release;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and Executive desire to ensure an amicable parting and to settle fully and finally any and all differences or claims that might have arisen out of Executive’s employment.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it is hereby agreed that: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b/>
          <w:sz w:val="20"/>
          <w:u w:val="single"/>
        </w:rPr>
        <w:t>Consideration</w:t>
      </w:r>
      <w:r>
        <w:rPr>
          <w:rFonts w:ascii="Times New Roman" w:hAnsi="Times New Roman"/>
          <w:b/>
          <w:sz w:val="20"/>
        </w:rPr>
        <w:t xml:space="preserve">. </w:t>
      </w:r>
      <w:r>
        <w:rPr>
          <w:rFonts w:ascii="Times New Roman" w:hAnsi="Times New Roman"/>
          <w:sz w:val="20"/>
        </w:rPr>
        <w:t xml:space="preserve">In exchange for the general release of claims herein and other good and valuable consideration, the Company agrees to make the payments set forth in [Section 4(b)(ii) and Section 4(b)(iii)]//[Section 4(b)(i)]1 of the Transition Agreement, in each case, subject to the rights and obligations of the parties contained in the Transition Agreement and this Release. Executive acknowledges that Executive would not be entitled to certain payments set forth in the Transition Agreement but for Executive’s execution of this Release.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b/>
          <w:sz w:val="20"/>
          <w:u w:val="single"/>
        </w:rPr>
        <w:t>General Release of Claims</w:t>
      </w:r>
      <w:r>
        <w:rPr>
          <w:rFonts w:ascii="Times New Roman" w:hAnsi="Times New Roman"/>
          <w:b/>
          <w:sz w:val="20"/>
        </w:rPr>
        <w:t>.</w:t>
      </w:r>
      <w:r>
        <w:rPr>
          <w:rFonts w:ascii="Times New Roman" w:hAnsi="Times New Roman"/>
          <w:sz w:val="20"/>
        </w:rPr>
        <w:t xml:space="preserve"> Executive, for himself, Executive’s agents, attorneys, heirs, administrators, executors, assignors, assignees, and anyone acting or claiming to act on Executive’s or their joint or several behalf, hereby waives, releases, and forever discharges the Company and its subsidiaries, business units, affiliates, parent companies (including Parent), predecessors, successors, and its respective officers, directors, employees, agents, and legal counsel (hereinafter referred to collectively as the “</w:t>
      </w:r>
      <w:r>
        <w:rPr>
          <w:rFonts w:ascii="Times New Roman" w:hAnsi="Times New Roman"/>
          <w:sz w:val="20"/>
          <w:u w:val="single"/>
        </w:rPr>
        <w:t>Released Parties</w:t>
      </w:r>
      <w:r>
        <w:rPr>
          <w:rFonts w:ascii="Times New Roman" w:hAnsi="Times New Roman"/>
          <w:sz w:val="20"/>
        </w:rPr>
        <w:t xml:space="preserve">”) from any and all claims, causes of action, demands, damages, costs, expenses, liabilities, grievances, or other losses, whether known or unknown, that in any way arise from, grow out of, or are related to events or circumstances prior to the date this Release is executed. </w:t>
      </w:r>
    </w:p>
    <w:p>
      <w:pPr>
        <w:pStyle w:val="TextBody"/>
        <w:bidi w:val="0"/>
        <w:spacing w:before="240" w:after="0"/>
        <w:jc w:val="left"/>
        <w:rPr>
          <w:rFonts w:ascii="Times New Roman" w:hAnsi="Times New Roman"/>
          <w:sz w:val="20"/>
        </w:rPr>
      </w:pPr>
      <w:r>
        <w:rPr>
          <w:rFonts w:ascii="Times New Roman" w:hAnsi="Times New Roman"/>
          <w:sz w:val="20"/>
        </w:rPr>
        <w:t xml:space="preserve">Executive acknowledges that this General Release includes, but is not limited to, all common law causes of action of whatever nature, all claims arising under federal, state or local law prohibiting employment discrimination and all claims growing out of any legal restrictions on the Company’s right to terminate its employees, including any breach of contract claims. This General Release also specifically encompasses all claims under Title VII of the Civil Rights Act of 1964, as amended, 42 U.S.C. § 1981(a), the Age Discrimination in Employment Act, the Employment Retirement Income Security Act, except as provided herein, the Family and Medical Leave Act, the Americans with Disabilities Act, the Fair Labor Standards Act, the National Labor Relations Act, the Uniformed Services Employment and Reemployment Rights Act of 1994, the Equal Pay Act, the Tennessee Human Rights Act, Tennessee Disability Act, Tennessee Public Protection Act, as well as all federal and state executive orders including Executive Order 11246 and all claims under other applicable state and local codes, laws, regulations or ordinances concerning Executive’s employment. It is agreed that this is a general release and it is to be broadly construed as a release of all claims; </w:t>
      </w:r>
      <w:r>
        <w:rPr>
          <w:rFonts w:ascii="Times New Roman" w:hAnsi="Times New Roman"/>
          <w:sz w:val="20"/>
          <w:u w:val="single"/>
        </w:rPr>
        <w:t>provided that</w:t>
      </w:r>
      <w:r>
        <w:rPr>
          <w:rFonts w:ascii="Times New Roman" w:hAnsi="Times New Roman"/>
          <w:sz w:val="20"/>
        </w:rPr>
        <w:t xml:space="preserve"> notwithstanding the foregoing, this Section expressly does not include a release of any claims that cannot be released hereunder by law or of any claims to accrued or vested benefits under any welfare, pension or deferred income plan that was offered or sponsored by the Company and in which Executive was a participant. This General Release further specifically encompasses all claims related to compensation, benefits, incentive packages, severance (including under the Severance Plan), or any other form of compensation Executive may or may not have received during Executive’s employment, except as provided herein.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updated.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b/>
          <w:sz w:val="20"/>
          <w:u w:val="single"/>
        </w:rPr>
        <w:t>Covenant not to Sue</w:t>
      </w:r>
      <w:r>
        <w:rPr>
          <w:rFonts w:ascii="Times New Roman" w:hAnsi="Times New Roman"/>
          <w:sz w:val="20"/>
        </w:rPr>
        <w:t>. Executive hereby covenants and agrees not to file, commence or initiate any suits, grievances, demands or causes of action against the Released Parties based upon or relating to any of the claims released and forever discharged pursuant to this Release. In accordance with 29 C.F.R. § 1625.23(b), this covenant not to sue is not intended to preclude Executive from bringing a lawsuit to challenge the validity of the release language contained in this Release. If Executive breaches this covenant not to sue, Executive hereby agrees to pay all of the reasonable costs and attorneys’ fees actually incurred by the Released Parties in defending against such claims, demands or causes of action, together with such and further damages as may result, directly or indirectly, from that breach. Moreover, Executive agrees that Executive will not persuade or instruct any person to file a suit, claim or complaint with any state or federal court or administrative agency against the Released Parties. Executive understands and agrees this Release does not limit or interfere with Executive’s right to file a charge or complaint with the Equal Employment Opportunity Commission or any other federal, state or local governmental agency or commission with which Executive has the non-waivable right to file a charge or complaint (“</w:t>
      </w:r>
      <w:r>
        <w:rPr>
          <w:rFonts w:ascii="Times New Roman" w:hAnsi="Times New Roman"/>
          <w:sz w:val="20"/>
          <w:u w:val="single"/>
        </w:rPr>
        <w:t>Government Agencies</w:t>
      </w:r>
      <w:r>
        <w:rPr>
          <w:rFonts w:ascii="Times New Roman" w:hAnsi="Times New Roman"/>
          <w:sz w:val="20"/>
        </w:rPr>
        <w:t xml:space="preserve">”). Executive further understands and agrees that this Release does not limit or interfere with Executive’s ability to communicate with any Government Agencies or otherwise participate in any investigation or proceeding that may be conducted by any Government Agency, including providing documents or other information, without notice to the Company. In the event Executive files a charge or complaint with a Government Agency, or a Government Agency asserts a claim on Executive’s behalf, Executive agrees that Executive’s release of claims in this Release shall nevertheless bar Executive’s right (if any) to any monetary or other recovery (including reinstatement), except Executive does not waive: a) Executive’s right to receive a whistleblower award from a Government Agency for information provided to that Government Agency; b) any recovery to which Executive may be entitled pursuant to state workers’ compensation and unemployment insurance laws; or c) any other right where a waiver is expressly prohibited by law.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b/>
          <w:sz w:val="20"/>
          <w:u w:val="single"/>
        </w:rPr>
        <w:t>No Admission of Wrongdoing or Liability</w:t>
      </w:r>
      <w:r>
        <w:rPr>
          <w:rFonts w:ascii="Times New Roman" w:hAnsi="Times New Roman"/>
          <w:b/>
          <w:sz w:val="20"/>
        </w:rPr>
        <w:t>.</w:t>
      </w:r>
      <w:r>
        <w:rPr>
          <w:rFonts w:ascii="Times New Roman" w:hAnsi="Times New Roman"/>
          <w:sz w:val="20"/>
        </w:rPr>
        <w:t xml:space="preserve"> Nothing contained in this Release shall constitute, or be construed as or is intended to be an admission or an acknowledgment by the Company of any wrongdoing or liability, all such wrongdoing and liability being expressly denied.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b/>
          <w:sz w:val="20"/>
          <w:u w:val="single"/>
        </w:rPr>
        <w:t>Confidentiality</w:t>
      </w:r>
      <w:r>
        <w:rPr>
          <w:rFonts w:ascii="Times New Roman" w:hAnsi="Times New Roman"/>
          <w:b/>
          <w:sz w:val="20"/>
        </w:rPr>
        <w:t>.</w:t>
      </w:r>
      <w:r>
        <w:rPr>
          <w:rFonts w:ascii="Times New Roman" w:hAnsi="Times New Roman"/>
          <w:sz w:val="20"/>
        </w:rPr>
        <w:t xml:space="preserve"> Executive agrees to maintain confidentiality concerning the terms of this Release and will not reveal, or disseminate by publication this document or any matters pertaining to it to any other person, including but not limited to any past or present employee, officer or director of the Company or any media representative except as required by law or legal process, or as necessary to enforce this Release, or to the extent disclosed to a Government Agency. This confidentiality provision does not apply to communications between Executive and Executive’s spouse or legal and financial planners or tax preparers who are also bound by this confidentiality provision.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b/>
          <w:sz w:val="20"/>
          <w:u w:val="single"/>
        </w:rPr>
        <w:t>Disclosure</w:t>
      </w:r>
      <w:r>
        <w:rPr>
          <w:rFonts w:ascii="Times New Roman" w:hAnsi="Times New Roman"/>
          <w:sz w:val="20"/>
        </w:rPr>
        <w:t xml:space="preserve">. Executive acknowledges and warrants that Executive is not aware of, or that Executive has fully disclosed to Company, any matters for which Executive was responsible or which came to Executive’s attention as an employee of Company that might give rise to, evidence, or support any claim of illegal conduct, regulatory violation, unlawful discrimination, or other cause of action against Company.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b/>
          <w:sz w:val="20"/>
          <w:u w:val="single"/>
        </w:rPr>
        <w:t>Breach of Agreement</w:t>
      </w:r>
      <w:r>
        <w:rPr>
          <w:rFonts w:ascii="Times New Roman" w:hAnsi="Times New Roman"/>
          <w:b/>
          <w:sz w:val="20"/>
        </w:rPr>
        <w:t>.</w:t>
      </w:r>
      <w:r>
        <w:rPr>
          <w:rFonts w:ascii="Times New Roman" w:hAnsi="Times New Roman"/>
          <w:sz w:val="20"/>
        </w:rPr>
        <w:t xml:space="preserve"> If either party brings a claim for breach of the terms of this Release, the prevailing party shall be entitled to its reasonable attorneys’ fees and expenses incurred in the prosecuting or defending such an action. This Release is to be governed by the laws of the State of Tennessee. Any action brought by the Company or Executive regarding this Release shall be brought and maintained in the federal and state courts sitting in Davidson County, Tennessee.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b/>
          <w:sz w:val="20"/>
          <w:u w:val="single"/>
        </w:rPr>
        <w:t>Binding Effect</w:t>
      </w:r>
      <w:r>
        <w:rPr>
          <w:rFonts w:ascii="Times New Roman" w:hAnsi="Times New Roman"/>
          <w:b/>
          <w:sz w:val="20"/>
        </w:rPr>
        <w:t>.</w:t>
      </w:r>
      <w:r>
        <w:rPr>
          <w:rFonts w:ascii="Times New Roman" w:hAnsi="Times New Roman"/>
          <w:sz w:val="20"/>
        </w:rPr>
        <w:t xml:space="preserve"> This Release shall be binding upon and inure to the benefit of Executive and the Company, and their officers, directors, employees, agents, legal counsel, heirs, successors and assigns.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b/>
          <w:sz w:val="20"/>
          <w:u w:val="single"/>
        </w:rPr>
        <w:t>Warranties/Representations</w:t>
      </w:r>
      <w:r>
        <w:rPr>
          <w:rFonts w:ascii="Times New Roman" w:hAnsi="Times New Roman"/>
          <w:b/>
          <w:sz w:val="20"/>
        </w:rPr>
        <w:t>.</w:t>
      </w:r>
      <w:r>
        <w:rPr>
          <w:rFonts w:ascii="Times New Roman" w:hAnsi="Times New Roman"/>
          <w:sz w:val="20"/>
        </w:rPr>
        <w:t xml:space="preserve"> Executive hereby warrants and represents that: </w:t>
      </w:r>
    </w:p>
    <w:p>
      <w:pPr>
        <w:pStyle w:val="TextBody"/>
        <w:bidi w:val="0"/>
        <w:spacing w:before="120" w:after="0"/>
        <w:jc w:val="left"/>
        <w:rPr>
          <w:rFonts w:ascii="Times New Roman" w:hAnsi="Times New Roman"/>
          <w:sz w:val="20"/>
        </w:rPr>
      </w:pPr>
      <w:r>
        <w:rPr>
          <w:rFonts w:ascii="Times New Roman" w:hAnsi="Times New Roman"/>
          <w:sz w:val="20"/>
        </w:rPr>
        <w:t xml:space="preserve">A. Executive has carefully read and fully understands the comprehensive terms and conditions of this Release and the releases set forth herein, including the release of claims under the Age Discrimination in Employment Act and Older Worker Benefit Protection Act; </w:t>
      </w:r>
    </w:p>
    <w:p>
      <w:pPr>
        <w:pStyle w:val="TextBody"/>
        <w:bidi w:val="0"/>
        <w:spacing w:before="120" w:after="0"/>
        <w:jc w:val="left"/>
        <w:rPr>
          <w:rFonts w:ascii="Times New Roman" w:hAnsi="Times New Roman"/>
          <w:sz w:val="20"/>
        </w:rPr>
      </w:pPr>
      <w:r>
        <w:rPr>
          <w:rFonts w:ascii="Times New Roman" w:hAnsi="Times New Roman"/>
          <w:sz w:val="20"/>
        </w:rPr>
        <w:t xml:space="preserve">B. Executive is executing this Release knowingly and voluntarily, without any duress, coercion or undue influence by the Company, its representatives, 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C. Executive has been informed of Executive’s right to consult with legal counsel of Executive’s own choice before executing this Release; </w:t>
      </w:r>
    </w:p>
    <w:p>
      <w:pPr>
        <w:pStyle w:val="TextBody"/>
        <w:bidi w:val="0"/>
        <w:spacing w:before="120" w:after="0"/>
        <w:jc w:val="left"/>
        <w:rPr>
          <w:rFonts w:ascii="Times New Roman" w:hAnsi="Times New Roman"/>
          <w:sz w:val="20"/>
        </w:rPr>
      </w:pPr>
      <w:r>
        <w:rPr>
          <w:rFonts w:ascii="Times New Roman" w:hAnsi="Times New Roman"/>
          <w:sz w:val="20"/>
        </w:rPr>
        <w:t xml:space="preserve">D. The consideration recited above constitutes good and valuable consideration; </w:t>
      </w:r>
    </w:p>
    <w:p>
      <w:pPr>
        <w:pStyle w:val="TextBody"/>
        <w:bidi w:val="0"/>
        <w:spacing w:before="120" w:after="0"/>
        <w:jc w:val="left"/>
        <w:rPr>
          <w:rFonts w:ascii="Times New Roman" w:hAnsi="Times New Roman"/>
          <w:sz w:val="20"/>
        </w:rPr>
      </w:pPr>
      <w:r>
        <w:rPr>
          <w:rFonts w:ascii="Times New Roman" w:hAnsi="Times New Roman"/>
          <w:sz w:val="20"/>
        </w:rPr>
        <w:t xml:space="preserve">E. Executive understands and accepts the terms and conditions of this Release including, the consideration provided to him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F. Executive is not waiving rights or claims that may arise after the date this Release is executed; </w:t>
      </w:r>
    </w:p>
    <w:p>
      <w:pPr>
        <w:pStyle w:val="TextBody"/>
        <w:bidi w:val="0"/>
        <w:spacing w:before="120" w:after="0"/>
        <w:jc w:val="left"/>
        <w:rPr>
          <w:rFonts w:ascii="Times New Roman" w:hAnsi="Times New Roman"/>
          <w:sz w:val="20"/>
        </w:rPr>
      </w:pPr>
      <w:r>
        <w:rPr>
          <w:rFonts w:ascii="Times New Roman" w:hAnsi="Times New Roman"/>
          <w:sz w:val="20"/>
        </w:rPr>
        <w:t xml:space="preserve">G. Except as specifically provided herein, Executive has been paid all compensation owed to him by the Company; </w:t>
      </w:r>
    </w:p>
    <w:p>
      <w:pPr>
        <w:pStyle w:val="TextBody"/>
        <w:bidi w:val="0"/>
        <w:spacing w:before="120" w:after="0"/>
        <w:jc w:val="left"/>
        <w:rPr>
          <w:rFonts w:ascii="Times New Roman" w:hAnsi="Times New Roman"/>
          <w:sz w:val="20"/>
        </w:rPr>
      </w:pPr>
      <w:r>
        <w:rPr>
          <w:rFonts w:ascii="Times New Roman" w:hAnsi="Times New Roman"/>
          <w:sz w:val="20"/>
        </w:rPr>
        <w:t>H. Executive is waiving and releasing claims under the ADEA, and as such, Executive has been given a period of twenty-one (21) days (the “</w:t>
      </w:r>
      <w:r>
        <w:rPr>
          <w:rFonts w:ascii="Times New Roman" w:hAnsi="Times New Roman"/>
          <w:sz w:val="20"/>
          <w:u w:val="single"/>
        </w:rPr>
        <w:t>Consideration Period</w:t>
      </w:r>
      <w:r>
        <w:rPr>
          <w:rFonts w:ascii="Times New Roman" w:hAnsi="Times New Roman"/>
          <w:sz w:val="20"/>
        </w:rPr>
        <w:t xml:space="preserve">”) to review and consider the terms of this Agreement and consult with an attorney of Executive’s choice prior to executing this Agreement. Executive has the right to execute this Agreement prior to the expiration of the Consideration Period. In the event that Executive signs this Agreement before the end of the Consideration Period, Executive acknowledges and understands that Executive waives the right to the full twenty-one (21) day Consideration Period; and </w:t>
      </w:r>
    </w:p>
    <w:p>
      <w:pPr>
        <w:pStyle w:val="TextBody"/>
        <w:bidi w:val="0"/>
        <w:spacing w:before="120" w:after="0"/>
        <w:jc w:val="left"/>
        <w:rPr>
          <w:rFonts w:ascii="Times New Roman" w:hAnsi="Times New Roman"/>
          <w:sz w:val="20"/>
        </w:rPr>
      </w:pPr>
      <w:r>
        <w:rPr>
          <w:rFonts w:ascii="Times New Roman" w:hAnsi="Times New Roman"/>
          <w:sz w:val="20"/>
        </w:rPr>
        <w:t>I. Executive has the right to revoke this Release within seven (7) calendar days after signing it (the “</w:t>
      </w:r>
      <w:r>
        <w:rPr>
          <w:rFonts w:ascii="Times New Roman" w:hAnsi="Times New Roman"/>
          <w:sz w:val="20"/>
          <w:u w:val="single"/>
        </w:rPr>
        <w:t>Revocation Period</w:t>
      </w:r>
      <w:r>
        <w:rPr>
          <w:rFonts w:ascii="Times New Roman" w:hAnsi="Times New Roman"/>
          <w:sz w:val="20"/>
        </w:rPr>
        <w:t xml:space="preserve">”) by providing prior to the expiration of the Revocation Period, written notice of revocation by hand delivery or electronic mail to Cole Carter, Executive Vice President, Chief Administrative Officer and General Counsel, 5501 Virginia Way, Suite 110, Brentwood, Tennessee 37207. If Executive revokes this Release during the Revocation Period, the Release and all obligations hereunder become null and void in their entirety and the Company shall not be obligated to provide the Additional Consideration.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u w:val="single"/>
        </w:rPr>
        <w:t>Restrictive Covenants; Continuing Obligations.</w:t>
      </w:r>
      <w:r>
        <w:rPr>
          <w:rFonts w:ascii="Times New Roman" w:hAnsi="Times New Roman"/>
          <w:sz w:val="20"/>
        </w:rPr>
        <w:t xml:space="preserve"> </w:t>
      </w:r>
      <w:r>
        <w:rPr>
          <w:rFonts w:ascii="Times New Roman" w:hAnsi="Times New Roman"/>
          <w:b/>
          <w:i/>
          <w:sz w:val="20"/>
        </w:rPr>
        <w:t xml:space="preserve">Except as expressly set forth in this Release, nothing in this Release is intended to or shall limit, terminate or modify, in any manner, any continuing obligations that Executive has to the Company Group per the terms of any other agreement or policy. Specifically, Executive acknowledges and accepts that Executive has continuing obligations (including restrictive covenant obligations related to non-competition and non-solicitation) to the Company under the RCA.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Non-Disparagement</w:t>
      </w:r>
      <w:r>
        <w:rPr>
          <w:rFonts w:ascii="Times New Roman" w:hAnsi="Times New Roman"/>
          <w:b/>
          <w:sz w:val="20"/>
        </w:rPr>
        <w:t>.</w:t>
      </w:r>
      <w:r>
        <w:rPr>
          <w:rFonts w:ascii="Times New Roman" w:hAnsi="Times New Roman"/>
          <w:sz w:val="20"/>
        </w:rPr>
        <w:t xml:space="preserve"> Executive will not disparage or defame, orally or in writing, the Company or its officers, directors, employees, successors or assigns. Notwithstanding the foregoing, nothing in this Agreement, including Sections 5 and 11, shall prohibit Executive from reporting violations of law to any Government Agency or providing truthful testimony in any legal matter.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Entire Agreement; Severability of Terms.</w:t>
      </w:r>
      <w:r>
        <w:rPr>
          <w:rFonts w:ascii="Times New Roman" w:hAnsi="Times New Roman"/>
          <w:sz w:val="20"/>
        </w:rPr>
        <w:t xml:space="preserve"> This Release and the Transition Agreement contain the complete, entire understanding of the parties concerning the subject matter hereof. In executing this Release, neither party relies on any term, condition, promise or representation other than those expressed in this Release. This Release supersedes all prior and contemporaneous oral and written agreements and discussions with respect to the subject matter hereof. This Release may be amended or modified only by an agreement in writing. If any provision of this Release is determined to be invalid or otherwise unenforceable, then that invalidity or unenforceability shall not affect any other provision of this Release, which shall continue and remain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u w:val="single"/>
        </w:rPr>
        <w:t>Execution</w:t>
      </w:r>
      <w:r>
        <w:rPr>
          <w:rFonts w:ascii="Times New Roman" w:hAnsi="Times New Roman"/>
          <w:sz w:val="20"/>
        </w:rPr>
        <w:t xml:space="preserve">. Executive understands that Executive cannot execute this Release prior to the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u w:val="single"/>
        </w:rPr>
        <w:t>Capitalized Terms</w:t>
      </w:r>
      <w:r>
        <w:rPr>
          <w:rFonts w:ascii="Times New Roman" w:hAnsi="Times New Roman"/>
          <w:sz w:val="20"/>
        </w:rPr>
        <w:t xml:space="preserve">. All capitalized terms not defined herein shall be defined as set forth in the Transition Agreement.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b/>
          <w:i/>
          <w:sz w:val="20"/>
        </w:rPr>
        <w:t>Signature page follows</w:t>
      </w: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Release on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22"/>
        <w:gridCol w:w="209"/>
        <w:gridCol w:w="2751"/>
      </w:tblGrid>
      <w:tr>
        <w:trPr/>
        <w:tc>
          <w:tcPr>
            <w:tcW w:w="1122"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b/>
                <w:u w:val="single"/>
              </w:rPr>
              <w:t>COMPANY</w:t>
            </w:r>
            <w:r>
              <w:rPr>
                <w:u w:val="single"/>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CoreCivic, Inc.</w:t>
            </w:r>
          </w:p>
        </w:tc>
      </w:tr>
      <w:tr>
        <w:trPr>
          <w:trHeight w:val="240" w:hRule="atLeast"/>
        </w:trPr>
        <w:tc>
          <w:tcPr>
            <w:tcW w:w="1122" w:type="dxa"/>
            <w:tcBorders/>
            <w:vAlign w:val="center"/>
          </w:tcPr>
          <w:p>
            <w:pPr>
              <w:pStyle w:val="TableContents"/>
              <w:bidi w:val="0"/>
              <w:spacing w:before="0" w:after="283"/>
              <w:jc w:val="left"/>
              <w:rPr>
                <w:sz w:val="4"/>
                <w:szCs w:val="4"/>
              </w:rPr>
            </w:pPr>
            <w:r>
              <w:rPr>
                <w:sz w:val="4"/>
                <w:szCs w:val="4"/>
              </w:rPr>
            </w:r>
          </w:p>
        </w:tc>
        <w:tc>
          <w:tcPr>
            <w:tcW w:w="2960"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tcPr>
          <w:p>
            <w:pPr>
              <w:pStyle w:val="TableContents"/>
              <w:bidi w:val="0"/>
              <w:spacing w:before="0" w:after="283"/>
              <w:jc w:val="left"/>
              <w:rPr/>
            </w:pPr>
            <w:r>
              <w:rPr/>
              <w:t>By:</w:t>
            </w:r>
          </w:p>
        </w:tc>
        <w:tc>
          <w:tcPr>
            <w:tcW w:w="209" w:type="dxa"/>
            <w:tcBorders/>
            <w:vAlign w:val="bottom"/>
          </w:tcPr>
          <w:p>
            <w:pPr>
              <w:pStyle w:val="TableContents"/>
              <w:bidi w:val="0"/>
              <w:spacing w:before="0" w:after="283"/>
              <w:jc w:val="left"/>
              <w:rPr/>
            </w:pPr>
            <w:r>
              <w:rPr/>
              <w:t> </w:t>
            </w:r>
          </w:p>
        </w:tc>
        <w:tc>
          <w:tcPr>
            <w:tcW w:w="2751"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b/>
                <w:u w:val="single"/>
              </w:rPr>
              <w:t>EXECUTIVE</w:t>
            </w:r>
            <w:r>
              <w:rPr>
                <w:u w:val="single"/>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Patrick D. Swindle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059"/>
        <w:gridCol w:w="269"/>
        <w:gridCol w:w="140"/>
        <w:gridCol w:w="1596"/>
        <w:gridCol w:w="60"/>
        <w:gridCol w:w="269"/>
        <w:gridCol w:w="140"/>
        <w:gridCol w:w="1596"/>
        <w:gridCol w:w="60"/>
        <w:gridCol w:w="269"/>
        <w:gridCol w:w="60"/>
        <w:gridCol w:w="991"/>
        <w:gridCol w:w="63"/>
      </w:tblGrid>
      <w:tr>
        <w:trPr/>
        <w:tc>
          <w:tcPr>
            <w:tcW w:w="3059"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05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Award Type</w:t>
            </w:r>
          </w:p>
        </w:tc>
        <w:tc>
          <w:tcPr>
            <w:tcW w:w="269" w:type="dxa"/>
            <w:tcBorders/>
            <w:vAlign w:val="bottom"/>
          </w:tcPr>
          <w:p>
            <w:pPr>
              <w:pStyle w:val="TableContents"/>
              <w:bidi w:val="0"/>
              <w:spacing w:before="0" w:after="283"/>
              <w:jc w:val="left"/>
              <w:rPr/>
            </w:pPr>
            <w:r>
              <w:rPr/>
              <w:t>  </w:t>
            </w:r>
          </w:p>
        </w:tc>
        <w:tc>
          <w:tcPr>
            <w:tcW w:w="17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Units</w:t>
              <w:br/>
              <w:t>Granted</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Units</w:t>
              <w:br/>
              <w:t>Unvested</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 Date</w:t>
            </w:r>
          </w:p>
        </w:tc>
        <w:tc>
          <w:tcPr>
            <w:tcW w:w="63" w:type="dxa"/>
            <w:tcBorders/>
            <w:vAlign w:val="bottom"/>
          </w:tcPr>
          <w:p>
            <w:pPr>
              <w:pStyle w:val="TableContents"/>
              <w:bidi w:val="0"/>
              <w:spacing w:before="0" w:after="283"/>
              <w:jc w:val="left"/>
              <w:rPr/>
            </w:pPr>
            <w:r>
              <w:rPr/>
              <w:t> </w:t>
            </w:r>
          </w:p>
        </w:tc>
      </w:tr>
      <w:tr>
        <w:trPr/>
        <w:tc>
          <w:tcPr>
            <w:tcW w:w="3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 Time-Based RSU</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6" w:type="dxa"/>
            <w:tcBorders/>
            <w:shd w:fill="CCEEFF" w:val="clear"/>
            <w:vAlign w:val="bottom"/>
          </w:tcPr>
          <w:p>
            <w:pPr>
              <w:pStyle w:val="TableContents"/>
              <w:bidi w:val="0"/>
              <w:spacing w:before="0" w:after="283"/>
              <w:jc w:val="right"/>
              <w:rPr/>
            </w:pPr>
            <w:r>
              <w:rPr/>
              <w:t>53,547</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6" w:type="dxa"/>
            <w:tcBorders/>
            <w:shd w:fill="CCEEFF" w:val="clear"/>
            <w:vAlign w:val="bottom"/>
          </w:tcPr>
          <w:p>
            <w:pPr>
              <w:pStyle w:val="TableContents"/>
              <w:bidi w:val="0"/>
              <w:spacing w:before="0" w:after="283"/>
              <w:jc w:val="right"/>
              <w:rPr/>
            </w:pPr>
            <w:r>
              <w:rPr/>
              <w:t>53,547</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2/17/2026</w:t>
            </w:r>
          </w:p>
        </w:tc>
        <w:tc>
          <w:tcPr>
            <w:tcW w:w="63" w:type="dxa"/>
            <w:tcBorders/>
            <w:shd w:fill="CCEEFF" w:val="clear"/>
            <w:vAlign w:val="bottom"/>
          </w:tcPr>
          <w:p>
            <w:pPr>
              <w:pStyle w:val="TableContents"/>
              <w:bidi w:val="0"/>
              <w:spacing w:before="0" w:after="283"/>
              <w:jc w:val="left"/>
              <w:rPr/>
            </w:pPr>
            <w:r>
              <w:rPr/>
              <w:t> </w:t>
            </w:r>
          </w:p>
        </w:tc>
      </w:tr>
      <w:tr>
        <w:trPr/>
        <w:tc>
          <w:tcPr>
            <w:tcW w:w="3059" w:type="dxa"/>
            <w:tcBorders/>
          </w:tcPr>
          <w:p>
            <w:pPr>
              <w:pStyle w:val="TableContents"/>
              <w:bidi w:val="0"/>
              <w:spacing w:before="0" w:after="0"/>
              <w:jc w:val="left"/>
              <w:rPr>
                <w:rFonts w:ascii="Times New Roman" w:hAnsi="Times New Roman"/>
                <w:sz w:val="20"/>
              </w:rPr>
            </w:pPr>
            <w:r>
              <w:rPr>
                <w:rFonts w:ascii="Times New Roman" w:hAnsi="Times New Roman"/>
                <w:sz w:val="20"/>
              </w:rPr>
              <w:t>2026 Performance-Based RSUs</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6" w:type="dxa"/>
            <w:tcBorders/>
            <w:vAlign w:val="bottom"/>
          </w:tcPr>
          <w:p>
            <w:pPr>
              <w:pStyle w:val="TableContents"/>
              <w:bidi w:val="0"/>
              <w:spacing w:before="0" w:after="283"/>
              <w:jc w:val="right"/>
              <w:rPr/>
            </w:pPr>
            <w:r>
              <w:rPr/>
              <w:t>73,951</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6" w:type="dxa"/>
            <w:tcBorders/>
            <w:vAlign w:val="bottom"/>
          </w:tcPr>
          <w:p>
            <w:pPr>
              <w:pStyle w:val="TableContents"/>
              <w:bidi w:val="0"/>
              <w:spacing w:before="0" w:after="283"/>
              <w:jc w:val="right"/>
              <w:rPr/>
            </w:pPr>
            <w:r>
              <w:rPr/>
              <w:t>73,951</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2/17/2026</w:t>
            </w:r>
          </w:p>
        </w:tc>
        <w:tc>
          <w:tcPr>
            <w:tcW w:w="63" w:type="dxa"/>
            <w:tcBorders/>
            <w:vAlign w:val="bottom"/>
          </w:tcPr>
          <w:p>
            <w:pPr>
              <w:pStyle w:val="TableContents"/>
              <w:bidi w:val="0"/>
              <w:spacing w:before="0" w:after="283"/>
              <w:jc w:val="left"/>
              <w:rPr/>
            </w:pPr>
            <w:r>
              <w:rPr/>
              <w:t> </w:t>
            </w:r>
          </w:p>
        </w:tc>
      </w:tr>
      <w:tr>
        <w:trPr/>
        <w:tc>
          <w:tcPr>
            <w:tcW w:w="3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 Time-Based RSU</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6" w:type="dxa"/>
            <w:tcBorders/>
            <w:shd w:fill="CCEEFF" w:val="clear"/>
            <w:vAlign w:val="bottom"/>
          </w:tcPr>
          <w:p>
            <w:pPr>
              <w:pStyle w:val="TableContents"/>
              <w:bidi w:val="0"/>
              <w:spacing w:before="0" w:after="283"/>
              <w:jc w:val="right"/>
              <w:rPr/>
            </w:pPr>
            <w:r>
              <w:rPr/>
              <w:t>33,872</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6" w:type="dxa"/>
            <w:tcBorders/>
            <w:shd w:fill="CCEEFF" w:val="clear"/>
            <w:vAlign w:val="bottom"/>
          </w:tcPr>
          <w:p>
            <w:pPr>
              <w:pStyle w:val="TableContents"/>
              <w:bidi w:val="0"/>
              <w:spacing w:before="0" w:after="283"/>
              <w:jc w:val="right"/>
              <w:rPr/>
            </w:pPr>
            <w:r>
              <w:rPr/>
              <w:t>22,581</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2/18/2025</w:t>
            </w:r>
          </w:p>
        </w:tc>
        <w:tc>
          <w:tcPr>
            <w:tcW w:w="63" w:type="dxa"/>
            <w:tcBorders/>
            <w:shd w:fill="CCEEFF" w:val="clear"/>
            <w:vAlign w:val="bottom"/>
          </w:tcPr>
          <w:p>
            <w:pPr>
              <w:pStyle w:val="TableContents"/>
              <w:bidi w:val="0"/>
              <w:spacing w:before="0" w:after="283"/>
              <w:jc w:val="left"/>
              <w:rPr/>
            </w:pPr>
            <w:r>
              <w:rPr/>
              <w:t> </w:t>
            </w:r>
          </w:p>
        </w:tc>
      </w:tr>
      <w:tr>
        <w:trPr/>
        <w:tc>
          <w:tcPr>
            <w:tcW w:w="3059" w:type="dxa"/>
            <w:tcBorders/>
          </w:tcPr>
          <w:p>
            <w:pPr>
              <w:pStyle w:val="TableContents"/>
              <w:bidi w:val="0"/>
              <w:spacing w:before="0" w:after="0"/>
              <w:jc w:val="left"/>
              <w:rPr>
                <w:rFonts w:ascii="Times New Roman" w:hAnsi="Times New Roman"/>
                <w:sz w:val="20"/>
              </w:rPr>
            </w:pPr>
            <w:r>
              <w:rPr>
                <w:rFonts w:ascii="Times New Roman" w:hAnsi="Times New Roman"/>
                <w:sz w:val="20"/>
              </w:rPr>
              <w:t>2025 Performance-Based RSUs</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6" w:type="dxa"/>
            <w:tcBorders/>
            <w:vAlign w:val="bottom"/>
          </w:tcPr>
          <w:p>
            <w:pPr>
              <w:pStyle w:val="TableContents"/>
              <w:bidi w:val="0"/>
              <w:spacing w:before="0" w:after="283"/>
              <w:jc w:val="right"/>
              <w:rPr/>
            </w:pPr>
            <w:r>
              <w:rPr/>
              <w:t>30,588</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6" w:type="dxa"/>
            <w:tcBorders/>
            <w:vAlign w:val="bottom"/>
          </w:tcPr>
          <w:p>
            <w:pPr>
              <w:pStyle w:val="TableContents"/>
              <w:bidi w:val="0"/>
              <w:spacing w:before="0" w:after="283"/>
              <w:jc w:val="right"/>
              <w:rPr/>
            </w:pPr>
            <w:r>
              <w:rPr/>
              <w:t>20,392</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2/18/2025</w:t>
            </w:r>
          </w:p>
        </w:tc>
        <w:tc>
          <w:tcPr>
            <w:tcW w:w="63" w:type="dxa"/>
            <w:tcBorders/>
            <w:vAlign w:val="bottom"/>
          </w:tcPr>
          <w:p>
            <w:pPr>
              <w:pStyle w:val="TableContents"/>
              <w:bidi w:val="0"/>
              <w:spacing w:before="0" w:after="283"/>
              <w:jc w:val="left"/>
              <w:rPr/>
            </w:pPr>
            <w:r>
              <w:rPr/>
              <w:t> </w:t>
            </w:r>
          </w:p>
        </w:tc>
      </w:tr>
      <w:tr>
        <w:trPr/>
        <w:tc>
          <w:tcPr>
            <w:tcW w:w="3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 Time-Based RSU</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6" w:type="dxa"/>
            <w:tcBorders/>
            <w:shd w:fill="CCEEFF" w:val="clear"/>
            <w:vAlign w:val="bottom"/>
          </w:tcPr>
          <w:p>
            <w:pPr>
              <w:pStyle w:val="TableContents"/>
              <w:bidi w:val="0"/>
              <w:spacing w:before="0" w:after="283"/>
              <w:jc w:val="right"/>
              <w:rPr/>
            </w:pPr>
            <w:r>
              <w:rPr/>
              <w:t>37,921</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6" w:type="dxa"/>
            <w:tcBorders/>
            <w:shd w:fill="CCEEFF" w:val="clear"/>
            <w:vAlign w:val="bottom"/>
          </w:tcPr>
          <w:p>
            <w:pPr>
              <w:pStyle w:val="TableContents"/>
              <w:bidi w:val="0"/>
              <w:spacing w:before="0" w:after="283"/>
              <w:jc w:val="right"/>
              <w:rPr/>
            </w:pPr>
            <w:r>
              <w:rPr/>
              <w:t>12,640</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2/15/2024</w:t>
            </w:r>
          </w:p>
        </w:tc>
        <w:tc>
          <w:tcPr>
            <w:tcW w:w="63" w:type="dxa"/>
            <w:tcBorders/>
            <w:shd w:fill="CCEEFF" w:val="clear"/>
            <w:vAlign w:val="bottom"/>
          </w:tcPr>
          <w:p>
            <w:pPr>
              <w:pStyle w:val="TableContents"/>
              <w:bidi w:val="0"/>
              <w:spacing w:before="0" w:after="283"/>
              <w:jc w:val="left"/>
              <w:rPr/>
            </w:pPr>
            <w:r>
              <w:rPr/>
              <w:t> </w:t>
            </w:r>
          </w:p>
        </w:tc>
      </w:tr>
      <w:tr>
        <w:trPr/>
        <w:tc>
          <w:tcPr>
            <w:tcW w:w="3059" w:type="dxa"/>
            <w:tcBorders/>
          </w:tcPr>
          <w:p>
            <w:pPr>
              <w:pStyle w:val="TableContents"/>
              <w:bidi w:val="0"/>
              <w:spacing w:before="0" w:after="0"/>
              <w:jc w:val="left"/>
              <w:rPr>
                <w:rFonts w:ascii="Times New Roman" w:hAnsi="Times New Roman"/>
                <w:sz w:val="20"/>
              </w:rPr>
            </w:pPr>
            <w:r>
              <w:rPr>
                <w:rFonts w:ascii="Times New Roman" w:hAnsi="Times New Roman"/>
                <w:sz w:val="20"/>
              </w:rPr>
              <w:t>2024 Performance-Based RSUs</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6" w:type="dxa"/>
            <w:tcBorders/>
            <w:vAlign w:val="bottom"/>
          </w:tcPr>
          <w:p>
            <w:pPr>
              <w:pStyle w:val="TableContents"/>
              <w:bidi w:val="0"/>
              <w:spacing w:before="0" w:after="283"/>
              <w:jc w:val="right"/>
              <w:rPr/>
            </w:pPr>
            <w:r>
              <w:rPr/>
              <w:t>32,143</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6" w:type="dxa"/>
            <w:tcBorders/>
            <w:vAlign w:val="bottom"/>
          </w:tcPr>
          <w:p>
            <w:pPr>
              <w:pStyle w:val="TableContents"/>
              <w:bidi w:val="0"/>
              <w:spacing w:before="0" w:after="283"/>
              <w:jc w:val="right"/>
              <w:rPr/>
            </w:pPr>
            <w:r>
              <w:rPr/>
              <w:t>10,714</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2/15/2024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right"/>
        <w:rPr>
          <w:rFonts w:ascii="Times New Roman" w:hAnsi="Times New Roman"/>
          <w:b/>
          <w:sz w:val="20"/>
        </w:rPr>
      </w:pPr>
      <w:bookmarkStart w:id="4" w:name="d255504dex991.htm"/>
      <w:bookmarkStart w:id="5" w:name="ksd255504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4"/>
        <w:gridCol w:w="122"/>
        <w:gridCol w:w="2890"/>
        <w:gridCol w:w="122"/>
        <w:gridCol w:w="3707"/>
      </w:tblGrid>
      <w:tr>
        <w:trPr/>
        <w:tc>
          <w:tcPr>
            <w:tcW w:w="336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707" w:type="dxa"/>
            <w:tcBorders/>
            <w:vAlign w:val="center"/>
          </w:tcPr>
          <w:p>
            <w:pPr>
              <w:pStyle w:val="TableContents"/>
              <w:bidi w:val="0"/>
              <w:spacing w:before="0" w:after="283"/>
              <w:jc w:val="left"/>
              <w:rPr>
                <w:sz w:val="4"/>
                <w:szCs w:val="4"/>
              </w:rPr>
            </w:pPr>
            <w:r>
              <w:rPr>
                <w:sz w:val="4"/>
                <w:szCs w:val="4"/>
              </w:rPr>
            </w:r>
          </w:p>
        </w:tc>
      </w:tr>
      <w:tr>
        <w:trPr/>
        <w:tc>
          <w:tcPr>
            <w:tcW w:w="3364" w:type="dxa"/>
            <w:tcBorders/>
          </w:tcPr>
          <w:p>
            <w:pPr>
              <w:pStyle w:val="TableContents"/>
              <w:bidi w:val="0"/>
              <w:spacing w:before="0" w:after="283"/>
              <w:jc w:val="left"/>
              <w:rPr>
                <w:b/>
              </w:rPr>
            </w:pPr>
            <w:r>
              <w:rPr>
                <w:b/>
              </w:rPr>
              <w:t>News Release</w:t>
            </w:r>
          </w:p>
        </w:tc>
        <w:tc>
          <w:tcPr>
            <w:tcW w:w="122" w:type="dxa"/>
            <w:tcBorders/>
            <w:vAlign w:val="bottom"/>
          </w:tcPr>
          <w:p>
            <w:pPr>
              <w:pStyle w:val="TableContents"/>
              <w:bidi w:val="0"/>
              <w:spacing w:before="0" w:after="283"/>
              <w:jc w:val="left"/>
              <w:rPr/>
            </w:pPr>
            <w:r>
              <w:rPr/>
              <w:t>  </w:t>
            </w:r>
          </w:p>
        </w:tc>
        <w:tc>
          <w:tcPr>
            <w:tcW w:w="289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707" w:type="dxa"/>
            <w:tcBorders/>
          </w:tcPr>
          <w:p>
            <w:pPr>
              <w:pStyle w:val="TableContents"/>
              <w:bidi w:val="0"/>
              <w:spacing w:before="0" w:after="283"/>
              <w:jc w:val="left"/>
              <w:rPr/>
            </w:pPr>
            <w:r>
              <w:rPr/>
              <w:drawing>
                <wp:inline distT="0" distB="0" distL="0" distR="0">
                  <wp:extent cx="215265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52650" cy="40005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5"/>
        <w:gridCol w:w="204"/>
        <w:gridCol w:w="9186"/>
      </w:tblGrid>
      <w:tr>
        <w:trPr/>
        <w:tc>
          <w:tcPr>
            <w:tcW w:w="81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186" w:type="dxa"/>
            <w:tcBorders/>
            <w:vAlign w:val="center"/>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283"/>
              <w:jc w:val="left"/>
              <w:rPr/>
            </w:pPr>
            <w:r>
              <w:rPr/>
              <w:t>Contact:</w:t>
            </w:r>
          </w:p>
        </w:tc>
        <w:tc>
          <w:tcPr>
            <w:tcW w:w="204"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Investors: Jeb Bachmann – Managing Director, Investor Relations - (615) 263-3024</w:t>
            </w:r>
          </w:p>
          <w:p>
            <w:pPr>
              <w:pStyle w:val="TableContents"/>
              <w:bidi w:val="0"/>
              <w:spacing w:before="0" w:after="20"/>
              <w:jc w:val="left"/>
              <w:rPr>
                <w:rFonts w:ascii="Times New Roman" w:hAnsi="Times New Roman"/>
                <w:sz w:val="20"/>
              </w:rPr>
            </w:pPr>
            <w:r>
              <w:rPr>
                <w:rFonts w:ascii="Times New Roman" w:hAnsi="Times New Roman"/>
                <w:sz w:val="20"/>
              </w:rPr>
              <w:t>Media: Steve Owen – Vice President, Communications - (615) 263-3107</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LUCIBETH N. MAYBERRY NAMED PRESIDENT AND CEO AND </w:t>
      </w:r>
    </w:p>
    <w:p>
      <w:pPr>
        <w:pStyle w:val="TextBody"/>
        <w:bidi w:val="0"/>
        <w:spacing w:before="0" w:after="0"/>
        <w:jc w:val="center"/>
        <w:rPr>
          <w:rFonts w:ascii="Times New Roman" w:hAnsi="Times New Roman"/>
          <w:b/>
          <w:sz w:val="20"/>
        </w:rPr>
      </w:pPr>
      <w:r>
        <w:rPr>
          <w:rFonts w:ascii="Times New Roman" w:hAnsi="Times New Roman"/>
          <w:b/>
          <w:sz w:val="20"/>
        </w:rPr>
        <w:t xml:space="preserve">DIRECTOR OF CORECIVIC </w:t>
      </w:r>
    </w:p>
    <w:p>
      <w:pPr>
        <w:pStyle w:val="TextBody"/>
        <w:bidi w:val="0"/>
        <w:spacing w:before="0" w:after="0"/>
        <w:jc w:val="center"/>
        <w:rPr>
          <w:rFonts w:ascii="Times New Roman" w:hAnsi="Times New Roman"/>
          <w:b/>
          <w:sz w:val="20"/>
        </w:rPr>
      </w:pPr>
      <w:r>
        <w:rPr>
          <w:rFonts w:ascii="Times New Roman" w:hAnsi="Times New Roman"/>
          <w:b/>
          <w:sz w:val="20"/>
        </w:rPr>
        <w:t xml:space="preserve">PATRICK D. SWINDLE STEPS DOWN DUE TO HEALTH REASONS </w:t>
      </w:r>
    </w:p>
    <w:p>
      <w:pPr>
        <w:pStyle w:val="TextBody"/>
        <w:bidi w:val="0"/>
        <w:spacing w:before="240" w:after="0"/>
        <w:jc w:val="left"/>
        <w:rPr>
          <w:rFonts w:ascii="Times New Roman" w:hAnsi="Times New Roman"/>
          <w:sz w:val="20"/>
        </w:rPr>
      </w:pPr>
      <w:r>
        <w:rPr>
          <w:rFonts w:ascii="Times New Roman" w:hAnsi="Times New Roman"/>
          <w:b/>
          <w:sz w:val="20"/>
        </w:rPr>
        <w:t>Brentwood, Tenn. – September</w:t>
      </w:r>
      <w:r>
        <w:rPr>
          <w:rFonts w:ascii="Times New Roman" w:hAnsi="Times New Roman"/>
          <w:sz w:val="20"/>
        </w:rPr>
        <w:t> </w:t>
      </w:r>
      <w:r>
        <w:rPr>
          <w:rFonts w:ascii="Times New Roman" w:hAnsi="Times New Roman"/>
          <w:b/>
          <w:sz w:val="20"/>
        </w:rPr>
        <w:t>25, 2026 –</w:t>
      </w:r>
      <w:r>
        <w:rPr>
          <w:rFonts w:ascii="Times New Roman" w:hAnsi="Times New Roman"/>
          <w:sz w:val="20"/>
        </w:rPr>
        <w:t xml:space="preserve"> </w:t>
      </w:r>
      <w:r>
        <w:rPr>
          <w:rFonts w:ascii="Times New Roman" w:hAnsi="Times New Roman"/>
          <w:b/>
          <w:sz w:val="20"/>
        </w:rPr>
        <w:t>CoreCivic, Inc. (NYSE: CXW)</w:t>
      </w:r>
      <w:r>
        <w:rPr>
          <w:rFonts w:ascii="Times New Roman" w:hAnsi="Times New Roman"/>
          <w:sz w:val="20"/>
        </w:rPr>
        <w:t xml:space="preserve"> (“CoreCivic” or the “Company”) announced today that the Board of Directors of the Company has appointed Lucibeth N. Mayberry as President and Chief Executive Officer of the Company. Patrick D. Swindle has resigned as President and Chief Executive Officer due to health reasons. Mr. Swindle has served as President and Chief Executive Officer since January 1, 2026, following his appointment as President and Chief Operating Officer on January 1, 2025. In addition, Mr. Swindle resigned from CoreCivic’s Board, and Ms. Mayberry has been appointed to fill the vacancy. </w:t>
      </w:r>
    </w:p>
    <w:p>
      <w:pPr>
        <w:pStyle w:val="TextBody"/>
        <w:bidi w:val="0"/>
        <w:spacing w:before="240" w:after="0"/>
        <w:jc w:val="left"/>
        <w:rPr>
          <w:rFonts w:ascii="Times New Roman" w:hAnsi="Times New Roman"/>
          <w:sz w:val="20"/>
        </w:rPr>
      </w:pPr>
      <w:r>
        <w:rPr>
          <w:rFonts w:ascii="Times New Roman" w:hAnsi="Times New Roman"/>
          <w:sz w:val="20"/>
        </w:rPr>
        <w:t xml:space="preserve">Mr. Swindle said, “It is with a heavy heart that I am announcing my decision to resign as President and CEO of CoreCivic, as I pursue treatment for stage four metastatic pancreatic cancer. It has been the greatest professional honor of my life to serve as President and CEO of this Company. We have an excellent leadership team at CoreCivic, and Lucibeth has been an indispensable member of our executive leadership team, with whom I’ve worked closely for nineteen years on many critical strategic matters for the Company, including the property sales we announced earlier this year. Lucibeth is one of the most capable and principled leaders I know, and I have no doubt that under her stewardship, this Company will continue to grow and make a difference in the lives of the individuals entrusted to our care.” </w:t>
      </w:r>
    </w:p>
    <w:p>
      <w:pPr>
        <w:pStyle w:val="TextBody"/>
        <w:bidi w:val="0"/>
        <w:spacing w:before="240" w:after="0"/>
        <w:jc w:val="left"/>
        <w:rPr>
          <w:rFonts w:ascii="Times New Roman" w:hAnsi="Times New Roman"/>
          <w:sz w:val="20"/>
        </w:rPr>
      </w:pPr>
      <w:r>
        <w:rPr>
          <w:rFonts w:ascii="Times New Roman" w:hAnsi="Times New Roman"/>
          <w:sz w:val="20"/>
        </w:rPr>
        <w:t xml:space="preserve">Ms. Mayberry said, “Patrick is not only a remarkable leader but a valued colleague and a dear friend. I am personally thankful for his mentorship and his numerous contributions to CoreCivic, not just as Chief Executive Officer, but over the course of his many years with the Company. Patrick has been instrumental in leading CoreCivic through a significant period of development and change during his time as President and CEO. I am fully committed to continuing the current capital allocation strategy, maintaining our focus on operational excellence, and look forward to building on the progress already underway.” </w:t>
      </w:r>
    </w:p>
    <w:p>
      <w:pPr>
        <w:pStyle w:val="TextBody"/>
        <w:bidi w:val="0"/>
        <w:spacing w:before="240" w:after="0"/>
        <w:jc w:val="left"/>
        <w:rPr>
          <w:rFonts w:ascii="Times New Roman" w:hAnsi="Times New Roman"/>
          <w:sz w:val="20"/>
        </w:rPr>
      </w:pPr>
      <w:r>
        <w:rPr>
          <w:rFonts w:ascii="Times New Roman" w:hAnsi="Times New Roman"/>
          <w:sz w:val="20"/>
        </w:rPr>
        <w:t xml:space="preserve">Mark Emkes, chair of the Board of Directors, commented, “On behalf of the Board of Directors, I thank Patrick and extend our very best wishes to him and his family. Patrick helped make the Company stronger and more flexible and positioned the Company well for the future. We are profoundly grateful for everything Patrick has given to this organization, and we are honored that he will continue to lend his guidance as a special advisor during this transition. In appointing Lucibeth, the Board is recognizing her significant leadership and the trust she has earned across the organization. She has a deep understanding of our business, a proven ability to execute strategic initiatives, and the full confidence of the Board to lead CoreCivic forward while continuing the strategy that has strengthened the Company and created value for shareholders.” </w:t>
      </w:r>
    </w:p>
    <w:p>
      <w:pPr>
        <w:pStyle w:val="TextBody"/>
        <w:bidi w:val="0"/>
        <w:spacing w:before="240" w:after="0"/>
        <w:jc w:val="left"/>
        <w:rPr>
          <w:rFonts w:ascii="Times New Roman" w:hAnsi="Times New Roman"/>
          <w:sz w:val="20"/>
        </w:rPr>
      </w:pPr>
      <w:r>
        <w:rPr>
          <w:rFonts w:ascii="Times New Roman" w:hAnsi="Times New Roman"/>
          <w:sz w:val="20"/>
        </w:rPr>
        <w:t xml:space="preserve">Ms. Mayberry has served as the Executive Vice President and Chief Strategy Officer since May 2025. From October 2022 to May 2025, Ms. Mayberry served as the Executive Vice President and Chief Innovation Officer. Prior to assuming that role, Ms. Mayberry served as Executive Vice President, Real Estate from May 2015 until October 2022. She has previously served in various roles at CoreCivic since May 2003, including as Vice President, Deputy Chief Development Officer; Vice President, Research, Contract and Proposals; and as Managing Director, State Partnership Relations. Ms. Mayberry holds a bachelor’s degree from the University of Tennessee, a juris doctor from Vanderbilt University, and a Master of Laws degree in taxation from the University of Florida.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5501 Virginia Way, Brentwood, Tennessee 37027, Phone: 615-263-3000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CoreCivic </w:t>
      </w:r>
    </w:p>
    <w:p>
      <w:pPr>
        <w:pStyle w:val="TextBody"/>
        <w:bidi w:val="0"/>
        <w:spacing w:before="120" w:after="0"/>
        <w:jc w:val="left"/>
        <w:rPr>
          <w:rFonts w:ascii="Times New Roman" w:hAnsi="Times New Roman"/>
          <w:sz w:val="20"/>
        </w:rPr>
      </w:pPr>
      <w:r>
        <w:rPr>
          <w:rFonts w:ascii="Times New Roman" w:hAnsi="Times New Roman"/>
          <w:sz w:val="20"/>
        </w:rPr>
        <w:t xml:space="preserve">CoreCivic is a diversified, government-solutions company with the scale and experience needed to solve tough government challenges in flexible, cost-effective ways. We provide a broad range of solutions to government partners that help build safer, healthier, and more productive communities one person at a time through residential corrections, detention, and reentry management, adjacent service offerings that include pharmaceutical, transportation, and alternatives to incarceration, and government real estate solutions. We are the nation’s largest owner of partnership correctional, detention and residential reentry facilities, and one of the largest operators of such facilities in the United States. We have been a flexible and dependable partner for government for more than 40 years. Our employees are driven by a deep sense of service, high standards of professionalism and a responsibility to help government better the public good. Learn more at </w:t>
      </w:r>
      <w:r>
        <w:rPr>
          <w:rFonts w:ascii="Times New Roman" w:hAnsi="Times New Roman"/>
          <w:sz w:val="20"/>
          <w:u w:val="single"/>
        </w:rPr>
        <w:t>www.corecivic.com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statements as to our beliefs and expectations of the outcome of future events that are “forward-looking” statements as defined within the meaning of the Private Securities Litigation Reform Act of 1995, as amended, including, but not limited to, statements concerning the transition of executive leadership at CoreCivic. These forward-looking statements may include such words as “anticipate,” “estimate,” “expect,” “project,” “plan,” “intend,” “believe,” “may,” “will,” “should,” “can have,” “likely,” and other words and terms of similar meaning in connection with any discussion of the timing or nature of future operating or financial performance or other events. These forward-looking statements are subject to risks and uncertainties that could cause actual results to differ materially from the statements made. Important factors that could cause actual results to differ from our expectations are described in the filings made from time to time by CoreCivic with the Securities and Exchange Commission (“SEC”) and include the risk factors described in CoreCivic’s Annual Report on Form 10-K for the year ended December 31, 2025, filed with the SEC on February 20, 2026 and subsequent filings. </w:t>
      </w:r>
    </w:p>
    <w:p>
      <w:pPr>
        <w:pStyle w:val="TextBody"/>
        <w:bidi w:val="0"/>
        <w:spacing w:before="240" w:after="0"/>
        <w:jc w:val="left"/>
        <w:rPr>
          <w:rFonts w:ascii="Times New Roman" w:hAnsi="Times New Roman"/>
          <w:sz w:val="20"/>
        </w:rPr>
      </w:pPr>
      <w:r>
        <w:rPr>
          <w:rFonts w:ascii="Times New Roman" w:hAnsi="Times New Roman"/>
          <w:sz w:val="20"/>
        </w:rPr>
        <w:t xml:space="preserve">CoreCivic takes no responsibility for updating the information contained in this press release following the date hereof to reflect events or circumstances occurring after the date hereof or the occurrence of unanticipated events or for any changes or modifications made to this press release or the information contained herein by any third-parties, including, but not limited to, any wire or internet services, except as may be required by law.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9329</Words>
  <Characters>50974</Characters>
  <CharactersWithSpaces>60380</CharactersWithSpaces>
  <Paragraphs>454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