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Emkes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CORECIVIC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CoreCivic, Inc.</w:t>
              </w:r>
            </w:hyperlink>
            <w:r>
              <w:rPr/>
              <w:t xml:space="preserve"> [ </w:t>
            </w:r>
            <w:r>
              <w:rPr>
                <w:rFonts w:ascii="Times;serif" w:hAnsi="Times;serif"/>
                <w:color w:val="0000FF"/>
                <w:sz w:val="24"/>
                <w:shd w:fill="FFFFFF" w:val="clear"/>
              </w:rPr>
              <w:t>CXW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34.25</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141,274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$34.23 to $34.37,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8144" TargetMode="External"/><Relationship Id="rId5" Type="http://schemas.openxmlformats.org/officeDocument/2006/relationships/hyperlink" Target="http://www.sec.gov/cgi-bin/browse-edgar?action=getcompany&amp;CIK=0001070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3424</Characters>
  <CharactersWithSpaces>3990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