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Rasmussen Erik Chad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5501 VIRGINIA WAY</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BRENTWOOD</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TN</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37027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09/25/2026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CoreCivic, Inc.</w:t>
              </w:r>
            </w:hyperlink>
            <w:r>
              <w:rPr/>
              <w:t xml:space="preserve"> [ </w:t>
            </w:r>
            <w:r>
              <w:rPr>
                <w:rFonts w:ascii="Times;serif" w:hAnsi="Times;serif"/>
                <w:color w:val="0000FF"/>
                <w:sz w:val="24"/>
                <w:shd w:fill="FFFFFF" w:val="clear"/>
              </w:rPr>
              <w:t>CXW</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Investment Officer</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54,958</w:t>
            </w:r>
            <w:r>
              <w:rPr>
                <w:rFonts w:ascii="Times;serif" w:hAnsi="Times;serif"/>
                <w:color w:val="008000"/>
                <w:position w:val="7"/>
                <w:sz w:val="16"/>
                <w:sz w:val="20"/>
                <w:shd w:fill="FFFFFF" w:val="clear"/>
              </w:rPr>
              <w:t>(1)</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29,373 restricted stock units previously granted to the reporting person, which entitle the reporting person to one share of common stock for each restricted unit that vests. The restricted stock units will vest as follows (rounded to the nearest share): 6,159 shares on February 15, 2027; 9,139 shares in two equal installments beginning on February 18, 2027; and 14,075 shares in three equal annual installments beginning on February 17, 2027, or for each applicable year, on the date of the delivery of the audited financial statements by the Company's independent registered public accountant, if later.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Joseph Bachmann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57873" TargetMode="External"/><Relationship Id="rId3" Type="http://schemas.openxmlformats.org/officeDocument/2006/relationships/hyperlink" Target="http://www.sec.gov/cgi-bin/browse-edgar?action=getcompany&amp;CIK=0001070985"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484</Words>
  <Characters>2681</Characters>
  <CharactersWithSpaces>3117</CharactersWithSpaces>
  <Paragraphs>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