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140"/>
        <w:spacing w:after="0"/>
        <w:rPr>
          <w:sz w:val="20"/>
          <w:szCs w:val="20"/>
          <w:color w:val="auto"/>
        </w:rPr>
      </w:pPr>
      <w:r>
        <w:rPr>
          <w:rFonts w:ascii="Arial" w:cs="Arial" w:eastAsia="Arial" w:hAnsi="Arial"/>
          <w:sz w:val="19"/>
          <w:szCs w:val="19"/>
          <w:b w:val="1"/>
          <w:bCs w:val="1"/>
          <w:color w:val="auto"/>
        </w:rPr>
        <w:t>Date of Report (Date of earliest event reported): May 16, 2014 (May 15,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399"/>
        <w:spacing w:after="0"/>
        <w:rPr>
          <w:sz w:val="20"/>
          <w:szCs w:val="20"/>
          <w:color w:val="auto"/>
        </w:rPr>
      </w:pPr>
      <w:r>
        <w:rPr>
          <w:rFonts w:ascii="Arial" w:cs="Arial" w:eastAsia="Arial" w:hAnsi="Arial"/>
          <w:sz w:val="41"/>
          <w:szCs w:val="41"/>
          <w:b w:val="1"/>
          <w:bCs w:val="1"/>
          <w:color w:val="auto"/>
        </w:rPr>
        <w:t>Corrections Corporation of America</w:t>
      </w:r>
    </w:p>
    <w:p>
      <w:pPr>
        <w:spacing w:after="0" w:line="73"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001-16109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62-1763875</w:t>
      </w:r>
    </w:p>
    <w:p>
      <w:pPr>
        <w:spacing w:after="0" w:line="31" w:lineRule="exact"/>
        <w:rPr>
          <w:sz w:val="24"/>
          <w:szCs w:val="24"/>
          <w:color w:val="auto"/>
        </w:rPr>
      </w:pPr>
    </w:p>
    <w:p>
      <w:pPr>
        <w:sectPr>
          <w:pgSz w:w="11900" w:h="16838" w:orient="portrait"/>
          <w:cols w:equalWidth="0" w:num="3">
            <w:col w:w="4740" w:space="720"/>
            <w:col w:w="2980" w:space="720"/>
            <w:col w:w="1860"/>
          </w:cols>
          <w:pgMar w:left="240" w:top="368" w:right="639" w:bottom="1440" w:gutter="0" w:footer="0" w:header="0"/>
          <w:type w:val="continuous"/>
        </w:sectPr>
      </w:pPr>
    </w:p>
    <w:p>
      <w:pPr>
        <w:spacing w:after="0" w:line="11"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10 Burton Hills Boulevard, Nashville, Tennessee 37215</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(615) 263-3000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Corrections Corporation of America (the “Company”) held its Annual Meeting of Stockholders (the “Annual Meeting”) on May 15, 2014 and there were present in person or represented by proxy 107,287,992 shares of the Company’s common stock representing 92.24% of the 116,312,636 shares of the Company’s common stock outstanding and entitled to vote at the Annual Meeting.</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the Annual Meeting, the Company’s stockholders (i) elected eleven directors to the Board (ii) ratified the appointment of Ernst &amp; Young LLP as the Company’s independent registered public accounting firm for the fiscal year ending December 31, 2014 and (iii) approved the compensation of the Company’s named executive officers. The number of votes “For”, “Against” and “Abstain” as well as the number of broker non-votes for each proposal were as follows:</w:t>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u w:val="single" w:color="auto"/>
          <w:color w:val="auto"/>
        </w:rPr>
        <w:t>Proposal 1</w:t>
      </w:r>
      <w:r>
        <w:rPr>
          <w:rFonts w:ascii="Arial" w:cs="Arial" w:eastAsia="Arial" w:hAnsi="Arial"/>
          <w:sz w:val="18"/>
          <w:szCs w:val="18"/>
          <w:color w:val="auto"/>
        </w:rPr>
        <w:t>: The election of John D. Ferguson, Damon T. Hininger, Donna M. Alvarado, John D. Correnti, Robert J. Dennis, C. Michael Jacobi, Anne L.</w:t>
      </w:r>
      <w:r>
        <w:rPr>
          <w:rFonts w:ascii="Arial" w:cs="Arial" w:eastAsia="Arial" w:hAnsi="Arial"/>
          <w:sz w:val="18"/>
          <w:szCs w:val="18"/>
          <w:b w:val="1"/>
          <w:bCs w:val="1"/>
          <w:color w:val="auto"/>
        </w:rPr>
        <w:t xml:space="preserve"> </w:t>
      </w:r>
      <w:r>
        <w:rPr>
          <w:rFonts w:ascii="Arial" w:cs="Arial" w:eastAsia="Arial" w:hAnsi="Arial"/>
          <w:sz w:val="18"/>
          <w:szCs w:val="18"/>
          <w:color w:val="auto"/>
        </w:rPr>
        <w:t>Mariucci, Thurgood Marshall, Jr., Charles L. Overby, John R. Prann, Jr. and Joseph V. Russell to serve as members of the Company’s Board of Directors until the next annual meeting of stockholders and until their successors are duly elected and qualified:</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Nominee</w:t>
            </w:r>
          </w:p>
        </w:tc>
        <w:tc>
          <w:tcPr>
            <w:tcW w:w="34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For</w:t>
            </w:r>
          </w:p>
        </w:tc>
        <w:tc>
          <w:tcPr>
            <w:tcW w:w="11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Against</w:t>
            </w: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Abstain</w:t>
            </w:r>
          </w:p>
        </w:tc>
        <w:tc>
          <w:tcPr>
            <w:tcW w:w="1000" w:type="dxa"/>
            <w:vAlign w:val="bottom"/>
          </w:tcPr>
          <w:p>
            <w:pPr>
              <w:ind w:left="3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auto"/>
            </w:tcBorders>
            <w:vMerge w:val="continue"/>
          </w:tcPr>
          <w:p>
            <w:pPr>
              <w:spacing w:after="0"/>
              <w:rPr>
                <w:sz w:val="14"/>
                <w:szCs w:val="14"/>
                <w:color w:val="auto"/>
              </w:rPr>
            </w:pPr>
          </w:p>
        </w:tc>
        <w:tc>
          <w:tcPr>
            <w:tcW w:w="342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91"/>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John D. Ferguson</w:t>
            </w:r>
          </w:p>
        </w:tc>
        <w:tc>
          <w:tcPr>
            <w:tcW w:w="34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95,469,932</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3,404,758</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76,967</w:t>
            </w:r>
          </w:p>
        </w:tc>
        <w:tc>
          <w:tcPr>
            <w:tcW w:w="1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8,336,335</w:t>
            </w: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0"/>
                <w:szCs w:val="20"/>
                <w:color w:val="auto"/>
              </w:rPr>
            </w:pPr>
            <w:r>
              <w:rPr>
                <w:rFonts w:ascii="Arial" w:cs="Arial" w:eastAsia="Arial" w:hAnsi="Arial"/>
                <w:sz w:val="18"/>
                <w:szCs w:val="18"/>
                <w:color w:val="auto"/>
              </w:rPr>
              <w:t>Damon T. Hininger</w:t>
            </w:r>
          </w:p>
        </w:tc>
        <w:tc>
          <w:tcPr>
            <w:tcW w:w="3420" w:type="dxa"/>
            <w:vAlign w:val="bottom"/>
          </w:tcPr>
          <w:p>
            <w:pPr>
              <w:jc w:val="right"/>
              <w:ind w:right="91"/>
              <w:spacing w:after="0"/>
              <w:rPr>
                <w:sz w:val="20"/>
                <w:szCs w:val="20"/>
                <w:color w:val="auto"/>
              </w:rPr>
            </w:pPr>
            <w:r>
              <w:rPr>
                <w:rFonts w:ascii="Arial" w:cs="Arial" w:eastAsia="Arial" w:hAnsi="Arial"/>
                <w:sz w:val="18"/>
                <w:szCs w:val="18"/>
                <w:color w:val="auto"/>
              </w:rPr>
              <w:t>95,627,911</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3,246,869</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76,877</w:t>
            </w:r>
          </w:p>
        </w:tc>
        <w:tc>
          <w:tcPr>
            <w:tcW w:w="1000" w:type="dxa"/>
            <w:vAlign w:val="bottom"/>
          </w:tcPr>
          <w:p>
            <w:pPr>
              <w:ind w:left="180"/>
              <w:spacing w:after="0"/>
              <w:rPr>
                <w:sz w:val="20"/>
                <w:szCs w:val="20"/>
                <w:color w:val="auto"/>
              </w:rPr>
            </w:pPr>
            <w:r>
              <w:rPr>
                <w:rFonts w:ascii="Arial" w:cs="Arial" w:eastAsia="Arial" w:hAnsi="Arial"/>
                <w:sz w:val="18"/>
                <w:szCs w:val="18"/>
                <w:color w:val="auto"/>
                <w:w w:val="99"/>
              </w:rPr>
              <w:t>8,336,335</w:t>
            </w:r>
          </w:p>
        </w:tc>
        <w:tc>
          <w:tcPr>
            <w:tcW w:w="0" w:type="dxa"/>
            <w:vAlign w:val="bottom"/>
          </w:tcPr>
          <w:p>
            <w:pPr>
              <w:spacing w:after="0"/>
              <w:rPr>
                <w:sz w:val="1"/>
                <w:szCs w:val="1"/>
                <w:color w:val="auto"/>
              </w:rPr>
            </w:pPr>
          </w:p>
        </w:tc>
      </w:tr>
      <w:tr>
        <w:trPr>
          <w:trHeight w:val="29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Donna M. Alvarado</w:t>
            </w:r>
          </w:p>
        </w:tc>
        <w:tc>
          <w:tcPr>
            <w:tcW w:w="34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98,033,871</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841,653</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76,133</w:t>
            </w:r>
          </w:p>
        </w:tc>
        <w:tc>
          <w:tcPr>
            <w:tcW w:w="1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8,336,335</w:t>
            </w: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0"/>
                <w:szCs w:val="20"/>
                <w:color w:val="auto"/>
              </w:rPr>
            </w:pPr>
            <w:r>
              <w:rPr>
                <w:rFonts w:ascii="Arial" w:cs="Arial" w:eastAsia="Arial" w:hAnsi="Arial"/>
                <w:sz w:val="18"/>
                <w:szCs w:val="18"/>
                <w:color w:val="auto"/>
              </w:rPr>
              <w:t>John D. Correnti</w:t>
            </w:r>
          </w:p>
        </w:tc>
        <w:tc>
          <w:tcPr>
            <w:tcW w:w="3420" w:type="dxa"/>
            <w:vAlign w:val="bottom"/>
          </w:tcPr>
          <w:p>
            <w:pPr>
              <w:jc w:val="right"/>
              <w:ind w:right="91"/>
              <w:spacing w:after="0"/>
              <w:rPr>
                <w:sz w:val="20"/>
                <w:szCs w:val="20"/>
                <w:color w:val="auto"/>
              </w:rPr>
            </w:pPr>
            <w:r>
              <w:rPr>
                <w:rFonts w:ascii="Arial" w:cs="Arial" w:eastAsia="Arial" w:hAnsi="Arial"/>
                <w:sz w:val="18"/>
                <w:szCs w:val="18"/>
                <w:color w:val="auto"/>
              </w:rPr>
              <w:t>95,571,659</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3,302,841</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77,157</w:t>
            </w:r>
          </w:p>
        </w:tc>
        <w:tc>
          <w:tcPr>
            <w:tcW w:w="1000" w:type="dxa"/>
            <w:vAlign w:val="bottom"/>
          </w:tcPr>
          <w:p>
            <w:pPr>
              <w:ind w:left="180"/>
              <w:spacing w:after="0"/>
              <w:rPr>
                <w:sz w:val="20"/>
                <w:szCs w:val="20"/>
                <w:color w:val="auto"/>
              </w:rPr>
            </w:pPr>
            <w:r>
              <w:rPr>
                <w:rFonts w:ascii="Arial" w:cs="Arial" w:eastAsia="Arial" w:hAnsi="Arial"/>
                <w:sz w:val="18"/>
                <w:szCs w:val="18"/>
                <w:color w:val="auto"/>
                <w:w w:val="99"/>
              </w:rPr>
              <w:t>8,336,335</w:t>
            </w:r>
          </w:p>
        </w:tc>
        <w:tc>
          <w:tcPr>
            <w:tcW w:w="0" w:type="dxa"/>
            <w:vAlign w:val="bottom"/>
          </w:tcPr>
          <w:p>
            <w:pPr>
              <w:spacing w:after="0"/>
              <w:rPr>
                <w:sz w:val="1"/>
                <w:szCs w:val="1"/>
                <w:color w:val="auto"/>
              </w:rPr>
            </w:pPr>
          </w:p>
        </w:tc>
      </w:tr>
      <w:tr>
        <w:trPr>
          <w:trHeight w:val="29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Robert J. Dennis</w:t>
            </w:r>
          </w:p>
        </w:tc>
        <w:tc>
          <w:tcPr>
            <w:tcW w:w="34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97,727,270</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1,144,630</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79,757</w:t>
            </w:r>
          </w:p>
        </w:tc>
        <w:tc>
          <w:tcPr>
            <w:tcW w:w="1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8,336,335</w:t>
            </w: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0"/>
                <w:szCs w:val="20"/>
                <w:color w:val="auto"/>
              </w:rPr>
            </w:pPr>
            <w:r>
              <w:rPr>
                <w:rFonts w:ascii="Arial" w:cs="Arial" w:eastAsia="Arial" w:hAnsi="Arial"/>
                <w:sz w:val="18"/>
                <w:szCs w:val="18"/>
                <w:color w:val="auto"/>
              </w:rPr>
              <w:t>C. Michael Jacobi</w:t>
            </w:r>
          </w:p>
        </w:tc>
        <w:tc>
          <w:tcPr>
            <w:tcW w:w="3420" w:type="dxa"/>
            <w:vAlign w:val="bottom"/>
          </w:tcPr>
          <w:p>
            <w:pPr>
              <w:jc w:val="right"/>
              <w:ind w:right="91"/>
              <w:spacing w:after="0"/>
              <w:rPr>
                <w:sz w:val="20"/>
                <w:szCs w:val="20"/>
                <w:color w:val="auto"/>
              </w:rPr>
            </w:pPr>
            <w:r>
              <w:rPr>
                <w:rFonts w:ascii="Arial" w:cs="Arial" w:eastAsia="Arial" w:hAnsi="Arial"/>
                <w:sz w:val="18"/>
                <w:szCs w:val="18"/>
                <w:color w:val="auto"/>
              </w:rPr>
              <w:t>87,135,835</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11,738,455</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77,367</w:t>
            </w:r>
          </w:p>
        </w:tc>
        <w:tc>
          <w:tcPr>
            <w:tcW w:w="1000" w:type="dxa"/>
            <w:vAlign w:val="bottom"/>
          </w:tcPr>
          <w:p>
            <w:pPr>
              <w:ind w:left="180"/>
              <w:spacing w:after="0"/>
              <w:rPr>
                <w:sz w:val="20"/>
                <w:szCs w:val="20"/>
                <w:color w:val="auto"/>
              </w:rPr>
            </w:pPr>
            <w:r>
              <w:rPr>
                <w:rFonts w:ascii="Arial" w:cs="Arial" w:eastAsia="Arial" w:hAnsi="Arial"/>
                <w:sz w:val="18"/>
                <w:szCs w:val="18"/>
                <w:color w:val="auto"/>
                <w:w w:val="99"/>
              </w:rPr>
              <w:t>8,336,335</w:t>
            </w:r>
          </w:p>
        </w:tc>
        <w:tc>
          <w:tcPr>
            <w:tcW w:w="0" w:type="dxa"/>
            <w:vAlign w:val="bottom"/>
          </w:tcPr>
          <w:p>
            <w:pPr>
              <w:spacing w:after="0"/>
              <w:rPr>
                <w:sz w:val="1"/>
                <w:szCs w:val="1"/>
                <w:color w:val="auto"/>
              </w:rPr>
            </w:pPr>
          </w:p>
        </w:tc>
      </w:tr>
      <w:tr>
        <w:trPr>
          <w:trHeight w:val="29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Anne L. Mariucci</w:t>
            </w:r>
          </w:p>
        </w:tc>
        <w:tc>
          <w:tcPr>
            <w:tcW w:w="34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98,038,359</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833,695</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79,603</w:t>
            </w:r>
          </w:p>
        </w:tc>
        <w:tc>
          <w:tcPr>
            <w:tcW w:w="1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8,336,335</w:t>
            </w: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0"/>
                <w:szCs w:val="20"/>
                <w:color w:val="auto"/>
              </w:rPr>
            </w:pPr>
            <w:r>
              <w:rPr>
                <w:rFonts w:ascii="Arial" w:cs="Arial" w:eastAsia="Arial" w:hAnsi="Arial"/>
                <w:sz w:val="18"/>
                <w:szCs w:val="18"/>
                <w:color w:val="auto"/>
              </w:rPr>
              <w:t>Thurgood Marshall, Jr.</w:t>
            </w:r>
          </w:p>
        </w:tc>
        <w:tc>
          <w:tcPr>
            <w:tcW w:w="3420" w:type="dxa"/>
            <w:vAlign w:val="bottom"/>
          </w:tcPr>
          <w:p>
            <w:pPr>
              <w:jc w:val="right"/>
              <w:ind w:right="91"/>
              <w:spacing w:after="0"/>
              <w:rPr>
                <w:sz w:val="20"/>
                <w:szCs w:val="20"/>
                <w:color w:val="auto"/>
              </w:rPr>
            </w:pPr>
            <w:r>
              <w:rPr>
                <w:rFonts w:ascii="Arial" w:cs="Arial" w:eastAsia="Arial" w:hAnsi="Arial"/>
                <w:sz w:val="18"/>
                <w:szCs w:val="18"/>
                <w:color w:val="auto"/>
              </w:rPr>
              <w:t>95,772,808</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3,101,948</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76,901</w:t>
            </w:r>
          </w:p>
        </w:tc>
        <w:tc>
          <w:tcPr>
            <w:tcW w:w="1000" w:type="dxa"/>
            <w:vAlign w:val="bottom"/>
          </w:tcPr>
          <w:p>
            <w:pPr>
              <w:ind w:left="180"/>
              <w:spacing w:after="0"/>
              <w:rPr>
                <w:sz w:val="20"/>
                <w:szCs w:val="20"/>
                <w:color w:val="auto"/>
              </w:rPr>
            </w:pPr>
            <w:r>
              <w:rPr>
                <w:rFonts w:ascii="Arial" w:cs="Arial" w:eastAsia="Arial" w:hAnsi="Arial"/>
                <w:sz w:val="18"/>
                <w:szCs w:val="18"/>
                <w:color w:val="auto"/>
                <w:w w:val="99"/>
              </w:rPr>
              <w:t>8,336,335</w:t>
            </w:r>
          </w:p>
        </w:tc>
        <w:tc>
          <w:tcPr>
            <w:tcW w:w="0" w:type="dxa"/>
            <w:vAlign w:val="bottom"/>
          </w:tcPr>
          <w:p>
            <w:pPr>
              <w:spacing w:after="0"/>
              <w:rPr>
                <w:sz w:val="1"/>
                <w:szCs w:val="1"/>
                <w:color w:val="auto"/>
              </w:rPr>
            </w:pPr>
          </w:p>
        </w:tc>
      </w:tr>
      <w:tr>
        <w:trPr>
          <w:trHeight w:val="29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Charles L. Overby</w:t>
            </w:r>
          </w:p>
        </w:tc>
        <w:tc>
          <w:tcPr>
            <w:tcW w:w="34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95,012,416</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3,858,672</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80,569</w:t>
            </w:r>
          </w:p>
        </w:tc>
        <w:tc>
          <w:tcPr>
            <w:tcW w:w="1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8,336,335</w:t>
            </w:r>
          </w:p>
        </w:tc>
        <w:tc>
          <w:tcPr>
            <w:tcW w:w="0" w:type="dxa"/>
            <w:vAlign w:val="bottom"/>
          </w:tcPr>
          <w:p>
            <w:pPr>
              <w:spacing w:after="0"/>
              <w:rPr>
                <w:sz w:val="1"/>
                <w:szCs w:val="1"/>
                <w:color w:val="auto"/>
              </w:rPr>
            </w:pPr>
          </w:p>
        </w:tc>
      </w:tr>
      <w:tr>
        <w:trPr>
          <w:trHeight w:val="297"/>
        </w:trPr>
        <w:tc>
          <w:tcPr>
            <w:tcW w:w="4080" w:type="dxa"/>
            <w:vAlign w:val="bottom"/>
          </w:tcPr>
          <w:p>
            <w:pPr>
              <w:spacing w:after="0"/>
              <w:rPr>
                <w:sz w:val="20"/>
                <w:szCs w:val="20"/>
                <w:color w:val="auto"/>
              </w:rPr>
            </w:pPr>
            <w:r>
              <w:rPr>
                <w:rFonts w:ascii="Arial" w:cs="Arial" w:eastAsia="Arial" w:hAnsi="Arial"/>
                <w:sz w:val="18"/>
                <w:szCs w:val="18"/>
                <w:color w:val="auto"/>
              </w:rPr>
              <w:t>John R. Prann, Jr.</w:t>
            </w:r>
          </w:p>
        </w:tc>
        <w:tc>
          <w:tcPr>
            <w:tcW w:w="3420" w:type="dxa"/>
            <w:vAlign w:val="bottom"/>
          </w:tcPr>
          <w:p>
            <w:pPr>
              <w:jc w:val="right"/>
              <w:ind w:right="91"/>
              <w:spacing w:after="0"/>
              <w:rPr>
                <w:sz w:val="20"/>
                <w:szCs w:val="20"/>
                <w:color w:val="auto"/>
              </w:rPr>
            </w:pPr>
            <w:r>
              <w:rPr>
                <w:rFonts w:ascii="Arial" w:cs="Arial" w:eastAsia="Arial" w:hAnsi="Arial"/>
                <w:sz w:val="18"/>
                <w:szCs w:val="18"/>
                <w:color w:val="auto"/>
              </w:rPr>
              <w:t>95,574,512</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3,295,652</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81,493</w:t>
            </w:r>
          </w:p>
        </w:tc>
        <w:tc>
          <w:tcPr>
            <w:tcW w:w="1000" w:type="dxa"/>
            <w:vAlign w:val="bottom"/>
          </w:tcPr>
          <w:p>
            <w:pPr>
              <w:ind w:left="180"/>
              <w:spacing w:after="0"/>
              <w:rPr>
                <w:sz w:val="20"/>
                <w:szCs w:val="20"/>
                <w:color w:val="auto"/>
              </w:rPr>
            </w:pPr>
            <w:r>
              <w:rPr>
                <w:rFonts w:ascii="Arial" w:cs="Arial" w:eastAsia="Arial" w:hAnsi="Arial"/>
                <w:sz w:val="18"/>
                <w:szCs w:val="18"/>
                <w:color w:val="auto"/>
                <w:w w:val="99"/>
              </w:rPr>
              <w:t>8,336,335</w:t>
            </w:r>
          </w:p>
        </w:tc>
        <w:tc>
          <w:tcPr>
            <w:tcW w:w="0" w:type="dxa"/>
            <w:vAlign w:val="bottom"/>
          </w:tcPr>
          <w:p>
            <w:pPr>
              <w:spacing w:after="0"/>
              <w:rPr>
                <w:sz w:val="1"/>
                <w:szCs w:val="1"/>
                <w:color w:val="auto"/>
              </w:rPr>
            </w:pPr>
          </w:p>
        </w:tc>
      </w:tr>
      <w:tr>
        <w:trPr>
          <w:trHeight w:val="29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Joseph V. Russell</w:t>
            </w:r>
          </w:p>
        </w:tc>
        <w:tc>
          <w:tcPr>
            <w:tcW w:w="34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95,488,789</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3,387,808</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75,060</w:t>
            </w:r>
          </w:p>
        </w:tc>
        <w:tc>
          <w:tcPr>
            <w:tcW w:w="1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8,336,335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Proposal 2</w:t>
      </w:r>
      <w:r>
        <w:rPr>
          <w:rFonts w:ascii="Arial" w:cs="Arial" w:eastAsia="Arial" w:hAnsi="Arial"/>
          <w:sz w:val="16"/>
          <w:szCs w:val="16"/>
          <w:color w:val="auto"/>
        </w:rPr>
        <w:t>: Ratification of the appointment of Ernst &amp; Young LLP as the Company’s independent registered public accounting firm for the fiscal year ending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7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7"/>
              </w:rPr>
              <w:t>For</w:t>
            </w:r>
          </w:p>
        </w:tc>
        <w:tc>
          <w:tcPr>
            <w:tcW w:w="2420" w:type="dxa"/>
            <w:vAlign w:val="bottom"/>
            <w:tcBorders>
              <w:bottom w:val="single" w:sz="8" w:color="auto"/>
            </w:tcBorders>
          </w:tcPr>
          <w:p>
            <w:pPr>
              <w:jc w:val="center"/>
              <w:ind w:left="219"/>
              <w:spacing w:after="0"/>
              <w:rPr>
                <w:sz w:val="20"/>
                <w:szCs w:val="20"/>
                <w:color w:val="auto"/>
              </w:rPr>
            </w:pPr>
            <w:r>
              <w:rPr>
                <w:rFonts w:ascii="Arial" w:cs="Arial" w:eastAsia="Arial" w:hAnsi="Arial"/>
                <w:sz w:val="14"/>
                <w:szCs w:val="14"/>
                <w:b w:val="1"/>
                <w:bCs w:val="1"/>
                <w:color w:val="auto"/>
                <w:w w:val="93"/>
              </w:rPr>
              <w:t>Against</w:t>
            </w: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Abstain</w:t>
            </w:r>
          </w:p>
        </w:tc>
        <w:tc>
          <w:tcPr>
            <w:tcW w:w="24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Broker Non-Votes</w:t>
            </w:r>
          </w:p>
        </w:tc>
      </w:tr>
      <w:tr>
        <w:trPr>
          <w:trHeight w:val="291"/>
        </w:trPr>
        <w:tc>
          <w:tcPr>
            <w:tcW w:w="276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rPr>
              <w:t>102,400,631</w:t>
            </w:r>
          </w:p>
        </w:tc>
        <w:tc>
          <w:tcPr>
            <w:tcW w:w="24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4,811,946</w:t>
            </w:r>
          </w:p>
        </w:tc>
        <w:tc>
          <w:tcPr>
            <w:tcW w:w="1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75,415</w:t>
            </w:r>
          </w:p>
        </w:tc>
        <w:tc>
          <w:tcPr>
            <w:tcW w:w="24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3</w:t>
      </w:r>
      <w:r>
        <w:rPr>
          <w:rFonts w:ascii="Arial" w:cs="Arial" w:eastAsia="Arial" w:hAnsi="Arial"/>
          <w:sz w:val="18"/>
          <w:szCs w:val="18"/>
          <w:color w:val="auto"/>
        </w:rPr>
        <w:t>: An advisory vote to approve the compensation paid to the Company’s named executive officers: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6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7"/>
              </w:rPr>
              <w:t>For</w:t>
            </w:r>
          </w:p>
        </w:tc>
        <w:tc>
          <w:tcPr>
            <w:tcW w:w="2400" w:type="dxa"/>
            <w:vAlign w:val="bottom"/>
            <w:tcBorders>
              <w:bottom w:val="single" w:sz="8" w:color="auto"/>
            </w:tcBorders>
          </w:tcPr>
          <w:p>
            <w:pPr>
              <w:jc w:val="center"/>
              <w:ind w:left="179"/>
              <w:spacing w:after="0"/>
              <w:rPr>
                <w:sz w:val="20"/>
                <w:szCs w:val="20"/>
                <w:color w:val="auto"/>
              </w:rPr>
            </w:pPr>
            <w:r>
              <w:rPr>
                <w:rFonts w:ascii="Arial" w:cs="Arial" w:eastAsia="Arial" w:hAnsi="Arial"/>
                <w:sz w:val="14"/>
                <w:szCs w:val="14"/>
                <w:b w:val="1"/>
                <w:bCs w:val="1"/>
                <w:color w:val="auto"/>
                <w:w w:val="89"/>
              </w:rPr>
              <w:t>Against</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2460" w:type="dxa"/>
            <w:vAlign w:val="bottom"/>
            <w:tcBorders>
              <w:bottom w:val="single" w:sz="8" w:color="auto"/>
            </w:tcBorders>
          </w:tcPr>
          <w:p>
            <w:pPr>
              <w:jc w:val="center"/>
              <w:ind w:left="179"/>
              <w:spacing w:after="0"/>
              <w:rPr>
                <w:sz w:val="20"/>
                <w:szCs w:val="20"/>
                <w:color w:val="auto"/>
              </w:rPr>
            </w:pPr>
            <w:r>
              <w:rPr>
                <w:rFonts w:ascii="Arial" w:cs="Arial" w:eastAsia="Arial" w:hAnsi="Arial"/>
                <w:sz w:val="14"/>
                <w:szCs w:val="14"/>
                <w:b w:val="1"/>
                <w:bCs w:val="1"/>
                <w:color w:val="auto"/>
                <w:w w:val="94"/>
              </w:rPr>
              <w:t>Broker Non-Votes</w:t>
            </w:r>
          </w:p>
        </w:tc>
      </w:tr>
      <w:tr>
        <w:trPr>
          <w:trHeight w:val="291"/>
        </w:trPr>
        <w:tc>
          <w:tcPr>
            <w:tcW w:w="264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rPr>
              <w:t>95,551,485</w:t>
            </w:r>
          </w:p>
        </w:tc>
        <w:tc>
          <w:tcPr>
            <w:tcW w:w="24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3,073,675</w:t>
            </w:r>
          </w:p>
        </w:tc>
        <w:tc>
          <w:tcPr>
            <w:tcW w:w="208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326,497</w:t>
            </w:r>
          </w:p>
        </w:tc>
        <w:tc>
          <w:tcPr>
            <w:tcW w:w="24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8,336,335</w:t>
            </w: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16, 2014</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CORRECTIONS CORPORATION OF AMERICA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David M. Garfinkle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2019-12-06T19:52:15Z</dcterms:created>
  <dcterms:modified xsi:type="dcterms:W3CDTF">2019-12-06T19:52:15Z</dcterms:modified>
</cp:coreProperties>
</file>