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60325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4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-162560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001-16109</w:t>
      </w:r>
    </w:p>
    <w:p>
      <w:pPr>
        <w:sectPr>
          <w:pgSz w:w="11900" w:h="16838" w:orient="portrait"/>
          <w:cols w:equalWidth="0" w:num="1">
            <w:col w:w="11240"/>
          </w:cols>
          <w:pgMar w:left="320" w:top="1226" w:right="339" w:bottom="1440" w:gutter="0" w:footer="0" w:header="0"/>
        </w:sectPr>
      </w:pPr>
    </w:p>
    <w:p>
      <w:pPr>
        <w:spacing w:after="0" w:line="79" w:lineRule="exact"/>
        <w:rPr>
          <w:sz w:val="24"/>
          <w:szCs w:val="24"/>
          <w:color w:val="auto"/>
        </w:rPr>
      </w:pPr>
    </w:p>
    <w:p>
      <w:pPr>
        <w:jc w:val="center"/>
        <w:ind w:left="3940"/>
        <w:spacing w:after="0"/>
        <w:rPr>
          <w:sz w:val="20"/>
          <w:szCs w:val="20"/>
          <w:color w:val="auto"/>
        </w:rPr>
      </w:pPr>
      <w:r>
        <w:rPr>
          <w:rFonts w:ascii="Times New Roman" w:cs="Times New Roman" w:eastAsia="Times New Roman" w:hAnsi="Times New Roman"/>
          <w:sz w:val="32"/>
          <w:szCs w:val="32"/>
          <w:b w:val="1"/>
          <w:bCs w:val="1"/>
          <w:color w:val="auto"/>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53975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5"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MARYLAND</w:t>
      </w:r>
    </w:p>
    <w:p>
      <w:pPr>
        <w:ind w:left="2020"/>
        <w:spacing w:after="0" w:line="227"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62-1763875</w:t>
      </w:r>
    </w:p>
    <w:p>
      <w:pPr>
        <w:spacing w:after="0" w:line="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5" w:lineRule="exact"/>
        <w:rPr>
          <w:sz w:val="24"/>
          <w:szCs w:val="24"/>
          <w:color w:val="auto"/>
        </w:rPr>
      </w:pPr>
    </w:p>
    <w:p>
      <w:pPr>
        <w:sectPr>
          <w:pgSz w:w="11900" w:h="16838" w:orient="portrait"/>
          <w:cols w:equalWidth="0" w:num="2">
            <w:col w:w="7320" w:space="620"/>
            <w:col w:w="3300"/>
          </w:cols>
          <w:pgMar w:left="320" w:top="1226"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5"/>
          <w:szCs w:val="15"/>
          <w:b w:val="1"/>
          <w:bCs w:val="1"/>
          <w:color w:val="auto"/>
        </w:rPr>
        <w:t>5501 VIRGINIA WAY</w:t>
      </w:r>
    </w:p>
    <w:p>
      <w:pPr>
        <w:ind w:left="1820"/>
        <w:spacing w:after="0" w:line="234" w:lineRule="auto"/>
        <w:tabs>
          <w:tab w:leader="none" w:pos="8220" w:val="left"/>
        </w:tabs>
        <w:rPr>
          <w:sz w:val="20"/>
          <w:szCs w:val="20"/>
          <w:color w:val="auto"/>
        </w:rPr>
      </w:pPr>
      <w:r>
        <w:rPr>
          <w:rFonts w:ascii="Times New Roman" w:cs="Times New Roman" w:eastAsia="Times New Roman" w:hAnsi="Times New Roman"/>
          <w:sz w:val="15"/>
          <w:szCs w:val="15"/>
          <w:b w:val="1"/>
          <w:bCs w:val="1"/>
          <w:color w:val="auto"/>
        </w:rPr>
        <w:t>BRENTWOOD, TENNESSEE</w:t>
      </w:r>
      <w:r>
        <w:rPr>
          <w:sz w:val="20"/>
          <w:szCs w:val="20"/>
          <w:color w:val="auto"/>
        </w:rPr>
        <w:tab/>
      </w:r>
      <w:r>
        <w:rPr>
          <w:rFonts w:ascii="Times New Roman" w:cs="Times New Roman" w:eastAsia="Times New Roman" w:hAnsi="Times New Roman"/>
          <w:sz w:val="15"/>
          <w:szCs w:val="15"/>
          <w:b w:val="1"/>
          <w:bCs w:val="1"/>
          <w:color w:val="auto"/>
        </w:rPr>
        <w:t>37027</w:t>
      </w: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(615) 263-3000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3"/>
                <w:szCs w:val="13"/>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60" w:type="dxa"/>
            <w:vAlign w:val="bottom"/>
          </w:tcPr>
          <w:p>
            <w:pPr>
              <w:spacing w:after="0"/>
              <w:rPr>
                <w:sz w:val="13"/>
                <w:szCs w:val="1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Common Stock, par value $.01 per share</w:t>
            </w:r>
          </w:p>
        </w:tc>
        <w:tc>
          <w:tcPr>
            <w:tcW w:w="2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CXW</w:t>
            </w:r>
          </w:p>
        </w:tc>
        <w:tc>
          <w:tcPr>
            <w:tcW w:w="16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66" w:lineRule="exact"/>
        <w:rPr>
          <w:sz w:val="24"/>
          <w:szCs w:val="24"/>
          <w:color w:val="auto"/>
        </w:rPr>
      </w:pPr>
    </w:p>
    <w:p>
      <w:pPr>
        <w:ind w:right="3060"/>
        <w:spacing w:after="0" w:line="23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-281305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60" w:type="dxa"/>
            <w:vAlign w:val="bottom"/>
          </w:tcPr>
          <w:p>
            <w:pPr>
              <w:ind w:left="154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60" w:type="dxa"/>
            <w:vAlign w:val="bottom"/>
          </w:tcPr>
          <w:p>
            <w:pPr>
              <w:ind w:left="154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60" w:type="dxa"/>
            <w:vAlign w:val="bottom"/>
          </w:tcPr>
          <w:p>
            <w:pPr>
              <w:ind w:left="154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7"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7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The aggregate market value of the shares of the registrant's Common Stock held by non-affiliates was approximately $2,216,804,746 as of June 30, 2025 based on the closing price of such shares on the New York Stock Exchange on that day. The number of shares of the registrant's Common Stock outstanding on February 13, 2026 was 97,709,228.</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the 2026 Annual Meeting of Stockholders, currently scheduled to be held on May 14, 2026,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20" w:type="dxa"/>
            <w:vAlign w:val="bottom"/>
            <w:gridSpan w:val="20"/>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CORECIVIC, INC.</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19"/>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20" w:type="dxa"/>
            <w:vAlign w:val="bottom"/>
            <w:gridSpan w:val="24"/>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No.</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60" w:type="dxa"/>
            <w:vAlign w:val="bottom"/>
            <w:gridSpan w:val="21"/>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6"/>
        </w:trPr>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4"/>
            <w:vMerge w:val="restart"/>
          </w:tcPr>
          <w:p>
            <w:pPr>
              <w:jc w:val="center"/>
              <w:ind w:right="406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4"/>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46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24"/>
                <w:szCs w:val="24"/>
                <w:color w:val="auto"/>
              </w:rPr>
            </w:pPr>
          </w:p>
        </w:tc>
        <w:tc>
          <w:tcPr>
            <w:tcW w:w="4100" w:type="dxa"/>
            <w:vAlign w:val="bottom"/>
            <w:gridSpan w:val="11"/>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43"/>
          </w:tcPr>
          <w:p>
            <w:pPr>
              <w:ind w:left="200"/>
              <w:spacing w:after="0" w:line="196" w:lineRule="exact"/>
              <w:rPr>
                <w:sz w:val="20"/>
                <w:szCs w:val="20"/>
                <w:color w:val="auto"/>
              </w:rPr>
            </w:pPr>
            <w:r>
              <w:rPr>
                <w:rFonts w:ascii="Times New Roman" w:cs="Times New Roman" w:eastAsia="Times New Roman" w:hAnsi="Times New Roman"/>
                <w:sz w:val="18"/>
                <w:szCs w:val="18"/>
                <w:color w:val="0000FF"/>
              </w:rPr>
              <w:t>Operating Procedures and Inmate and Resident Services for Correctional, Detention, and Residential Reentry Facilities</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gridSpan w:val="41"/>
          </w:tcPr>
          <w:p>
            <w:pPr>
              <w:spacing w:after="0" w:line="194" w:lineRule="exact"/>
              <w:rPr>
                <w:sz w:val="20"/>
                <w:szCs w:val="20"/>
                <w:color w:val="auto"/>
              </w:rPr>
            </w:pPr>
            <w:r>
              <w:rPr>
                <w:rFonts w:ascii="Times New Roman" w:cs="Times New Roman" w:eastAsia="Times New Roman" w:hAnsi="Times New Roman"/>
                <w:sz w:val="18"/>
                <w:szCs w:val="18"/>
                <w:color w:val="0000FF"/>
              </w:rPr>
              <w:t>Business Development</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2025 Accomplishments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Facility Portfolio</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Competitive Strengths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Human Capital</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Government Regulation</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Insurance</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Competition</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1C.</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40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93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820" w:type="dxa"/>
            <w:vAlign w:val="bottom"/>
            <w:tcBorders>
              <w:top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and Distributions on Capital Stock</w:t>
            </w:r>
          </w:p>
        </w:tc>
        <w:tc>
          <w:tcPr>
            <w:tcW w:w="1240" w:type="dxa"/>
            <w:vAlign w:val="bottom"/>
            <w:gridSpan w:val="2"/>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Issuer Purchases of Equity Securities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180" w:type="dxa"/>
            <w:vAlign w:val="bottom"/>
            <w:tcBorders>
              <w:top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2880" w:type="dxa"/>
            <w:vAlign w:val="bottom"/>
            <w:gridSpan w:val="5"/>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Results of Operations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Inflation</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Seasonality and Quarterly Results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108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tcPr>
          <w:p>
            <w:pPr>
              <w:spacing w:after="0" w:line="20" w:lineRule="exact"/>
              <w:rPr>
                <w:sz w:val="1"/>
                <w:szCs w:val="1"/>
                <w:color w:val="auto"/>
              </w:rPr>
            </w:pPr>
          </w:p>
        </w:tc>
        <w:tc>
          <w:tcPr>
            <w:tcW w:w="132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tcPr>
          <w:p>
            <w:pPr>
              <w:spacing w:after="0" w:line="20" w:lineRule="exact"/>
              <w:rPr>
                <w:sz w:val="1"/>
                <w:szCs w:val="1"/>
                <w:color w:val="auto"/>
              </w:rPr>
            </w:pPr>
          </w:p>
        </w:tc>
        <w:tc>
          <w:tcPr>
            <w:tcW w:w="132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9C.</w:t>
            </w: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0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93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7"/>
                <w:szCs w:val="17"/>
                <w:color w:val="auto"/>
              </w:rPr>
            </w:pPr>
          </w:p>
        </w:tc>
        <w:tc>
          <w:tcPr>
            <w:tcW w:w="7280" w:type="dxa"/>
            <w:vAlign w:val="bottom"/>
            <w:tcBorders>
              <w:bottom w:val="single" w:sz="8" w:color="0000FF"/>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20" w:type="dxa"/>
            <w:vAlign w:val="bottom"/>
            <w:gridSpan w:val="3"/>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 and Director Independence</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34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gridSpan w:val="16"/>
          </w:tcPr>
          <w:p>
            <w:pPr>
              <w:jc w:val="center"/>
              <w:ind w:right="40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4"/>
                <w:szCs w:val="24"/>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24"/>
                <w:szCs w:val="24"/>
                <w:color w:val="auto"/>
              </w:rPr>
            </w:pPr>
          </w:p>
        </w:tc>
        <w:tc>
          <w:tcPr>
            <w:tcW w:w="4040" w:type="dxa"/>
            <w:vAlign w:val="bottom"/>
            <w:gridSpan w:val="9"/>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540" w:type="dxa"/>
            <w:vAlign w:val="bottom"/>
            <w:gridSpan w:val="11"/>
            <w:shd w:val="clear" w:color="auto" w:fill="0000FF"/>
          </w:tcPr>
          <w:p>
            <w:pPr>
              <w:spacing w:after="0" w:line="20" w:lineRule="exact"/>
              <w:rPr>
                <w:sz w:val="1"/>
                <w:szCs w:val="1"/>
                <w:color w:val="auto"/>
              </w:rPr>
            </w:pPr>
          </w:p>
        </w:tc>
        <w:tc>
          <w:tcPr>
            <w:tcW w:w="1600" w:type="dxa"/>
            <w:vAlign w:val="bottom"/>
            <w:gridSpan w:val="9"/>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7"/>
                <w:szCs w:val="17"/>
                <w:color w:val="auto"/>
              </w:rPr>
            </w:pPr>
          </w:p>
        </w:tc>
        <w:tc>
          <w:tcPr>
            <w:tcW w:w="93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7"/>
          </w:tcPr>
          <w:p>
            <w:pPr>
              <w:jc w:val="center"/>
              <w:ind w:right="382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1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884"/>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20" w:type="dxa"/>
            <w:vAlign w:val="bottom"/>
            <w:gridSpan w:val="26"/>
          </w:tcPr>
          <w:p>
            <w:pPr>
              <w:spacing w:after="0"/>
              <w:rPr>
                <w:sz w:val="24"/>
                <w:szCs w:val="24"/>
                <w:color w:val="auto"/>
              </w:rPr>
            </w:pPr>
          </w:p>
        </w:tc>
        <w:tc>
          <w:tcPr>
            <w:tcW w:w="640" w:type="dxa"/>
            <w:vAlign w:val="bottom"/>
            <w:tcBorders>
              <w:top w:val="single" w:sz="8" w:color="0000FF"/>
            </w:tcBorders>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149"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81" w:lineRule="exact"/>
        <w:rPr>
          <w:sz w:val="20"/>
          <w:szCs w:val="20"/>
          <w:color w:val="auto"/>
        </w:rPr>
      </w:pPr>
    </w:p>
    <w:p>
      <w:pPr>
        <w:jc w:val="both"/>
        <w:ind w:left="10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U.S. Immigration and Customs Enforcement, or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budget uncertainty, the impact of debt ceilings and the potential for government shutdowns and changing budget priorities;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consummate future development and acquisition opportunities, integrate their operations, and realize projected returns resulting therefrom;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debt and equity financing on terms that are favorable to us, or at all.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"Part I, Item 1A. Risk Factors" of this Annual Report. Set forth below is a summary list of the principal risk factors as of the date of the filing of this Annual Report.</w:t>
      </w:r>
    </w:p>
    <w:p>
      <w:pPr>
        <w:spacing w:after="0" w:line="68" w:lineRule="exact"/>
        <w:rPr>
          <w:sz w:val="20"/>
          <w:szCs w:val="20"/>
          <w:color w:val="auto"/>
        </w:rPr>
      </w:pPr>
    </w:p>
    <w:p>
      <w:pPr>
        <w:jc w:val="both"/>
        <w:ind w:left="7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fluctuations in occupancy levels, and a decrease in occupancy levels could negatively impact our business.</w:t>
      </w:r>
    </w:p>
    <w:p>
      <w:pPr>
        <w:spacing w:after="0" w:line="3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government appropriations, and our results of operations may be negatively affected by governmental budgetary challenges or government shutdowns.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reduce the U.S. federal deficit could adversely affect our business, financial condition and results of operations.</w:t>
      </w:r>
    </w:p>
    <w:p>
      <w:pPr>
        <w:spacing w:after="0" w:line="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adversely affect the profitability of our business.</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terminations, non-renewals, or competitive re-bids of our government contracts.</w:t>
      </w:r>
    </w:p>
    <w:p>
      <w:pPr>
        <w:spacing w:after="0" w:line="2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contracts to develop and manage correctional, detention, and residential reentry facilities depends on many factors outside our control.</w:t>
      </w:r>
    </w:p>
    <w:p>
      <w:pPr>
        <w:ind w:left="760" w:hanging="378"/>
        <w:spacing w:after="0" w:line="26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continued growth in the utilization of detention beds by the federal government may not be realized, which could negatively impact our stock price.</w:t>
      </w:r>
    </w:p>
    <w:p>
      <w:pPr>
        <w:jc w:val="both"/>
        <w:ind w:left="7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the federal executive agency under the direction of the Department of Homeland Security, or DHS, has recently expanded its methods for physical detention by utilizing non-traditional detention capacity and by obtaining ownership of non-traditional facilities, and such methods could have an adverse impact on our business.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community opposition to facility location, which may adversely affect our ability to obtain or timely activate new contracts.</w:t>
      </w:r>
    </w:p>
    <w:p>
      <w:pPr>
        <w:spacing w:after="0" w:line="22" w:lineRule="exact"/>
        <w:rPr>
          <w:rFonts w:ascii="Times New Roman" w:cs="Times New Roman" w:eastAsia="Times New Roman" w:hAnsi="Times New Roman"/>
          <w:sz w:val="18"/>
          <w:szCs w:val="18"/>
          <w:color w:val="auto"/>
        </w:rPr>
      </w:pPr>
    </w:p>
    <w:p>
      <w:pPr>
        <w:ind w:left="760" w:right="20" w:hanging="378"/>
        <w:spacing w:after="0" w:line="26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start-up and operating costs on new contracts before receiving related revenues, which may have an adverse impact on our business, financial condition and results of operations and not be recouped.</w:t>
      </w:r>
    </w:p>
    <w:p>
      <w:pPr>
        <w:jc w:val="both"/>
        <w:ind w:left="7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spacing w:after="0" w:line="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ind w:left="760" w:hanging="378"/>
        <w:spacing w:after="0" w:line="26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data privacy and security legal requirements could have an adverse impact on our business, reputation, financial position and results of operations.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governmental customers for a significant portion of our revenues.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senior management and our ability to attract and retain sufficient qualified personnel.</w:t>
      </w:r>
    </w:p>
    <w:p>
      <w:pPr>
        <w:spacing w:after="0" w:line="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types of litigation.</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necessary insurance costs.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inflation.</w:t>
      </w:r>
    </w:p>
    <w:p>
      <w:pPr>
        <w:spacing w:after="0" w:line="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the performance and capabilities of third parties with whom we have commercial relationships.</w:t>
      </w:r>
    </w:p>
    <w:p>
      <w:pPr>
        <w:spacing w:after="0" w:line="3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left="380" w:hanging="378"/>
        <w:spacing w:after="0" w:line="26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2" w:lineRule="exact"/>
        <w:rPr>
          <w:rFonts w:ascii="Times New Roman" w:cs="Times New Roman" w:eastAsia="Times New Roman" w:hAnsi="Times New Roman"/>
          <w:sz w:val="18"/>
          <w:szCs w:val="18"/>
          <w:color w:val="auto"/>
        </w:rPr>
      </w:pPr>
    </w:p>
    <w:p>
      <w:pPr>
        <w:ind w:left="38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ownership of real estate.</w:t>
      </w:r>
    </w:p>
    <w:p>
      <w:pPr>
        <w:spacing w:after="0" w:line="2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 increase in costs or difficulty of obtaining adequate levels of surety credit on favorable terms.</w:t>
      </w:r>
    </w:p>
    <w:p>
      <w:pPr>
        <w:spacing w:after="0" w:line="31" w:lineRule="exact"/>
        <w:rPr>
          <w:rFonts w:ascii="Times New Roman" w:cs="Times New Roman" w:eastAsia="Times New Roman" w:hAnsi="Times New Roman"/>
          <w:sz w:val="18"/>
          <w:szCs w:val="18"/>
          <w:color w:val="auto"/>
        </w:rPr>
      </w:pPr>
    </w:p>
    <w:p>
      <w:pPr>
        <w:ind w:left="38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delay or failure of the provision of our technology services or information systems, or the compromise of the security thereof, could adversely affect our business, financial condition or results of operations.</w:t>
      </w: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system, and challenges with the implementation of the system may impact our business and operations.</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responsibility.</w:t>
      </w:r>
    </w:p>
    <w:p>
      <w:pPr>
        <w:spacing w:after="0" w:line="3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health and prevent us from fulfilling our obligations under our debt securities.</w:t>
      </w:r>
    </w:p>
    <w:p>
      <w:pPr>
        <w:spacing w:after="0" w:line="27"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 Credit Facility, indentures related to our senior notes, and other debt instruments have restrictive covenants that could limit our financial flexibility.</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is secured by a substantial portion of our assets.</w:t>
      </w:r>
    </w:p>
    <w:p>
      <w:pPr>
        <w:spacing w:after="0" w:line="31" w:lineRule="exact"/>
        <w:rPr>
          <w:rFonts w:ascii="Times New Roman" w:cs="Times New Roman" w:eastAsia="Times New Roman" w:hAnsi="Times New Roman"/>
          <w:sz w:val="18"/>
          <w:szCs w:val="18"/>
          <w:color w:val="auto"/>
        </w:rPr>
      </w:pPr>
    </w:p>
    <w:p>
      <w:pPr>
        <w:jc w:val="both"/>
        <w:ind w:left="380" w:hanging="378"/>
        <w:spacing w:after="0" w:line="25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1"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repurchase all or a portion of our senior notes upon a change of control, and the debt under our Bank Credit Facility is subject to acceleration upon a change of control.</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current indebtedness levels, we may still incur more debt.</w:t>
      </w:r>
    </w:p>
    <w:p>
      <w:pPr>
        <w:spacing w:after="0" w:line="3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may be affected by general macroeconomic conditions.</w:t>
      </w:r>
    </w:p>
    <w:p>
      <w:pPr>
        <w:spacing w:after="0" w:line="27" w:lineRule="exact"/>
        <w:rPr>
          <w:rFonts w:ascii="Times New Roman" w:cs="Times New Roman" w:eastAsia="Times New Roman" w:hAnsi="Times New Roman"/>
          <w:sz w:val="18"/>
          <w:szCs w:val="18"/>
          <w:color w:val="auto"/>
        </w:rPr>
      </w:pPr>
    </w:p>
    <w:p>
      <w:pPr>
        <w:jc w:val="both"/>
        <w:ind w:left="380" w:hanging="378"/>
        <w:spacing w:after="0" w:line="25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rates increases the cost of our variable rate debt.</w:t>
      </w:r>
    </w:p>
    <w:p>
      <w:pPr>
        <w:spacing w:after="0" w:line="3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equity securities may vary substantially, which may limit our stockholders' ability to liquidate their investment.</w:t>
      </w:r>
    </w:p>
    <w:p>
      <w:pPr>
        <w:spacing w:after="0" w:line="2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future sale could adversely affect the market price of our common stock.</w:t>
      </w:r>
    </w:p>
    <w:p>
      <w:pPr>
        <w:spacing w:after="0" w:line="22" w:lineRule="exact"/>
        <w:rPr>
          <w:rFonts w:ascii="Times New Roman" w:cs="Times New Roman" w:eastAsia="Times New Roman" w:hAnsi="Times New Roman"/>
          <w:sz w:val="18"/>
          <w:szCs w:val="18"/>
          <w:color w:val="auto"/>
        </w:rPr>
      </w:pPr>
    </w:p>
    <w:p>
      <w:pPr>
        <w:ind w:left="380" w:hanging="378"/>
        <w:spacing w:after="0" w:line="263"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equity securities ranking senior to our common stock or incurrence of debt (including under our Bank Credit Facility) may adversely affect the market price of our common stock.</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preferred stock could adversely affect holders of our common stock and discourage a takeover.</w:t>
      </w:r>
    </w:p>
    <w:p>
      <w:pPr>
        <w:spacing w:after="0" w:line="2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and bylaws and Maryland law could make it difficult for a third party to acquire our company.</w:t>
      </w:r>
    </w:p>
    <w:p>
      <w:pPr>
        <w:spacing w:after="0" w:line="22" w:lineRule="exact"/>
        <w:rPr>
          <w:rFonts w:ascii="Times New Roman" w:cs="Times New Roman" w:eastAsia="Times New Roman" w:hAnsi="Times New Roman"/>
          <w:sz w:val="18"/>
          <w:szCs w:val="18"/>
          <w:color w:val="auto"/>
        </w:rPr>
      </w:pPr>
    </w:p>
    <w:p>
      <w:pPr>
        <w:ind w:left="380" w:hanging="378"/>
        <w:spacing w:after="0" w:line="27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and operator of correctional, detention, and residential reentry facilities, we are subject to risks relating to acts of God, outbreaks of epidemic or pandemic disease, global climate change, terrorist activity and war.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over 40 years. Our employees are driven by a deep sense of service, high standards of professionalism and a responsibility to help government better the public good.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nation's largest owner of partnership correctional, detention, and residential reentry facilities and one of the largest operators of such facilities in the United States. As of December 31, 2025, through our CoreCivic Safety segment, we operated 44 correctional and detention facilities, 40 of which we owned or controlled via a long-term lease, with a total design capacity of approximately 68,000 beds. Through our CoreCivic Community segment, we owned and operated 20 residential reentry centers, which we owned or controlled via a long-term lease, with a total design capacity of approximately 4,000 beds. In addition, through our CoreCivic Properties segment, we owned five properties, with a total design capacity of approximately 8,000 beds.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individuals in our care for their successful reentry into society upon their release. We also provide or make available to individuals in our care certain health care (including medical, dental, and mental health services), food services, and work and recreational programs.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Maryland corporation formed in 1983. Our principal executive offices are located at 5501 Virginia Way, Brentwood, Tennessee, 37027, and our telephone number at that location is (615) 263-3000. Our website address is www.corecivic.com. We make available on or through our website certain reports and amendments to those reports that we file with or furnish to the SEC in accordance with the Securities Exchange Act of 1934, as amended, or the Exchange Act. Such reports include our Annual Reports on Form 10-K, our Quarterly Reports on Form 10-Q and our Current Reports on Form 8-K and our definitive proxy statement.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 Information contained on our website is not incorporated by reference herein and is not part of this Annual Report. The SEC maintains a website that contains reports, proxy and information statements, and other information regarding issuers that file electronically with the SEC at the following address: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ind w:left="840" w:hanging="380"/>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20 residential reentry centers that are owned or controlled via a long-term lease and managed by CoreCivic. CoreCivic Community also includes the operating results of our electronic monitoring and case management services.</w:t>
      </w:r>
    </w:p>
    <w:p>
      <w:pPr>
        <w:spacing w:after="0" w:line="53" w:lineRule="exact"/>
        <w:rPr>
          <w:rFonts w:ascii="Times New Roman" w:cs="Times New Roman" w:eastAsia="Times New Roman" w:hAnsi="Times New Roman"/>
          <w:sz w:val="18"/>
          <w:szCs w:val="18"/>
          <w:color w:val="auto"/>
        </w:rPr>
      </w:pPr>
    </w:p>
    <w:p>
      <w:pPr>
        <w:ind w:left="840" w:hanging="380"/>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five correctional real estate properties owned by CoreCivic held for lease to government agencies.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our total segment net operating income, which we define as a facility's revenues (including interest income associated with finance leases) less operating expenses, was divided among our three business segments as follows:</w:t>
      </w:r>
    </w:p>
    <w:p>
      <w:pPr>
        <w:spacing w:after="0" w:line="37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Safety</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48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Community</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primarily consist of federal, state, and local government agencies. Federal correctional and detention authorities primarily consist of ICE, the United States Marshals Service, or USMS, and the Federal Bureau of Prisons, or BOP. Payments by federal correctional, detention and residential reentry authorities represented 54%, 51%, and 52% of our total revenue for the years ended December 31, 2025, 2024, and 2023,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contracts for providing bed capacity and correctional, detention, and residential reentry services in our CoreCivic Safety and CoreCivic Community segments typically have terms of one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or controlled via long-term lease in these segments was approximately 97% over the five years ended December 31, 2025. The lease agreements in our CoreCivic Properties segment typically have terms of five to twenty years including renewal options, and generally have more restrictive termination clauses.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The average compensated occupancy of our correctional, detention, and residential reentry facilities, based on rated capacity was as follows for 2025, 2024, and 2023:</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0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CoreCivic Safety facilities</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7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CoreCivic Community facilities</w:t>
            </w: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average compensated occupancy of our CoreCivic Safety and CoreCivic Community facilities, excluding idled facilities, was 86%, 86%, and 82% for 2025,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Procedures and Inmate and Resident Services for Correctional, Detention, and Residential Reentry Facilities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our customer contracts, we are responsible for the overall operations of our facilities, including staff recruitment, general administration of the facilities, facility maintenance, security, and supervision of the individuals in our care.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programs.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to equip the men and women in our care with the skills, services, support, and resources they need to be successful upon reentry into society.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wide range of evidence-based reentry programs and activities in our facilities. At most of the facilities we manage, individuals in our care have the opportunity to enhance their basic education from literacy through earning a high school equivalency certificate endorsed by their respective state. In some cases, we also provide opportunities for postsecondary educational achievements and chances to participate in college degree programs.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the individuals in our care who are close to taking their GED/HiSET exam, we have invested in the equipment needed to use the GED/HiSET Academy software program, which is an offline software program providing over 200 hours of individualized lessons up to a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grade level. The GED/HiSET Academy incorporates teaching best practices and provides an atmosphere to engage and motivate students to learn everything they need to know to pass the GED/HiSET exam. According to a 2022 study by Steven Sprick Schuster and Ben Stickle, "Are Schools in Prison Worth It? The Effects of and Economic Returns to Prison Education", prison education decreases the likelihood of recidivism by 14.8% and increases the likelihood of employment by 6.9%.</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offer a broad spectrum of career/technical education opportunities to help individuals learn marketable job skills. Our construction trade programs are certified by the National Center for Construction Education and Research, or NCCER. This progressive program has evolved into curricula for more than 70 craft and maintenance areas and a complete series of more than 70 assessments offered in over 6,000 NCCER-accredited training and assessment locations across the United States. Graduates of these programs enter the job market with certified skills that significantly enhance employability. At several of our facilities, we also offer other effective vocational programs, such as the Persevere and Pivot Tech software coding programs. The coding programs provide an opportunity to learn software coding and job readiness/employability skills specific to the technology field.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proud of the educational programs we offer and intend to maintain and continue to develop such programs. Examples of programs and new programming technology we deployed or expanded over the previous three years:</w:t>
      </w:r>
    </w:p>
    <w:p>
      <w:pPr>
        <w:spacing w:after="0" w:line="162" w:lineRule="exact"/>
        <w:rPr>
          <w:sz w:val="20"/>
          <w:szCs w:val="20"/>
          <w:color w:val="auto"/>
        </w:rPr>
      </w:pPr>
    </w:p>
    <w:p>
      <w:pPr>
        <w:jc w:val="both"/>
        <w:ind w:left="840" w:hanging="383"/>
        <w:spacing w:after="0" w:line="255"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completed a pilot study at our Lake City Correctional Facility in Lake City, Florida using the "Reel Resilience" program, a turnkey program that uses films, reflection, and practical exercises to help incarcerated individuals build resilience and prepare for reentry. The films are licensed and distributed by Swank Motion Pictures, Inc., an international, non-theatrical film distributor which distributes movies and TV shows beyond homes and theaters to non-theatrical markets, including correctional facilities. The Reel Resilience program consists of 12 weekly sessions with an assigned group of 45-60 participants. Pre- and post-tests were used to measure the amount of increase in resilience. We presented the outcomes of the pilot study at the 2025 summer conference of the American Correctional Association, or ACA, and are currently expanding the program across other of our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left="840" w:hanging="383"/>
        <w:spacing w:after="0" w:line="25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completed the first phase of a pilot study at our Red Rock Correctional Center in Eloy, Arizona using "The Dash", an assessment tool created by Dr. Kevin Wright, Director of the Center for Correctional Solutions and Associate Professor in the Arizona State University School of Criminology and Criminal Justice, and a group of trained inmate participatory researchers. The assessment tool is designed to function as a roadmap for how people spend their time while incarcerated and as an assessment to identify improvement over time, focusing on the "better than arrival" mind-set. The assessment is peer delivered and promotes the "Six Dimensions of Wellness": emotional, occupational, physical, social, intellectual, and spiritual. We plan to complete the pilot study and expand the program to other facilities in 2026.</w:t>
      </w:r>
    </w:p>
    <w:p>
      <w:pPr>
        <w:spacing w:after="0" w:line="187" w:lineRule="exact"/>
        <w:rPr>
          <w:rFonts w:ascii="Times New Roman" w:cs="Times New Roman" w:eastAsia="Times New Roman" w:hAnsi="Times New Roman"/>
          <w:sz w:val="18"/>
          <w:szCs w:val="18"/>
          <w:color w:val="auto"/>
        </w:rPr>
      </w:pPr>
    </w:p>
    <w:p>
      <w:pPr>
        <w:jc w:val="both"/>
        <w:ind w:left="840" w:hanging="383"/>
        <w:spacing w:after="0" w:line="25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implemented and piloted several additional programs to help prepare justice-involved individuals for life after release, including partnering with the Native American Fatherhood and Family Association, or NAFFA, to pilot a program at our Bent County Correctional Facility and our Crowley County Correctional Facility, both in Colorado. NAFFA is an Arizona-based non-profit organization that provides programs to strengthen families through four curricula: (1) Fatherhood Is Sacred® and Motherhood Is Sacred®, (2) Linking Generations by Strengthening Relationships®, (3) Addressing Family Violence &amp; Abuse©, and (4) Suicide Prevention©. We plan to expand the program to other facilities in 2026.</w:t>
      </w:r>
    </w:p>
    <w:p>
      <w:pPr>
        <w:spacing w:after="0" w:line="187" w:lineRule="exact"/>
        <w:rPr>
          <w:rFonts w:ascii="Times New Roman" w:cs="Times New Roman" w:eastAsia="Times New Roman" w:hAnsi="Times New Roman"/>
          <w:sz w:val="18"/>
          <w:szCs w:val="18"/>
          <w:color w:val="auto"/>
        </w:rPr>
      </w:pPr>
    </w:p>
    <w:p>
      <w:pPr>
        <w:jc w:val="both"/>
        <w:ind w:left="840" w:hanging="383"/>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developed Go Further Discovery, a new resident learning management system, or LMS, which offers self-directed digital content in the areas of academics, continuing technical education, career preparation, entrepreneurship, behavior change, reentry, faith-based, inspirational, and self-help. LMS includes courses from content partners, as well as content developed internally by CoreCivic. In 2025, we added 103 new courses, 17 of which are from Lived Experience partners and 10 of which were developed by CoreCivic staff. Over 600 incarcerated persons used Go Further Discovery in 2025 and completed over 2,500 courses.</w:t>
      </w:r>
    </w:p>
    <w:p>
      <w:pPr>
        <w:spacing w:after="0" w:line="183" w:lineRule="exact"/>
        <w:rPr>
          <w:rFonts w:ascii="Times New Roman" w:cs="Times New Roman" w:eastAsia="Times New Roman" w:hAnsi="Times New Roman"/>
          <w:sz w:val="18"/>
          <w:szCs w:val="18"/>
          <w:color w:val="auto"/>
        </w:rPr>
      </w:pPr>
    </w:p>
    <w:p>
      <w:pPr>
        <w:jc w:val="both"/>
        <w:ind w:left="840" w:hanging="383"/>
        <w:spacing w:after="0" w:line="25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partnered with Our Journey, a non-profit organization led by an individual who has lived experience as a justice-involved individual. Our Journey produces reentry booklets customized for each state. The booklets are written from the lived-experience perspective and use information gathered from focus groups and community networks to develop customized local information. We are partnering with Our Journey to produce these booklets for each state in which we have facilities. Booklets for the states of Georgia and Tennessee were completed in 2023 and 2024, respectively, and booklets for the states of Arizona and Colorado were completed in 2025, with more booklets planned for 2026.</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those with assessed substance abuse disorders, we offer cognitive behavioral evidence-based treatment programs with proven clinical outcomes, such as the Residential Drug Abuse Program. We offer both therapeutic community models and intensive outpatient programs. We also offer drug and alcohol use education/DWI programs at some of our facilities. Our goal in providing substance abuse treatment is to stimulate internal motivation for change and progress through the stages of change so that lasting behavioral change can occur. Our drug and alcohol education programs help participants understand their relationships with drugs and alcohol and the links between drug and alcohol use and crime, as well as equipping participants with information designed to help them make better choices that can lead to healthier relationships in their lives. According to a study by the Florida State University College of Criminology and Criminal Justice, "An Assessment of Substance Abuse Treatment Programs in Florida's Prisons Using a Random Assignment Experimental Design" submitted to the National Institute of Justice, Office of Justice Programs, U.S. Department of Justice, in 2016, inmates who completed addiction treatment in prison have significantly lower recidivism levels regardless of the treatment model used.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program offerings include our Victim Impact Programs, available at a number of our Safety and Community facilities, which seek to educate individuals in our care about the negative effects their criminal conduct can have on others. All of our facility chaplains facilitate diverse and inclusive opportunities for those in our care to engage in the practice of spirituality and to exercise individual religious freedom. In several facilities, we offer faith-based programs with an emphasis on character development, spiritual growth, and successful reentry. Beginning in 2024, we utilized "Finding the Good Life", a custom evidence-based inter-faith curriculum we developed with The Change Companies. The Change Companies helps organizations in behavioral health, corrections and addiction treatment bridge the gap between theory and practice.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Reentry and Life Skills programs prepare individuals in our care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individuals in our care, with a focus on altering the level of criminal thinking. In 2017, we introduced a comprehensive reentry strategy we call "Go Further," a forward thinking, process approach to reentry. "Go Further" encompasses all facility reentry programs, adds a proprietary cognitive/behavioral curriculum, and encourages staff and individuals in our care to take a collaborative approach to assist in reentry preparation.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we opened a "Go Further Release" program in the Denver, Colorado area. Go Further Release is a program we developed that provides stabilization services and reentry coaching to individuals being released from our facilities. The program provides "Reach-in" services during the justice-involved individual's last 90 days of incarceration which are designed to prepare individuals for release and make a connection with a reentry coach that will provide support to them after release. "Stabilization and Reentry Coaching" services are provided during an individual's first 90 days of release and an ongoing community support group is available as long as needed. All services are free of charge. In 2022, we received approval from the Georgia Department of Corrections, or GDOC, to implement a Go Further Release program to support our Coffee, Jenkins, and Wheeler facilities. We are providing this program through an engagement with Life Empowerment Enterprises, a local non-profit organization.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community corrections facilities, we provide an array of services to clients and residents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residents successfully reenter their communities and reduce the risk of recidivism.</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example, most of our community corrections facilities have community networking programs, like those at our Cheyenne Transitional Center in Wyoming, to </w:t>
      </w:r>
      <w:r>
        <w:rPr>
          <w:rFonts w:ascii="Times New Roman" w:cs="Times New Roman" w:eastAsia="Times New Roman" w:hAnsi="Times New Roman"/>
          <w:sz w:val="18"/>
          <w:szCs w:val="18"/>
          <w:color w:val="242424"/>
        </w:rPr>
        <w:t>help residents connect with community members and match them with jobs. Our staff takes an active role in going into the community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creating collaborative relationships with employers to assist residents when they first arrive at one of our facilities and provide support for a smoother transition in job seeking. Our programs in the state of Colorado partner with a financial institution to conduct classes with our residents on financial wellness, including the importance of having a savings account, the importance of, and how to establish, credit, and how to establish a bank account. At our CAI Ocean View facility in California, we offer our residents the ability to receive a "Certificate of Completion in Money Smarts and Transitional Skills". The classes are taught by our Employment Specialist and Program Facilitator at the Ocean View facility and are offered to all residents. The Ocean View facility has also partnered with the San Diego City College to offer residents classes in forklift operation, auto mechanics, and carpentry. We have also partnered with Coastline and Career Expansion, Inc. at our CAI Boston Avenue facility in California to provide a training program in workforce development, construction, utilities, energy and safety. Participants learn skills from basic industry awareness to Occupational Safety and Health Administration, or OSHA, requirements in this five-week, on-site program. They also learn how to properly use hand and power tools, and how to safely handle construction materials. Upon completion, participants receive an industry-recognized certificate. In addition, we have several other programs at our CAI Boston Avenue facility including, among others, our Go Further program mentioned above, a Victim Impact Program, a Seeking Safety program, and most recently, a "Vehicles for Change Automotive Technician Training" program in San Diego, California. Vehicles for Change is a non-profit organization that provides automotive technician training to justice-involved individuals. Participants who successfully complete the program receive referrals to recognized auto industry employers and test preparation for the Automotive Service Excellence Certification.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42424"/>
        </w:rPr>
        <w:t xml:space="preserve">In addition to the programs mentioned above, our South Raleigh Reentry Center in Raleigh, North Carolina, has partnered with the North Carolina Works and Wake Local Reentry Council, or WLRC, to help residents gain culinary, heavy machinery operator and forklift certifications, as well as assistance with obtaining a Commercial Driver's License. WLRC is a collaborative of organizations working to help men and women transition back into the community after leaving incarceration. Further, in 2025, our Austin Transitional Center in Texas hosted a resource event alongside Reverse Re-Entry Services, a non-profit organization. The event connected residents to a local health clinic, rehabilitation services, housing, and introduced them to formerly incarcerated individuals who have successfully reintegrated into their communities. In </w:t>
      </w:r>
      <w:r>
        <w:rPr>
          <w:rFonts w:ascii="Times New Roman" w:cs="Times New Roman" w:eastAsia="Times New Roman" w:hAnsi="Times New Roman"/>
          <w:sz w:val="18"/>
          <w:szCs w:val="18"/>
          <w:color w:val="000000"/>
        </w:rPr>
        <w:t>some of our community corrections facilities, we offer housing and program</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services to parolees who have completed their sentence but lack a viable reentry plan. Through a focus on employment and skill development, we provide a means for these parolees to successfully reintegrate into their communities.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day-reporting and substance abuse treatment programs at some of our community corrections facilities. These programs, depending on the needs of the resident, can provide cognitive behavioral-based programs to assist in the resident's successful reentry into society, while holding the individual accountable while living in the community</w:t>
      </w:r>
      <w:r>
        <w:rPr>
          <w:rFonts w:ascii="Times New Roman" w:cs="Times New Roman" w:eastAsia="Times New Roman" w:hAnsi="Times New Roman"/>
          <w:sz w:val="18"/>
          <w:szCs w:val="18"/>
          <w:color w:val="474646"/>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returning to prison or being incarcerated in the first place.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Ultimately, the work we do is intended to give people the necessary skills to reintegrate with their communities permanently. We are proud of the teachers, counselors, case managers, chaplains, and other offender support service professionals who provide these services to the men and women entrusted to our care.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Advocacy.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underscoring our long-term commitment to reducing recidivism, since October 2017, we have maintained a nationwide initiative to advocate for a range of government policies that will help formerly incarcerated people successfully reenter society and stay out of prison. As part of this continued initiative, we apply government relations resources and expertise to advocate for the following policies:</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"Ban-the-Box" proposals to help improve former inmates' chances at getting a job;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legal barriers to make it easier and less risky for companies to hire formerly incarcerated individuals;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funding for reentry programs in areas such as education, addiction treatment, faith-based offerings, victim impact and post-release employment;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impact bond pilot programs that tie contractor payments to positive outcomes.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publicly advocate at the federal and state levels for policies designed to help people succeed in their communities after being released from prison. Specifically, we previously pledged our support for Pell Grant Restoration, Voting Rights Restoration and Licensure Reform Policies. We maintain a partnership with Prison Fellowship, a leading advocate for criminal justice reform serving formerly incarcerated individuals and their family members. Through a network of programming and advocacy efforts, the organization seeks to effect positive change at every level of the criminal justice system. We have committed to a multi-year partnership in Prison Fellowship's First Chance Network, or FCN. Serving over 270,000 children annually, the FCN addresses persistent gaps in opportunity for children who have incarcerated parents and seeks to create a trajectory toward healthy life outcomes and prevent youth justice involvement.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Advocacy for Pell Grant Restoration is an extension of our longtime commitment to providing educational opportunities in our facilities, as research consistently shows that educational attainment can significantly reduce an incarcerated person's likelihood of recidivating. Currently, CoreCivic has working partnerships with fifteen colleges and institutions of higher learning nationwide to facilitate the provision of post-secondary educational opportunities in many of our facilities. We continue to pursue opportunities to expand this network and the facilities in which these services are offered.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Supporting policies that advance the expansion of reentry programs aligns closely with our ongoing efforts to assess and expand reentry-focused programming in our facilities. To that end, we actively engage subject matter experts and practitioners, including formerly incarcerated individuals who bring valuable, lived experiences that better inform innovations and enhancements to those programmatic offerings.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as successful as we may be with our work inside our facilities, individuals in our care still face embedded societal barriers and collateral consequences when they return to their communities. Supporting recidivism-reducing policies is one way we can bridge the gap and give the men and women entrusted to our care a better opportunity at never returning to prison.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guidelines.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ACA is an independent organization comprised of corrections professionals that establishes accreditation standards for correctional and detention facilities around the world. Outside agency standards, such as those established by the ACA, provide us with the industry's most widely accepted operational guidelines. ACA accredited facilities must be audited and re-accredited at least every three years. We have sought and received ACA accreditation for 33, or approximately 97%, of the eligible facilities we operated as of December 31, 2025, excluding those facilities in our CoreCivic Safety segment that were activated or acquired during 2025 and our CoreCivic Community segment facilities. During 2025, nine of the facilities we manage were newly accredited or re-accredited by the ACA with an average score of 99.7%, resulting in an average score of 99.6% across our CoreCivic Safety portfolio.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standards provided by the ACA, our facilities are operated in accordance with a variety of company and partner-specific policies and procedures, as well as various contractual requirements. Many of these policies and procedures reflect the high standards generated by a number of sources, including the ACA, the National Commission on Correctional Health Care, OSHA, government partner standards, as well as federal, state, and local government codes and regulations and longstanding correctional procedures.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facilities are operated in compliance with the Prison Rape Elimination Act, or PREA, standards. All confinement facilities covered under the PREA standards must be audited at least every three years to maintain compliance with PREA. We utilize United States Department of Justice, or DOJ, certified PREA auditors to help ensure that all facilities operate in compliance with applicable PREA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facilities operate under these established standards, policies, and procedures, and are subject to annual audits by our Quality Assurance Division, or QAD, which operates under, and reports directly to, our Office of General Counsel and acts independently from our Operations Division. Through the QAD, we have devoted significant resources to ensuring that our facilities meet outside agency and accrediting organization standards and guidelines.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QAD has achieved conformance with the Institute of Internal Auditors' International Professional Practices Framework®, </w:t>
      </w:r>
      <w:r>
        <w:rPr>
          <w:rFonts w:ascii="Times New Roman" w:cs="Times New Roman" w:eastAsia="Times New Roman" w:hAnsi="Times New Roman"/>
          <w:sz w:val="18"/>
          <w:szCs w:val="18"/>
          <w:i w:val="1"/>
          <w:iCs w:val="1"/>
          <w:color w:val="auto"/>
        </w:rPr>
        <w:t>Global Internal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Global Internal Audit Standards </w:t>
      </w:r>
      <w:r>
        <w:rPr>
          <w:rFonts w:ascii="Times New Roman" w:cs="Times New Roman" w:eastAsia="Times New Roman" w:hAnsi="Times New Roman"/>
          <w:sz w:val="18"/>
          <w:szCs w:val="18"/>
          <w:color w:val="auto"/>
        </w:rPr>
        <w:t>guide the worldwide professional practice of internal auditing and serve as a basis for evaluating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elevating the quality of the internal audit function. The QAD employs a team of full-time auditors, who are subject matter experts from all major disciplines within correctional and detention operations. Annually, QAD auditors typically conduct unannounced on-site evaluations of each CoreCivic Safety facility we operate using specialized audit tools, often containing more than 1,200 audit indicators across all major operational areas. In most instances, these audit tools are tailored to facility and government partner specific requirements. In addition, audit teams provide guidance to facility staff on operational best practices and assist staff with addressing specific areas of need, such as meeting requirements of new partner contracts and providing detailed training on compliance requirements for new departmental managers.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Policy, Procedure, and Corrective Action, or PPCA, management team provides governance of the corrective action plan process for any items of nonconformance identified through internal and external facility reviews. In addition, our QAD contracts with teams of ACA certified correctional auditors to evaluate compliance with ACA standards at accredited facilities. Similarly, the QAD routinely incorporates a review of facility compliance with key ACA standards and PREA regulations during annual audits of company facilities.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own internal audit and contract compliance efforts, we are also subject to oversight by our government partners. As part of their standard monitoring and compliance programs, approximately 75% of our federal and state government partners typically conduct formal contract-compliance audits and inspections at least annually at CoreCivic Safety facilities.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In 2025, our government partners conducted approximately 234 annual, semi-annual, quarterly, and monthly compliance audits and inspections at our CoreCivic Safety facilities. In addition, the majority of our federal and state government partners employ on-site contract monitors who monitor performance and contract compliance at our facilities on a full- or part-time basis. In 2025, 97% of the CoreCivic Safety facilities we manage had an assigned contract monitor.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we own, or control via a long-term lease, approximately 57% of all privately owned prison beds in the United States, manage approximately 41% of all privately managed prison beds in the United States, and are currently the second largest private owner and provider of community corrections services in the nation. Under the direction of our partnership development department, we market our facilities and services to government agencies responsible for federal, state, and local correctional, detention, and residential reentry facilities in the United States. With 71,884 beds in our Safety and Community segments and occupancy of 77% in 2025, including idle correctional and residential reentry facilities during the period they were idle, we have the capacity to grow earnings and cash flows without the need to deploy significant capital. At December 31, 2025, we also had one idle facility consisting of 2,400 beds in our Properties segment that could generate additional earnings and cash flow if we are able to enter into an agreement to utilize the facility. Under the direction of our innovation department, we also intend to continue to pursue new growth opportunities to meet the need to modernize outdated correctional infrastructure across the country and explore potential opportunities to expand the scope of residential and non-residential services we provide. We will also respond to customer demand and may develop or expand correctional and detention facilities when we believe potential long-term returns justify the capital deployment.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correctional real estate and maintenance services. Our flexible business model enables our customers to utilize our real estate assets to suit their needs, which can result in facilities moving among our Safety, Community, and Properties segments.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from our federal customers, including primarily ICE, the USMS, and the BOP, constituted 54%, 51%, and 52% of our total revenue during 2025, 2024, and 2023, respectively. Business from our federal customers continues to be a significant component of our business, although the source of revenue is derived from many contracts at various types of properties (i.e., correctional, detention, and reentry). ICE (35%, 29%, and 30% during 2025, 2024, and 2023, respectively) and the USMS (18%, 21%, and 21% during 2025, 2024, and 2023, respectively) each accounted for 10% or more of our total revenue during the last three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 The solutions we provide to our federal customers continue to be a significant component of our business. We believe our ability to provide flexible solutions and fulfill emergent needs of our federal customers remains the most cost-effective solution and is very difficult and costly to replicate in the public sector.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his inauguration on January 20, 2025, President Trump issued nine executive actions intended to secure the borders of the United States and remove illegal immigrants, prioritizing those with criminal histories. These initial orders included the declaration of a national emergency at the United States southern border. Also included in these executive actions was the issuance of an executive order titled "Protecting the American People Against Invasion" which calls on the federal government to faithfully execute the immigration laws of the United States, including the removal of aliens, particularly those who threaten the safety of the American people. This executive order calls on the Secretary of Homeland Security to “take all appropriate action and allocate all legally available resources or establish contracts to construct, operate, control, or use facilities to detain removable aliens” and “ensure the detention of aliens apprehended for violations of immigration law pending the outcome of their removal proceedings or their removal from the country, to the extent permitted by law.” Effectively, this executive order requires an increase in interior enforcement by ICE and directs the DHS to detain those arrested by ICE, pending their removal or adjudication.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January 20, 2025, President Trump reversed an executive order issued on January 26, 2021 by then-President Biden that had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We currently do not operate any prison contracts for the BOP. This executive order only applied to agencies that are part of the DOJ, which includes the BOP and USMS. ICE facilities were not covered by this executive order, as ICE is an agency of the DHS, not the DOJ. It is possible future administrations could issue executive orders restricting the use of private correctional and detention facilities by the federal government.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 January 29, 2025, President Trump signed into law the Laken Riley Act, which had been passed by Congress with bipartisan support. The Laken Riley Act requires ICE to detain certain non-United States nationals who have been charged, arrested, or convicted of crimes including burglary, theft, assault of a law enforcement officer, as well as killing or injuring another person. We believe the Laken Riley Act has contributed to the increased demand for detention beds by ICE, as further described in this Annual Report.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or OBBBA. OBBBA appropriates a total of $75 billion in mandatory funding to ICE for immigration enforcement activities and to increase detention capacity. Specifically, OBBBA appropriates $45 billion for single adult alien detention capacity and family residential center capacity. This funding is a significant increase in funding historically provided to ICE for border security and immigration detention. The funding will remain available through September 30, 2029, and is in addition to base annual appropriations during that time period. The additional funding is also being used by DHS to hire nearly 10,000 new ICE officers to implement the immigration enforcement initiatives.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recent legislative and executive actions mentioned above, we believe the short-term growth opportunities of our business are particularly attractive as federal government agencies consider their emergent needs. ICE has begun to utilize additional bed capacity in our portfolio at facilities with existing contracts, we have signed new contracts to activate five previously idled facilities, and we have been in discussion with ICE to activate additional idle facilities. The number of people we care for under contracts with ICE has increased by approximately 5,900 individuals, or 58.2%, from the beginning of the year through December 31, 2025. As of December 31, 2025, we had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five idle correctional facilities containing approximately 7,000 beds that are operated with a core staffing complement to remain currently available and that are being actively marketed as solutions to the correctional or detention needs of potential customers.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revenues from contracts at correctional, detention, and residential reentry facilities that we operate increased 19.1% from $1,002.2 million during 2024 to $1,193.8 million during 2025. The increase in federal revenue was primarily a result of increased occupancy at certain facilities, particularly those where we have contracts with ICE, as further described below, and per diem increases. In addition, the increase in federal revenues in 2025 compared to 2024 was a result of the acquisition of the Farmville Detention Center effective July 1, 2025. The Farmville Detention Center provides transportation, care, and civil detention services for adult male non-citizens through an intergovernmental service agreement, or IGSA, with ICE, which expires in March 2029, and is expected to result in total annual incremental revenue of approximately $40.0 million. During 2025, we generated total revenue at this facility of $21.8 million. The increase in federal revenue was partially offset by the effect of the termination of funding of the IGSA associated with the Dilley Immigration Process Center, or the Dilley Facility, in August 2024, which was reactivated in 2025, as further described below, and the effect of one less day of operations due to a leap year in 2024. During the year ended December 31, 2025, revenue from ICE was $770.7 million compared to $564.8 million during the year ended December 31, 2024.</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entered into contract modifications at our 2,016-bed Northeast Ohio Correctional Center in Youngstown, Ohio, our 1,072-bed Nevada Southern Detention Center in Pahrump, Nevada, and our 1,600-bed Cimarron Correctional Facility in Cushing, Oklahoma to collectively add capacity for up to 784 ICE detainees. We subsequently entered into two additional modifications in the second half of 2025 to collectively add additional capacity at the Cimarron facility for up to nearly 300 ICE detainees.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2025, we announced that we had agreed under an amendment to an IGSA to resume operations and care for up to 2,400 individuals at the 2,400-bed Dilley Facility in Dilley, Texas. The amended IGSA expires in March 2030 and may be further extended through bilateral modification. We began receiving residents at this facility during April 2025. Activation of the Dilley Facility was completed in September 2025. Previously, after nearly ten years of operation, we received notification from ICE on June 10, 2024 of its intent to terminate funding of the IGSA for services at the Dilley Facility effective August 9, 2024. We did not operate the Dilley Facility from August 9, 2024 until the resumption of operations at the facility on March 5, 2025.</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March 7, 2025, we entered into a letter agreement with ICE to begin activation efforts at our 1,033-bed Midwest Regional Reception Center in Leavenworth, Kansas. The letter agreement authorized initial funding up to $5.0 million with maximum funding up to $22.6 million for a six-month period while we worked to negotiate and execute a longer-term contract. On September 29, 2025, we announced that we entered into a new contract with ICE effective September 7, 2025. The City of Leavenworth has filed a lawsuit alleging that a Special Use Permit, or SUP, is required to activate the facility, which has resulted in a delay in the intake process. We plan to continue vigorously defending this matter on the basis that an SUP is not applicable under existing statue, and we have filed an appeal in the state court of appeals. In December 2025, we filed an application for the SUP. However, we cannot provide assurance that our legal appeal will be successful, or that the SUP will be approved and therefore, cannot predict if or when we will be able to accept detainee populations. The new agreement, which expires September 6, 2027, provides for a fixed monthly payment plus an incremental per diem payment based on detainee populations, both of which commence once the temporary injunction currently prohibiting the intake of detainees is no longer enforceable. See Note 14 of the Notes to the Consolidated Financial Statements contained in this Annual Report for further discussion of the pending litigation.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2025, we entered into a letter agreement with ICE to begin activation efforts at our 2,560-bed California City Immigration Processing Center, or the California City Facility, formerly known as the California City Correctional Center. The letter agreement authorized initial funding up to $10.0 million with maximum funding up to $31.2 million for a six-month period while we worked to negotiate and execute a long-term contract. We began receiving ICE detainees at our California City Facility during August 2025, under terms of the letter agreement. On September 29, 2025, we announced that we entered into a new two-year contract with ICE effective September 1, 2025. As of December 31, 2025, we cared for 1,436 individuals at the facility. We currently expect to reach stabilized occupancy at the facility in the first quarter of 2026. As previously mentioned herein, a non-governmental organization and a detainee have filed a lawsuit alleging that a business license must be obtained to operate the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seeks injunctive relief that would include operational interruption at the facility. The Company can provide no assurance that it will obtain a favorable ruling in this matter or predict when this matter will be resolved. See Note 14 of the Notes to the Consolidated Financial Statements contained in this Annual Report for further discussion of the pending litigation.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2025, we announced that we had been awarded a new contract through an IGSA with ICE to resume operations at our previously idled 600-bed West Tennessee Detention Facility in Mason, Tennessee. The West Tennessee facility had been idle since September 2021. The IGSA expires in August 2030 and may be further extended through bilateral modification. We began receiving ICE detainees at the West Tennessee facility during September 2025 and we expect the facility to be fully activated by the end of the first quarter of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we announced that we had been 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now expires in September 2029, and may be further extended through bilateral modification. We began receiving detainees in December 2025, with stabilized occupancy estimated to be reached in the second quarter of 2026.</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constituted 37%, 40%, and 39% of our total revenue during 2025, 2024, and 2023, respectively, and increased 4.7% from $775.4 million during 2024 to $811.9 million during 2025. The state of Tennessee is our largest state customer, accounting for 9% and 10% of our total revenue during 2025 and 2024, respectively, with no other state customer generating 10% or more of our total revenue. State revenues increased from 2024 to 2025 as a result of per diem increases under a number of our state contracts, as certain states have recognized the need to provide additional funding to address increases in the wages of our employees. Most notably, state revenues increased $13.2 million due to higher utilization from the state of Montana resulting from two new management contracts executed during 2024 and 2025. In August 2024, we entered into a contract with the state of Montana which contributed to an increase in populations held at our Saguaro Correctional Facility. In addition, on January 16, 2025, we announced that we were awarded a new management contract with the state of Montana to care for additional inmates outside the state of Montana. During 2025, we cared for an average daily population of 214 Montana inmates at our Tallahatchie County Correctional Facility in Mississippi under this new contract. The increase in state revenues from 2024 to 2025 was also a result of higher utilization from other states under existing management contracts. State revenues also increased $14.3 million during 2025 compared to 2024 from the state of Georgia due to increases in average daily populations as well as the impact of per diem increases in 2025. The increase in state revenues in 2025 compared to 2024 was partially offset by the effect of one less day of operations due to a leap year in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the legislative and executive actions mentioned above will create long-term needs from our federal partners, we also believe the long-term growth opportunities of our business remain attractive as state and county government agencies consider the efficiency and offender programming opportunities we provide as flexible solutions to satisfy their needs. We have been in discussions with several state and county government agencies that have experienced challenges in staffing their public-sector facilities and are seeking solutions from the private sector. Further, several of our existing government partners, as well as prospective government partners, have been experiencing growth in offender populations and overcrowded conditions. Governments are continuing to assess their need for correctional space, and several are considering alternative correctional capacity for their aged or inefficient infrastructure, or are seeking cost savings by utilizing the private sector, which could result in increased future demand for the solutions we provide.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can further develop our business by, among other things: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existing customer relationships and filling existing capacity within our facilities, while maintaining an adequate inventory of available capacity that we believe provides us with flexibility and a competitive advantage when bidding for new management contracts;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terms of our existing contracts and expanding the services we provide under those contracts;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opportunities to lease our facilities to government and other third-party operators in need of correctional, detention, and residential reentry capacity;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mission-critical real estate solutions for government agencies focused on corrections and detention real estate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asset acquisitions and business combinations through transactions with non-government third parties;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focus on community corrections and reentry programming that align with the needs of our government partners;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potential opportunities to expand the scope of non-residential correctional alternative solutions we provide to government agencies;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relationships with new customers that have either previously not outsourced their correctional facility management needs or have utilized other private enterprises.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Accomplishments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were awarded new contracts, renewed several significant contracts, and completed numerous other transactions and milestones, including the following: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 Community and Properties:</w:t>
      </w:r>
    </w:p>
    <w:p>
      <w:pPr>
        <w:spacing w:after="0" w:line="33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98% of our contracts that were up for renewal.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under an amended IGSA to resume operations and care for up to 2,400 individuals at our 2,400-bed Dilley Facility in Dilley, Texas. Previously, after nearly ten years of operation, we received notification from ICE on June 10, 2024 of its intent to terminate funding of the IGSA for services at the Dilley Facility effective August 9, 2024. The amended IGSA expires in March 2030 and may be further extended through bilateral modification. We began receiving residents at this facility during April 2025. Activation of the Dilley Facility was completed in September 2025. Total annual revenue generated by the Dilley Facility, as fully activated, is expected to be approximately $180.0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left="102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letter agreement with ICE to begin activation efforts at our 1,033-bed Midwest Regional Reception Center in Leavenworth, Kansas. On September 29, 2025, we announced that we entered into a new contract with ICE effective September 7, 2025. Total annual revenue once the facility is fully activated is expected to be approximately $60.0 million. However, as previously mentioned herein, the City of Leavenworth has filed a lawsuit alleging that a SUP is required to activate the facility, which has resulted in a delay in the intake process. We have filed an application for the SUP, but cannot provide assurance that the application will be approved and therefore cannot predict if or when we will be able to accept detainee populations.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letter agreement with ICE to begin activation efforts at our 2,560-bed California City Facility. We began receiving ICE detainees at our California City Facility during August 2025, under terms of the letter agreement. On September 29, 2025, we announced that we entered into a new two-year contract with ICE effective September 1, 2025. We currently expect to reach stabilized occupancy at the facility in the first quarter of 2026. Total annual revenue once the activation is complete is expected to be $130.0 million.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a new contract through an IGSA with ICE to resume operations at our previously idled 600-bed West Tennessee Detention Facility in Mason, Tennessee. The West Tennessee facility had been idle since September 2021. The IGSA expires in August 2030 and may be further extended through bilateral modification. We began receiving ICE detainees at the West Tennessee facility during September 2025 and we expect the facility to be fully activated by the end of the first quarter of 2026. Total annual revenue once the facility is fully activated is anticipated to be approximately $30.0 million.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now expires in September 2029, and may be further extended through bilateral modification. We began receiving detainees in December 2025, with stabilized occupancy estimated to be reached in the second quarter of 2026. Total annual revenue once the facility reaches stabilized occupancy is expected to be approximately $100.0 million.</w:t>
      </w:r>
    </w:p>
    <w:p>
      <w:pPr>
        <w:spacing w:after="0" w:line="75" w:lineRule="exact"/>
        <w:rPr>
          <w:rFonts w:ascii="Times New Roman" w:cs="Times New Roman" w:eastAsia="Times New Roman" w:hAnsi="Times New Roman"/>
          <w:sz w:val="18"/>
          <w:szCs w:val="18"/>
          <w:color w:val="auto"/>
        </w:rPr>
      </w:pPr>
    </w:p>
    <w:p>
      <w:pPr>
        <w:jc w:val="both"/>
        <w:ind w:left="1060" w:right="20" w:hanging="303"/>
        <w:spacing w:after="0" w:line="266" w:lineRule="auto"/>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Farmville Detention Center, a 736-bed facility located in Farmville, Virginia. The Farmville Detention Center provides transportation, care, and civil detention services for adult male non-citizens through an IGSA with ICE, which expires in March 2029, and is expected to result in total annual incremental revenue of approximately $40.0 million.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contract modifications at our 2,016-bed Northeast Ohio Correctional Center in Youngstown, Ohio, our 1,072-bed Nevada Southern Detention Center in Pahrump, Nevada, and our 1,600-bed Cimarron Correctional Facility in Cushing, Oklahoma to collectively add capacity for up to 784 ICE detainees. We subsequently entered into two additional modifications in the second half of 2025 to collectively add additional capacity at the Cimarron facility for up to nearly 300 ICE detainees.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management contract with the state of Montana to care for additional inmates outside the state of Montana, expanding the geographic range of our facilities that can serve the state of Montana. During 2025, we cared for an average daily population of 214 Montana inmates at our Tallahatchie County Correctional Facility in Mississippi under this new contract.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335" w:lineRule="exact"/>
        <w:rPr>
          <w:sz w:val="20"/>
          <w:szCs w:val="20"/>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 total of 11.2 million common shares at a total cost of $218.4 million, or $19.48 per share, under our share repurchase program, increasing the total number of shares repurchased under our share repurchase program to 25.7 million common shares at a total cost of $399.5 million, or $15.52 per share since the program was authorized by our Board of Directors in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ind w:left="102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First Amendment to our Fourth Amended and Restated Credit Agreement, or our Bank Credit Facility, to, among other things, increase the size of the accordion feature that provides for uncommitted incremental extensions of credit from the greater of $200.0 million or 50% of Consolidated EBITDA for the period of four fiscal quarters most recently ended to the greater of $300.0 million or 50% of Consolidated EBITDA for the period of four quarters most recently ended, and to exercise the accordion feature by expanding the capacity under our revolving credit facility from $275.0 million to $575.0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CoreCivic Safety and Community Facilities and Facility Management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CoreCivic Safety and Community facilities can also be classified according to their primary function. The primary functional categories are:</w:t>
      </w:r>
    </w:p>
    <w:p>
      <w:pPr>
        <w:spacing w:after="0" w:line="115" w:lineRule="exact"/>
        <w:rPr>
          <w:sz w:val="20"/>
          <w:szCs w:val="20"/>
          <w:color w:val="auto"/>
        </w:rPr>
      </w:pPr>
    </w:p>
    <w:p>
      <w:pPr>
        <w:ind w:left="102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Correctional Facilities</w:t>
      </w:r>
      <w:r>
        <w:rPr>
          <w:rFonts w:ascii="Times New Roman" w:cs="Times New Roman" w:eastAsia="Times New Roman" w:hAnsi="Times New Roman"/>
          <w:sz w:val="18"/>
          <w:szCs w:val="18"/>
          <w:color w:val="auto"/>
        </w:rPr>
        <w:t>. Correctional facilities care for and provide contractually agreed upon programs and services primarily to sentenced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prisoners, typically prisoners on whom a sentence in excess of one year has been imposed.</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Detention Facilities</w:t>
      </w:r>
      <w:r>
        <w:rPr>
          <w:rFonts w:ascii="Times New Roman" w:cs="Times New Roman" w:eastAsia="Times New Roman" w:hAnsi="Times New Roman"/>
          <w:sz w:val="18"/>
          <w:szCs w:val="18"/>
          <w:color w:val="auto"/>
        </w:rPr>
        <w:t>. Detention facilities care for and provide contractually agreed upon programs and services to (i) individuals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detained by 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 Detention facilities could also include residential facilities which provide space and residential services in an open and safe environment to individuals who have been detained by ICE and are awaiting the outcome of immigration hearings.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Corrections. </w:t>
      </w:r>
      <w:r>
        <w:rPr>
          <w:rFonts w:ascii="Times New Roman" w:cs="Times New Roman" w:eastAsia="Times New Roman" w:hAnsi="Times New Roman"/>
          <w:sz w:val="18"/>
          <w:szCs w:val="18"/>
          <w:color w:val="auto"/>
        </w:rPr>
        <w:t>Community corrections/residential reentry facilities offer housing and programs to individuals in our care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the last portion of their sentence or who have been assigned to the facility in lieu of a jail or prison sentence, with a key focus on employment, job readiness, and life skills.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through our CoreCivic Safety segment, we operated 44 correctional and detention facilities, 40 of which we owned or controlled via a long-term lease, and four of which we managed and were owned by our government partners. Through our CoreCivic Community segment, we also operated 20 residential reentry centers, which we owned or controlled via a long-term lease. The following table includes certain information regarding each facility as of December 31, 2025, including the primary customer contract, contract term and remaining renewal options, if any, related to such facility, or if the facility is available for customer contract (e.g., idled).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CoreCivic Safety Facilities:</w:t>
            </w:r>
          </w:p>
        </w:tc>
        <w:tc>
          <w:tcPr>
            <w:tcW w:w="100" w:type="dxa"/>
            <w:vAlign w:val="bottom"/>
            <w:shd w:val="clear" w:color="auto" w:fill="CFF0FC"/>
          </w:tcPr>
          <w:p>
            <w:pPr>
              <w:spacing w:after="0"/>
              <w:rPr>
                <w:sz w:val="17"/>
                <w:szCs w:val="17"/>
                <w:color w:val="auto"/>
              </w:rPr>
            </w:pPr>
          </w:p>
        </w:tc>
        <w:tc>
          <w:tcPr>
            <w:tcW w:w="1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Safety - Owned and Managed:</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Central Arizona Florence</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Correctional Complex</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Sep-28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Florence, Arizona</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Eloy Detention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Jun-28</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 Palma Correctional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Arizona</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Apr-27</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(1) 5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Red Rock Correctional Center (D)</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Arizona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Jul-26</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 5 year</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Saguaro Correctional Facility</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Hawaii</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Jul-26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California City Immigration</w:t>
            </w:r>
          </w:p>
        </w:tc>
        <w:tc>
          <w:tcPr>
            <w:tcW w:w="10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2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Aug-27</w:t>
            </w:r>
          </w:p>
        </w:tc>
        <w:tc>
          <w:tcPr>
            <w:tcW w:w="220" w:type="dxa"/>
            <w:vAlign w:val="bottom"/>
          </w:tcPr>
          <w:p>
            <w:pPr>
              <w:spacing w:after="0"/>
              <w:rPr>
                <w:sz w:val="24"/>
                <w:szCs w:val="24"/>
                <w:color w:val="auto"/>
              </w:rPr>
            </w:pPr>
          </w:p>
        </w:tc>
        <w:tc>
          <w:tcPr>
            <w:tcW w:w="12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Processing Center</w:t>
            </w:r>
          </w:p>
        </w:tc>
        <w:tc>
          <w:tcPr>
            <w:tcW w:w="10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California City, California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Otay Mesa Detention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Minimum/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Dec-29</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(1) 5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Bent County Correctional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Colorado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Las Animas, Colorado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Crowley County Correctional</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gridSpan w:val="2"/>
            <w:vMerge w:val="restart"/>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34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Colorado</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00" w:type="dxa"/>
            <w:vAlign w:val="bottom"/>
            <w:shd w:val="clear" w:color="auto" w:fill="CFF0FC"/>
          </w:tcPr>
          <w:p>
            <w:pPr>
              <w:spacing w:after="0"/>
              <w:rPr>
                <w:sz w:val="8"/>
                <w:szCs w:val="8"/>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8"/>
                <w:szCs w:val="8"/>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8"/>
                <w:szCs w:val="8"/>
                <w:color w:val="auto"/>
              </w:rPr>
            </w:pPr>
          </w:p>
        </w:tc>
        <w:tc>
          <w:tcPr>
            <w:tcW w:w="8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shd w:val="clear" w:color="auto" w:fill="CFF0FC"/>
          </w:tcPr>
          <w:p>
            <w:pPr>
              <w:spacing w:after="0"/>
              <w:rPr>
                <w:sz w:val="8"/>
                <w:szCs w:val="8"/>
                <w:color w:val="auto"/>
              </w:rPr>
            </w:pPr>
          </w:p>
        </w:tc>
        <w:tc>
          <w:tcPr>
            <w:tcW w:w="12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980" w:type="dxa"/>
            <w:vAlign w:val="bottom"/>
            <w:vMerge w:val="continue"/>
            <w:shd w:val="clear" w:color="auto" w:fill="CFF0FC"/>
          </w:tcPr>
          <w:p>
            <w:pPr>
              <w:spacing w:after="0"/>
              <w:rPr>
                <w:sz w:val="9"/>
                <w:szCs w:val="9"/>
                <w:color w:val="auto"/>
              </w:rPr>
            </w:pPr>
          </w:p>
        </w:tc>
        <w:tc>
          <w:tcPr>
            <w:tcW w:w="82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Olney Springs, Colorado</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Huerfano County Correctional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Walsenburg, Colorado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Kit Carson Correctional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Idled 2016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Burlington, Colorado</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Coffee Correctional Facility (E)</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 1 year</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Nicholls, Georgia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Jenkins Correctional Center (E)</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(9) 1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Millen, Georgia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Stewart Detention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Lumpkin, Georgia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Wheeler Correctional Facility (E)</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(8) 1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Alamo, Georgia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Midwest Regional Reception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Sep-27</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Leavenworth, Kansas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Lee Adjustment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Commonwealth of</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Jun-27</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(2) 2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Beattyville, Kentucky</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Kentucky</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Marion Adjustment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Minimum/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St. Mary, Kentucky</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Prairie Correctional Facility</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Idled 2010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Appleton, Minnesota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Adams County Correctional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May-29</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Adams County, Mississippi</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Tallahatchie County Correctional</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Facility (F)</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8"/>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Tutwiler, Mississippi</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Crossroads Correctional Center (G)</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Montana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 2 year</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Shelby, Montana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Nevada Southern Detention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Oct-30</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Pahrump, Nevada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Elizabeth Detention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Minimum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Mar-26</w:t>
            </w:r>
          </w:p>
        </w:tc>
        <w:tc>
          <w:tcPr>
            <w:tcW w:w="2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Elizabeth, New Jersey</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Cibola County Corrections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Milan, New Mexico</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Torrance County Detention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Mar-26</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Estancia, New Mexico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Lake Erie Correctional</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Institution (H)</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Ohio</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Jun-32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Conneaut, Ohio</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Northeast Ohio Correctional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May-27</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Youngstown, Ohio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Cimarron Correctional Facility</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Sep-27</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Cushing, Oklahoma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Diamondback Correctional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Sep-29</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Watonga, Oklahoma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Trousdale Turner Correctional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Tennessee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Hartsville, Tennessee</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West Tennessee Detention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Aug-30</w:t>
            </w:r>
          </w:p>
        </w:tc>
        <w:tc>
          <w:tcPr>
            <w:tcW w:w="2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Mason, Tennessee</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Whiteville Correctional Facility (I)</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Whiteville, Tennessee</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Dilley Immigration Processing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Residential</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Mar-30</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Dilley,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Eden Detention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Eden,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Houston Processing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Houston,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Laredo Processing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Minimum/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Mar-26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T. Don Hutto Residential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Taylor,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Webb County Detention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Feb-29</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Farmville Detention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Mar-29</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Farmville, Virginia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Safety - Managed Only:</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Citrus County Detention Facility</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Citrus County, FL</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Sep-30</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5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Lecanto, Florida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Lake City Correctional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Florida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Lake City, Florida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Hardeman County Correctional</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Jun-29</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Whiteville, Tennessee</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South Central Correctional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Jun-28</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2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Clifton, Tennessee</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design capacity for CoreCivic</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67,785</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Safety Facilities</w:t>
            </w:r>
          </w:p>
        </w:tc>
        <w:tc>
          <w:tcPr>
            <w:tcW w:w="100" w:type="dxa"/>
            <w:vAlign w:val="bottom"/>
            <w:tcBorders>
              <w:bottom w:val="single" w:sz="8" w:color="CFF0FC"/>
            </w:tcBorders>
            <w:shd w:val="clear" w:color="auto" w:fill="CFF0FC"/>
          </w:tcPr>
          <w:p>
            <w:pPr>
              <w:spacing w:after="0"/>
              <w:rPr>
                <w:sz w:val="17"/>
                <w:szCs w:val="17"/>
                <w:color w:val="auto"/>
              </w:rPr>
            </w:pPr>
          </w:p>
        </w:tc>
        <w:tc>
          <w:tcPr>
            <w:tcW w:w="1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CoreCivic Community Facilities: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CAI Boston Avenue</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California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Jun-33</w:t>
            </w:r>
          </w:p>
        </w:tc>
        <w:tc>
          <w:tcPr>
            <w:tcW w:w="20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CAI Ocean View</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Adams Transitional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Adams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Arapahoe Community Treatment</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Arapahoe County</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Englewood, Colorado</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Centennial Community Transition</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Arapahoe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tcPr>
          <w:p>
            <w:pPr>
              <w:spacing w:after="0"/>
              <w:rPr>
                <w:sz w:val="17"/>
                <w:szCs w:val="17"/>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Englewood, Colorado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Commerce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Adams County</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Commerce City, Colorado</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Longmont Community Treatment</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Boulder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7"/>
                <w:szCs w:val="17"/>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Jan-26</w:t>
            </w:r>
          </w:p>
        </w:tc>
        <w:tc>
          <w:tcPr>
            <w:tcW w:w="200" w:type="dxa"/>
            <w:vAlign w:val="bottom"/>
          </w:tcPr>
          <w:p>
            <w:pPr>
              <w:spacing w:after="0"/>
              <w:rPr>
                <w:sz w:val="17"/>
                <w:szCs w:val="17"/>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Longmont, Colorado</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South Raleigh Reentry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Raleigh, North Carolina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Oklahoma Reentry Opportunity</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0" w:type="dxa"/>
            <w:vAlign w:val="bottom"/>
          </w:tcPr>
          <w:p>
            <w:pPr>
              <w:spacing w:after="0"/>
              <w:rPr>
                <w:sz w:val="17"/>
                <w:szCs w:val="17"/>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Jul-26</w:t>
            </w:r>
          </w:p>
        </w:tc>
        <w:tc>
          <w:tcPr>
            <w:tcW w:w="200" w:type="dxa"/>
            <w:vAlign w:val="bottom"/>
          </w:tcPr>
          <w:p>
            <w:pPr>
              <w:spacing w:after="0"/>
              <w:rPr>
                <w:sz w:val="17"/>
                <w:szCs w:val="17"/>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Oklahoma City, Oklahoma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Turley Residential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Jul-26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Tulsa, Oklahoma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Austin Residential Reentry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Feb-27</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Del Valle,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Austin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 Valle,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Corpus Christi Transitional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Mar-26</w:t>
            </w:r>
          </w:p>
        </w:tc>
        <w:tc>
          <w:tcPr>
            <w:tcW w:w="20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Corpus Christi,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2"/>
        </w:trPr>
        <w:tc>
          <w:tcPr>
            <w:tcW w:w="3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Dallas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Hutchins,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El Paso Multi-Use Facility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El Paso,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 Paso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 Paso,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Fort Worth Transitional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Fort Worth,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Ghent Residential Reentry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Norfolk, Virginia</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James River Residential Reentry</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Aug-26</w:t>
            </w:r>
          </w:p>
        </w:tc>
        <w:tc>
          <w:tcPr>
            <w:tcW w:w="20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Newport News, Virginia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Cheyenne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Wyoming</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2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Cheyenne, Wyoming</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design capacity for CoreCivic</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Community Facilities</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Held for sale.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34" w:lineRule="exact"/>
        <w:rPr>
          <w:sz w:val="20"/>
          <w:szCs w:val="20"/>
          <w:color w:val="auto"/>
        </w:rPr>
      </w:pPr>
    </w:p>
    <w:p>
      <w:pPr>
        <w:jc w:val="both"/>
        <w:ind w:left="503" w:hanging="503"/>
        <w:spacing w:after="0" w:line="255"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w:t>
      </w:r>
    </w:p>
    <w:p>
      <w:pPr>
        <w:spacing w:after="0" w:line="2" w:lineRule="exact"/>
        <w:rPr>
          <w:rFonts w:ascii="Times New Roman" w:cs="Times New Roman" w:eastAsia="Times New Roman" w:hAnsi="Times New Roman"/>
          <w:sz w:val="18"/>
          <w:szCs w:val="18"/>
          <w:color w:val="auto"/>
        </w:rPr>
      </w:pPr>
    </w:p>
    <w:p>
      <w:pPr>
        <w:jc w:val="both"/>
        <w:ind w:left="503"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numerous facilities that have more than a single function (i.e., housing both long-term sentenced adult prisoners and pre-trial detainees). The primary functional categories into which facility types are identified were determined by the relative size of offender populations in a particular facility on December 31, 2025.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2" w:lineRule="exact"/>
        <w:rPr>
          <w:rFonts w:ascii="Times New Roman" w:cs="Times New Roman" w:eastAsia="Times New Roman" w:hAnsi="Times New Roman"/>
          <w:sz w:val="18"/>
          <w:szCs w:val="18"/>
          <w:color w:val="auto"/>
        </w:rPr>
      </w:pPr>
    </w:p>
    <w:p>
      <w:pPr>
        <w:ind w:left="503"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renewal options represents the number of renewal options, if applicable, and the remaining term of each option renewal. Our government partners can generally terminate our management contracts for non-appropriation of funds or for convenience.</w:t>
      </w:r>
    </w:p>
    <w:p>
      <w:pPr>
        <w:jc w:val="both"/>
        <w:ind w:left="503" w:right="20"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spacing w:after="0" w:line="1" w:lineRule="exact"/>
        <w:rPr>
          <w:rFonts w:ascii="Times New Roman" w:cs="Times New Roman" w:eastAsia="Times New Roman" w:hAnsi="Times New Roman"/>
          <w:sz w:val="18"/>
          <w:szCs w:val="18"/>
          <w:color w:val="auto"/>
        </w:rPr>
      </w:pPr>
    </w:p>
    <w:p>
      <w:pPr>
        <w:ind w:left="503"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purchase options held by the GDOC, which grants the GDOC the right to purchase the facility for the lesser of the facility's depreciated book value, as defined, or fair market value at any time during the term of the contract between the GDOC and us.</w:t>
      </w:r>
    </w:p>
    <w:p>
      <w:pPr>
        <w:jc w:val="both"/>
        <w:ind w:left="503" w:right="20"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is subject to a purchase option held by the Tallahatchie County Correctional Authority that grants Tallahatchie County Correctional Authority the right to purchase the facility at any time during the contract at a price generally equal to the cost of the premises less an allowance for amortization that originally occurred over a 20-year period. The amortization period was extended through 2050 in connection with an expansion completed during the fourth quarter of 2007.</w:t>
      </w:r>
    </w:p>
    <w:p>
      <w:pPr>
        <w:spacing w:after="0" w:line="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Montana has an option to purchase the facility generally at any time during the term of the contract with us at fair market value.</w:t>
      </w:r>
    </w:p>
    <w:p>
      <w:pPr>
        <w:spacing w:after="0" w:line="9" w:lineRule="exact"/>
        <w:rPr>
          <w:rFonts w:ascii="Times New Roman" w:cs="Times New Roman" w:eastAsia="Times New Roman" w:hAnsi="Times New Roman"/>
          <w:sz w:val="18"/>
          <w:szCs w:val="18"/>
          <w:color w:val="auto"/>
        </w:rPr>
      </w:pPr>
    </w:p>
    <w:p>
      <w:pPr>
        <w:jc w:val="both"/>
        <w:ind w:left="503" w:hanging="503"/>
        <w:spacing w:after="0" w:line="25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spacing w:after="0" w:line="1" w:lineRule="exact"/>
        <w:rPr>
          <w:rFonts w:ascii="Times New Roman" w:cs="Times New Roman" w:eastAsia="Times New Roman" w:hAnsi="Times New Roman"/>
          <w:sz w:val="18"/>
          <w:szCs w:val="18"/>
          <w:color w:val="auto"/>
        </w:rPr>
      </w:pPr>
    </w:p>
    <w:p>
      <w:pPr>
        <w:ind w:left="503" w:hanging="503"/>
        <w:spacing w:after="0" w:line="260"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Tennessee has the option to purchase the facility in the event of our bankruptcy, or upon an operational or financial breach under the management agreement, at a price equal to the book value, as determined under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CoreCivic Properties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our CoreCivic Properties segment, we owned five correctional facilities held for lease to third-party operators. The following table includes certain information regarding each property.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20" w:type="dxa"/>
            <w:vAlign w:val="bottom"/>
          </w:tcPr>
          <w:p>
            <w:pPr>
              <w:spacing w:after="0"/>
              <w:rPr>
                <w:sz w:val="13"/>
                <w:szCs w:val="13"/>
                <w:color w:val="auto"/>
              </w:rPr>
            </w:pPr>
          </w:p>
        </w:tc>
        <w:tc>
          <w:tcPr>
            <w:tcW w:w="88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22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78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w:t>
            </w:r>
          </w:p>
        </w:tc>
        <w:tc>
          <w:tcPr>
            <w:tcW w:w="220" w:type="dxa"/>
            <w:vAlign w:val="bottom"/>
          </w:tcPr>
          <w:p>
            <w:pPr>
              <w:spacing w:after="0"/>
              <w:rPr>
                <w:sz w:val="15"/>
                <w:szCs w:val="15"/>
                <w:color w:val="auto"/>
              </w:rPr>
            </w:pPr>
          </w:p>
        </w:tc>
        <w:tc>
          <w:tcPr>
            <w:tcW w:w="8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220" w:type="dxa"/>
            <w:vAlign w:val="bottom"/>
          </w:tcPr>
          <w:p>
            <w:pPr>
              <w:spacing w:after="0"/>
              <w:rPr>
                <w:sz w:val="15"/>
                <w:szCs w:val="15"/>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398"/>
        </w:trPr>
        <w:tc>
          <w:tcPr>
            <w:tcW w:w="3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Lansing Correctional Facility</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Kansas</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401,000</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Jan-40</w:t>
            </w:r>
          </w:p>
        </w:tc>
        <w:tc>
          <w:tcPr>
            <w:tcW w:w="13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Lansing, Kansas</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Southeast Correctional</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Complex (B)</w:t>
            </w:r>
          </w:p>
        </w:tc>
        <w:tc>
          <w:tcPr>
            <w:tcW w:w="12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Commonwealth of</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22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Jun-30</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(5) 2 year</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Wheelwright, Kentucky</w:t>
            </w:r>
          </w:p>
        </w:tc>
        <w:tc>
          <w:tcPr>
            <w:tcW w:w="1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Kentucky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Northwest New Mexico Correctional</w:t>
            </w:r>
          </w:p>
        </w:tc>
        <w:tc>
          <w:tcPr>
            <w:tcW w:w="120" w:type="dxa"/>
            <w:vAlign w:val="bottom"/>
            <w:shd w:val="clear" w:color="auto" w:fill="CFF0FC"/>
          </w:tcPr>
          <w:p>
            <w:pPr>
              <w:spacing w:after="0"/>
              <w:rPr>
                <w:sz w:val="16"/>
                <w:szCs w:val="16"/>
                <w:color w:val="auto"/>
              </w:rPr>
            </w:pPr>
          </w:p>
        </w:tc>
        <w:tc>
          <w:tcPr>
            <w:tcW w:w="2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Center</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New Mexico</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Oct-27</w:t>
            </w:r>
          </w:p>
        </w:tc>
        <w:tc>
          <w:tcPr>
            <w:tcW w:w="13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6"/>
                <w:szCs w:val="16"/>
                <w:color w:val="auto"/>
                <w:w w:val="99"/>
              </w:rPr>
              <w:t>(5) 3 year</w:t>
            </w:r>
          </w:p>
        </w:tc>
        <w:tc>
          <w:tcPr>
            <w:tcW w:w="0" w:type="dxa"/>
            <w:vAlign w:val="bottom"/>
          </w:tcPr>
          <w:p>
            <w:pPr>
              <w:spacing w:after="0"/>
              <w:rPr>
                <w:sz w:val="1"/>
                <w:szCs w:val="1"/>
                <w:color w:val="auto"/>
              </w:rPr>
            </w:pPr>
          </w:p>
        </w:tc>
      </w:tr>
      <w:tr>
        <w:trPr>
          <w:trHeight w:val="20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Grants, New Mexico</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Allen Gamble Correctional Center</w:t>
            </w:r>
          </w:p>
        </w:tc>
        <w:tc>
          <w:tcPr>
            <w:tcW w:w="12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Holdenville, Oklahoma</w:t>
            </w:r>
          </w:p>
        </w:tc>
        <w:tc>
          <w:tcPr>
            <w:tcW w:w="1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Oklahoma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22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Jun-31</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 Fork Correctional Facility</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Idled 2023</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466,000</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Sayre, Oklahoma</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22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1,471,000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renewal options represents the number of renewal options, if applicable, and the term of each option renewal.</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Kentucky Department of Corrections has an option to purchase the facility at any time during the term of the lease with us at a price equal to the fair market value of the property.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Largest Private Owner of Correctional and Detention Facilities. </w:t>
      </w:r>
      <w:r>
        <w:rPr>
          <w:rFonts w:ascii="Times New Roman" w:cs="Times New Roman" w:eastAsia="Times New Roman" w:hAnsi="Times New Roman"/>
          <w:sz w:val="18"/>
          <w:szCs w:val="18"/>
          <w:color w:val="auto"/>
        </w:rPr>
        <w:t>As of December 31, 2025, we owned, or controlled via a long-term lease,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14.5 million square feet of real estate, all available to be used directly or indirectly by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CoreCivic Safety segment, we own, or control via a long-term lease, 12.5 million square feet of real estate used to provide innovative, comprehensive, flexible, turn-key correctional and detention services to federal, state and local government agencies. As of December 31, 2025, our CoreCivic Safety segment operated 44 facilities, 40 of which we owned or controlled via a long-term lease, with a total design capacity of 67,785 beds, making us the nation's largest private prison owner and one of the largest prison operators in the United States. Four facilities in our Safety segment, containing 4,666 beds, are currently idle and available for growth opportunities. Our CoreCivic Safety segment generated 91.7% of our total segment net operating income during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CoreCivic Community segment, we own, or control via a long-term lease, 0.5 million square feet of real estate representing, as of December 31, 2025, 20 residential reentry centers with a design capacity of 4,099 beds, making us the second largest community corrections owner and operator in the United States. One of our residential reentry centers, containing 69 beds, was held for sale as of December 31, 2025. Our CoreCivic Community segment generated 5.1% of our total segment net operating income during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CoreCivic Properties segment, as of December 31, 2025, we owned 1.5 million square feet of correctional real estate representing five properties with a total design capacity of 7,754 beds. One facility in our Properties segment, containing 2,400 beds, is currently idle and available for growth opportunities. Our CoreCivic Properties segment generated 3.2% of our total segment net operating income during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Pioneered Modern-Day Private Prisons. </w:t>
      </w:r>
      <w:r>
        <w:rPr>
          <w:rFonts w:ascii="Times New Roman" w:cs="Times New Roman" w:eastAsia="Times New Roman" w:hAnsi="Times New Roman"/>
          <w:sz w:val="18"/>
          <w:szCs w:val="18"/>
          <w:color w:val="auto"/>
        </w:rPr>
        <w:t>Through our CoreCivic Safety segment, we are the nation's largest private prison owner and one of the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prison operators in the United States, which provides us significant credibility with our current and prospective clients. We believe we own, or control via a long-term lease, approximately 57% of all privately owned prison beds in the United States and manage approximately 41% of all privately managed prison beds in the United States. We pioneered modern-day private prisons with a list of notable accomplishments, such as:</w:t>
      </w:r>
    </w:p>
    <w:p>
      <w:pPr>
        <w:spacing w:after="0" w:line="18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design, build, and operate a private prison;</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manage a private maximum-security facility under a direct contract with the federal government;</w:t>
      </w:r>
    </w:p>
    <w:p>
      <w:pPr>
        <w:spacing w:after="0" w:line="14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purchase a government-owned correctional facility from a government agency in the United States and to manage the facility for the government agency;</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lease a private prison to a state government; and</w:t>
      </w:r>
    </w:p>
    <w:p>
      <w:pPr>
        <w:spacing w:after="0" w:line="15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develop a privately-owned, build-to-suit correctional facility to be operated by a government agency through a long-term lease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 Beds within Our Existing Facilities. </w:t>
      </w:r>
      <w:r>
        <w:rPr>
          <w:rFonts w:ascii="Times New Roman" w:cs="Times New Roman" w:eastAsia="Times New Roman" w:hAnsi="Times New Roman"/>
          <w:sz w:val="18"/>
          <w:szCs w:val="18"/>
          <w:color w:val="auto"/>
        </w:rPr>
        <w:t>We currently have 7,066 beds at five correctional and detention facilities that are vacant and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use. We are actively engaged in marketing this available capacity as solutions to meet the needs of potential customers. Historically, we have been successful in identifying opportunities to utilize our inventory of available beds. As available capacity within existing operating facilities is utilized, we believe increasing demand will result in the utilization of idle bed capacity.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occupancy of 86% in 2025 in our Safety and Community segments excluding our idle facilities, we also have the capacity to grow earnings and cash flows within existing operating facilities and without the need to deploy significant capital. We currently expect demand from the federal government for our correctional and detention facilities to continue to increase, particularly from ICE, as a result of the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continue to increase the utilization of our available capacity. We also believe the scarcity in supply of available public sector beds, increases in the cost of constructing new facilities, and challenges in financing new correctional facilities in the public sector will result in an increase in the value of our portfolio and the utilization of our idle bed capacity over the long-term.</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available bed capacity can also be used for emergent or growing needs from state and county government agencies, and for government agencies that are struggling to adequately staff public sector facilities. As a private enterprise, we believe we have the ability to respond more quickly to changing market conditions, and can offer various types of incentives to attract and retain correctional staff that are more difficult for government agencies to provide. For example, on August 1, 2024, we entered into a management contract with the state of Montana to care for an unspecified number of inmates at facilities we operate. The contract is scheduled to expire on July 31, 2026, and may be extended by mutual agreement for a total term of up to seven years. As of December 31, 2025, we cared for 361 inmates from the state of Montana at our Saguaro facility under this management contract, along with another similar contract with the state of Montana that was entered into during the fourth quarter of 2023. We also care for residents from the state of Hawaii and the state of Idaho at our Saguaro facility. On January 16, 2025, we announced that we were awarded a new management contract with the state of Montana to care for additional inmates outside the state of Montana. As of December 31, 2025, we cared for 239 inmates from the state of Montana at our Tallahatchie facility in Mississippi under this new contract. We also care for residents from Wyoming, Vermont, the U.S. Virgin Islands, USMS, and Tallahatchie and Hinds counties at the Tallahatchie facility. This latest contract with Montana expands the geographic range of our facilities that can serve the state of Montana, where we also manage the fully occupied company-owned Crossroads Correctional Center in Shelby, Montana for the state of Montana pursuant to a separate management contract.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Well-Established Community Corrections Platform. </w:t>
      </w:r>
      <w:r>
        <w:rPr>
          <w:rFonts w:ascii="Times New Roman" w:cs="Times New Roman" w:eastAsia="Times New Roman" w:hAnsi="Times New Roman"/>
          <w:sz w:val="18"/>
          <w:szCs w:val="18"/>
          <w:color w:val="auto"/>
        </w:rPr>
        <w:t>Through our CoreCivic Community segment, as of December 31, 2025, we had a network of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reentry centers containing a total of 4,099 beds. We offer housing and programs, with a key focus on employment, job readiness and life skills in order to help individuals in our care successfully re-enter the community and reduce the risk of recidivism. We also provide non-residential correctional alternatives, including electronic monitoring and case management services, to municipal, county and state governments in multiple states. We expect to continue to pursue opportunities that expand the scope of non-residential correctional alternative solutions available to government agencies.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second largest community corrections owner and operator in the United States. We believe the demand for the housing and programs that community corrections facilities offer will grow as individuals in our care are released from prison and due to an increased awareness of the important role these programs play in an offender's successful transition from prison to society. We expect to continue to pursue opportunities to provide these services to parolees, defendants, and individuals in our care who are serving their full sentence, the last portion of their sentence, waiting to be sentenced, awaiting trial while supervised in a community environment, or as an alternative to incarceration. We believe we have the opportunity to maximize utilization of available beds within our community corrections portfolio that would further increase the number of individuals benefiting from the services we provide in such facilities. Further, we are exploring potential opportunities to expand the scope of non-residential correctional alternative solutions we provide to government agencies.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Flexible Real Estate Solutions. </w:t>
      </w:r>
      <w:r>
        <w:rPr>
          <w:rFonts w:ascii="Times New Roman" w:cs="Times New Roman" w:eastAsia="Times New Roman" w:hAnsi="Times New Roman"/>
          <w:sz w:val="18"/>
          <w:szCs w:val="18"/>
          <w:color w:val="auto"/>
        </w:rPr>
        <w:t>Through our CoreCivic Properties segment, as of December 31, 2024, we owned five correctional properties totaling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square feet. We have an extensive network of government and other third-party relationships and the capability to manage and maintain complex properties, built over our more than 40-year history. In addition, we offer our customers an attractive portfolio of correctional, detention, and reentry facilities that can be leased for various needs as an alternative to providing "turn-key" correctional, detention, and residential reentry bed space and services to our government partners. Over the last six years, we have entered into lease agreements with the states of Oklahoma, New Mexico, and Kentucky for our 1,670-bed Allen Gamble Correctional Center, our 596-bed Northwest New Mexico Correctional Center, and our 656-bed Southeast Correctional Complex, respectively. We retain responsibility for facility maintenance throughout the terms of the three leases, which have expiration dates ranging from October 2027 to June 2030. The leases of these three correctional facilities demonstrate our ability to react quickly to our partners' needs with innovative, flexible and cost-effective solutions. We previously operated these three correctional facilities for various government partners. We intend to respond to additional opportunities to lease prison facilities to government agencies in need of correctional capacity.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extensively aged criminal justice infrastructure in the U.S. today, we also believe we can bring real estate and financing solutions to government agencies as we did in connection with the construction of the Lansing Correctional Facility that commenced operations in January 2020. We financed the construction of the Lansing Correctional Facility 100% with project specific financing, requiring no equity commitment from us. We believe we can also provide other real estate solutions to government agencies faced with extensively aged criminal justice infrastructure, including "turn-key" solutions as well as real estate only solutions to government agencies that need correctional capacity where they prefer to operate the facility. Most real estate only solutions would not require material capital expenditures if we have existing capacity. However, in the future we could incur capital expenditures to provide replacement capacity for government agencies that have extensively aged criminal justice infrastructure and are in need of new capacity, or to renovate existing real estate assets to accommodate additional demand from ICE.</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Attractive Real Estate Portfolio. </w:t>
      </w:r>
      <w:r>
        <w:rPr>
          <w:rFonts w:ascii="Times New Roman" w:cs="Times New Roman" w:eastAsia="Times New Roman" w:hAnsi="Times New Roman"/>
          <w:sz w:val="18"/>
          <w:szCs w:val="18"/>
          <w:color w:val="auto"/>
        </w:rPr>
        <w:t>As of December 31, 2025, the properties we owned or controlled via a long-term lease represented 94% of our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 facilities. The weighted average age of the facilities we own in the portfolio of facilities in our CoreCivic Safety, CoreCivic Community, and CoreCivic Properties segments is 27, 31, and 18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the largest developer of mission-critical, criminal justice center real estate projects over the past 15 years.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97% at facilities we owned or controlled via a long-term lease during the previous five years, which contributes to our relatively predictable and stable revenue base. This stream of revenue combined with our low maintenance capital expenditure requirement translates into steady, predictable cash flow.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Development, Expansion, and Acquisition Opportunitie</w:t>
      </w:r>
      <w:r>
        <w:rPr>
          <w:rFonts w:ascii="Times New Roman" w:cs="Times New Roman" w:eastAsia="Times New Roman" w:hAnsi="Times New Roman"/>
          <w:sz w:val="18"/>
          <w:szCs w:val="18"/>
          <w:color w:val="auto"/>
        </w:rPr>
        <w:t>s. Several of our existing government partners, as well as prospective government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experience growth in offender populations and overcrowded conditions. Governments are continuing to assess their need for correctional space, and several are considering alternative correctional capacity for their aged or inefficient infrastructure, or are seeking cost savings by utilizing the private sector, which could result in increased future demand for the solutions we provide. Competing budget priorities often impede our customers' ability to construct new prison beds of their own or update their older facilities, which we believe could result in further demand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expand, or acquire correctional and detention facilities when we believe potential long-term returns justify the capital deployment.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pursuing attractive growth opportunities through new development opportunities in our Properties segment, to meet the need to modernize outdated correctional infrastructure across the country, and exploring potential opportunities to expand the scope of non-residential correctional alternatives we provide in our Community segment, we may also consider other opportunities for growth. These growth opportunities may include, but are not limited to, potential acquisitions of correctional and detention facilities and businesses within our lines of business and those that provide complementary services, provided we believe such opportunities will enhance our business, diversify our cash flows, and/or increase the services we can provide to our customers, or when we believe the potential long-term returns justify the capital deployment. For example, on July 1, 2025, we acquired the Farmville Detention Center, a 736-bed facility located in Farmville, Virginia. The Farmville Detention Center provides transportation, care, and civil detention services for adult male non-citizens through an IGSA with ICE, which expires in March 2029, and is expected to result in total annual incremental revenue of approximately $40.0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Increasing Financial Flexibility. </w:t>
      </w:r>
      <w:r>
        <w:rPr>
          <w:rFonts w:ascii="Times New Roman" w:cs="Times New Roman" w:eastAsia="Times New Roman" w:hAnsi="Times New Roman"/>
          <w:sz w:val="18"/>
          <w:szCs w:val="18"/>
          <w:color w:val="auto"/>
        </w:rPr>
        <w:t>Effective January 1, 2021, we revoked our election to be taxed as a real estate investment trust, or REIT. We believe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in corporate tax structure improves our overall credit profile, as we are able to allocate our free cash flow toward the repayment of debt, which may include the purchase of our outstanding debt in open market transactions, privately negotiated transactions or otherwise, and to exercise more discretion in returning capital to our shareholders, which could include share repurchases and/or future dividends. Any future dividend is subject to our Board of Directors', or BODs', determinations as to the amount of distributions and the timing thereof, as well as limitations under the Company's debt covenants. Any such debt repurchases will depend upon prevailing market conditions, our liquidity requirements, contractual requirements, applicable securities laws requirements, and other factors.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were not able to implement a meaningful share repurchase program under the REIT structure without increasing our debt because a substantial portion of our free cash flow was required to satisfy the distribution requirements under the REIT structure. Upon achieving targeted debt reduction levels, we began allocating a substantial portion of our free cash flow to returning capital to our shareholders through share repurchases. During 2022, the BOD approved a share repurchase program to purchase up to $225.0 million of our common stock, which has subsequently been increased to up to $700.0 million through a series of increases, including two increases during 2025 of $150.0 million on May 15, 2025 and $200.0 million on November 10, 2025. Repurchases of our outstanding common stock are made in accordance with applicable securities laws and may be made at our discretion based on parameters set by our BOD from time to time in the open market, through privately negotiated transactions, or otherwise, subject to restricted payment limitations in our debt agreements. The share repurchase program has no time limit and does not obligate us to purchase any particular amount of our common stock. The authorization for the share repurchase program may be terminated, suspended, increased or decreased by the BOD in its discretion at any time. Through December 31, 2025, we completed the repurchase of 25.7 million shares of our common stock at a total cost of $399.5 million, excluding costs associated with the share repurchase program, or $15.52 per share, using cash on hand, cash provided by operations, and borrowing capacity under our Revolving Credit Facility, including 11.2 million shares repurchased during 2025 at a total cost of $218.4 million, excluding costs associated with the share repurchase program, or $19.48 per share. As of December 31, 2025, we had $300.5 million of repurchase authorization available under the share repurchase program. For more information about the repurchases made under our share repurchase program, see "</w:t>
      </w:r>
      <w:r>
        <w:rPr>
          <w:rFonts w:ascii="Times New Roman" w:cs="Times New Roman" w:eastAsia="Times New Roman" w:hAnsi="Times New Roman"/>
          <w:sz w:val="18"/>
          <w:szCs w:val="18"/>
          <w:i w:val="1"/>
          <w:iCs w:val="1"/>
          <w:color w:val="auto"/>
        </w:rPr>
        <w:t>Part II, Item 5.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Registrant's Common Equity, Related Stockholder Matters and Issuer Purchases of Equity Securities – Issuer Purchases of Equity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2025, we amended our Bank Credit Facility to, among other things, increase the size of the accordion feature that provides for uncommitted incremental extensions of credit from the greater of $200.0 million or 50% of Consolidated EBITDA for the period of four fiscal quarters most recently ended to the greater of $300.0 million or 50% of Consolidated EBITDA for the period of four fiscal quarters most recently ended, and to exercise the accordion feature by expanding the capacity under our revolving credit facility from $275.0 million to $575.0 million. We believe that expanding the size of our revolving credit facility provides us with enhanced balance sheet flexibility while remaining positioned for strategic investments and long-term value creation, such as through the share repurchase program.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we invested $75.0 million of capital expenditures associated with previously idled facilities we are activating and for additional potential idle facility activations, in order to prepare these facilities to quickly accept residential populations if opportunities arise, as well as to provide increased transportation services. We currently estimate capital expenditures of $35.0 million to $40.0 million in 2026 for this purpose. We could decide to incur additional capital expenditures in anticipation of additional activations if we have better visibility on specific needs and if the lead time to complete the capital expenditures exceeds the period needed to hire, train, and prepare a facility to accept residential populations. The significant reduction in capital expenditures expected on idle facilities in 2026, combined with an expectation of higher cash flows from operations in 2026 compared with 2025 primarily resulting from the activation of five idle facilities during 2025, provides us with more flexibility to deploy capital, which may include share repurchases (subject to restricted payment limitations in our debt agreements) and other growth opportunities.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on hand of $97.9 million and $311.4 million available under our revolving credit facility, which has borrowing capacity of up to $575.0 million. Our total weighted average effective interest rate on all outstanding debt was 7.4%, while our total weighted average maturity on all outstanding debt was 4.0 years. For the year ended December 31, 2025, our fixed charge coverage ratio was 4.9x and our debt leverage ratio was 2.8x. During the year ended December 31, 2025, we generated $194.6 million in cash through operating activities.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Offer Compelling Value to Correctional and Detention Agencies. </w:t>
      </w:r>
      <w:r>
        <w:rPr>
          <w:rFonts w:ascii="Times New Roman" w:cs="Times New Roman" w:eastAsia="Times New Roman" w:hAnsi="Times New Roman"/>
          <w:sz w:val="18"/>
          <w:szCs w:val="18"/>
          <w:color w:val="auto"/>
        </w:rPr>
        <w:t>We believe our government partners seek a compelling value and service offering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selecting an outsourced correctional or detention services provider. We believe we offer a cost-effective alternative to our government partners by reducing their correctional services costs, including the avoidance of long-term pension obligations and large capital investments in new bed capacity.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w:t>
      </w:r>
    </w:p>
    <w:p>
      <w:pPr>
        <w:spacing w:after="0" w:line="2" w:lineRule="exact"/>
        <w:rPr>
          <w:sz w:val="20"/>
          <w:szCs w:val="20"/>
          <w:color w:val="auto"/>
        </w:rPr>
      </w:pPr>
    </w:p>
    <w:p>
      <w:pPr>
        <w:ind w:firstLine="8"/>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outcomes for individuals in our care through investments in a variety of programs intended to reduce recidivism. Through ongoing company-wide initiatives, we continue to focus on efforts to improve operating efficiencies.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ICE detention facilities offer a compelling value when compared with alternative detention capacity. We have over forty years of experience in providing detention space and services to ICE and its predecessor agency, and we understand the complexity and nuance of the ICE mission. Although ICE has utilized non-traditional detention options outside the private sector in order to meet their demand, we believe we offer ICE detention solutions at a lower cost than the alternatives. Further, our facilities meet the various federal detention standards, helping to provide a safe and humane environment for the residents in our care. Our detention facilities are subject to various external audits and inspections, and demonstrate a history of compliance, meet environmental regulations, are weather-proof, located near transportation hubs, key ports of entry, and offer immigration legal infrastructure within or near our facilities, making them logistically efficient.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correctional and re-entry facilities, we continuously advocate for a range of government policies that are designed to help former offenders successfully reenter society and stay out of prison. We publicly advocate at the federal and state levels for policies that are aimed at helping people succeed in their communities after being released from prison. Specifically, we have pledged our support for Pell Grant Restoration, Voting Rights Restoration and Licensure Reform Policies. We also have a partnership with, and continue to invest in, Prison Fellowship, a leading advocate for criminal justice reform serving current and formerly incarcerated individuals and their family members. Through a network of programming and advocacy efforts, the organization seeks to effect positive change at every level of the criminal justice system. We have committed to a multi-year partnership in Prison Fellowship's First Chance Network, or FCN. Serving over 270,000 children annually, the FCN addresses persistent gaps in opportunity for children who have incarcerated parents and seeks to create a trajectory toward healthy life outcomes and prevent youth justice involvement.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policies that advance the expansion of reentry programs aligns closely with our ongoing efforts to assess and expand reentry-focused programming in our facilities. To that end, we actively engage subject matter experts and practitioners, including formerly incarcerated individuals who bring valuable, lived experiences that better inform innovations and enhancements to those programmatic offerings and the delivery of other services to the individuals entrusted to our care.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as successful as we may be with our work inside our facilities, incarcerated individuals still face embedded societal barriers and collateral consequences when they return to their communities. Supporting recidivism-reducing policies is one way we can bridge the gap and give the men and women entrusted in our care a better opportunity at never returning to prison.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incarcerated individuals with the opportunity to succeed when they are released, making our communities safer, and, ultimately, reducing recidivism.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offer utility management services using environmentally-friendly, state-of-the-art technology and believe our robust preventive maintenance program included in our service offering significantly reduces the risk of real estate neglect.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Proven Senior Management Team. </w:t>
      </w:r>
      <w:r>
        <w:rPr>
          <w:rFonts w:ascii="Times New Roman" w:cs="Times New Roman" w:eastAsia="Times New Roman" w:hAnsi="Times New Roman"/>
          <w:sz w:val="18"/>
          <w:szCs w:val="18"/>
          <w:color w:val="auto"/>
        </w:rPr>
        <w:t>Our senior management team has applied their prior experience and extensive industry expertise to improve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related financial results, and capital structure. Under our senior management team's leadership, we have successfully executed strategies to diversify our business and offer a broader range of solutions to government partners, created new business opportunities with customers that have not previously utilized the private corrections sector, completed several business combination transactions and corporate structure changes adapting to dynamic environments, and successfully completed numerous financing transactions.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Responsibility Reporting. </w:t>
      </w:r>
      <w:r>
        <w:rPr>
          <w:rFonts w:ascii="Times New Roman" w:cs="Times New Roman" w:eastAsia="Times New Roman" w:hAnsi="Times New Roman"/>
          <w:sz w:val="18"/>
          <w:szCs w:val="18"/>
          <w:color w:val="auto"/>
        </w:rPr>
        <w:t>In April 2025, we issued our annual Corporate Responsibility Report, which summarizes efforts and aspirational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across corporate responsibility topics. The report covers the year ended December 31, 2024, and addresses topics such as evidence-based practices in our reentry programs and human rights-related activities, including delivery of human rights training to all of our employees. The report also summarizes our management approach and activities in topics including energy/utilities management; organizational culture; lobbying and political activity; supply chain management; charitable giving; PREA compliance; ethics; and employee compensation, benefits and training.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fulfill our mission of providing high quality, compassionate treatment to all those in our care, we strive to attract, develop, and retain a workforce of individuals who are driven by a deep sense of service, high standards of professionalism, and a responsibility to help government partners better the public good. The following information outlines the human capital strategies and initiatives designed to address the twin challenges of turnover and retention.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and Talent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facilitate annual performance and career development discussions with all employees. These discussions consist of a continuous cycle of goal alignment, individual development planning, and performance and talent reviews. In 2025, 95% of all eligible employees completed annual performance reviews. We continue to use a leading cloud-based talent system to align performance, talent management, career development activities, and training.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every year we facilitate talent review discussions to help assess potential and identify developmental opportunities within our leadership pipeline. Through these discussions, we continue to see opportunities for advancement for our existing workforce. Our 2025 talent reviews included leaders in our facilities plus headquarters-based managers and above. This year succession planning was a primary focus for both field and senior-level leaders. As an outcome of 2025 discussions, 80% of our safety and community facility leaders and 70% of senior headquarters-based leaders have identified successors. Individuals who were identified as ready now are actively considered for open roles. Individuals who were identified as ready in one to three years had specific development activities defined to ensure they are well positioned for future opportunities.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we continued our focus on our leadership candidate pipeline and leader development needs. The CoreCivic Leadership Experiences and Rotations program, or CLEAR, continues to yield positive results as a development mechanism for top talent. CLEAR is a two-year rotational development program designed to provide individuals identified during our talent management discussions with accelerated development opportunities through multiple, short-term experiences. The breadth of roles can vary across different career paths and are intended to develop the rising leader's readiness for targeted roles with higher levels of responsibility and complexity following successful completion of the program. In 2025, our second cohort of CLEAR participants completed the program and have been placed in various leadership roles. Our third cohort is in its final year, and we have begun discussions on potential leadership role placements within the organization.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investing in our people. Our management approach to training and development is overseen by our Managing Director, Enterprise Learning and Development, and is implemented by leaders at our headquarters as well as a network of learning and development managers across our facilities. Our training activity and records are managed according to our learning and development policy, and our Board of Directors receives periodic updates on the delivery of strategic training programs.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CoreCivic employees are eligible to participate in various leadership and operational trainings through our talent development programs. To date, we have graduated 6,028 employees from both operational and leadership programs. For new and existing employees alike, we provide training that meets or exceeds ACA and government partner standards, including an average of 200 hours of pre-service and on-the-job training for new employees. We also require a minimum of 40 hours of annual in-service and specialty training for employees in our Safety and Community segments.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and Organizational Culture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People are at the center of what we do. We believe having a strategy to further the development of our people and organizational culture improves the quality of our operations and increases employee engagement and satisfaction. We believe a culture of dignity, respect and belonging is necessary for our mission. We celebrate the variety of work and life experiences our employees bring to CoreCivic and recognize that fostering an empowered, team-oriented culture is integral to our performance as an organization and our ability to serve our government partners.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Vice President of Human Resources leads many of our People and Culture programs. A multi-disciplinary People &amp; Culture Council, or PCC, and our Business Resource Groups, or BRGs, together with direction from executive sponsors, informs the development and continuation of culture-related activities. Our three BRGs, (1) Military, (2) Multicultural, and (3) Women's, support career development, networking and local community engagement. We continued our enterprise involvement and sponsorship of community organizations, including Advancement of Women in Nashville, or AWIN, The Table, and Middle Tennessee State University's Charlie and Hazel Daniels Veterans and Military Family Center.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collaboration with executives and senior leaders, we continued our focus on monitoring the outcomes of our people and culture actions. In 2025, Human Resources partnered with Operations, Ethics and Legal to launch an enterprise-wide integrity campaign reinforcing the staff member conduct expectations that reflect our core cultural values. Additionally, we piloted a new Workforce Relations Specialist role at specific facilities. This hands-on resource supports safety frontline staff, paying special attention to new hires. This role provides problem-solving support, ensures clear communication and follow-up, and serves as a visible leader to staff on shift, supplementing the efforts of the local Human Resources team.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policies are designed to promote a culture of belonging and respect and prohibit harassment. In accordance with federal contract requirements, we maintain equal opportunity plans designed to provide equality of opportunity for all qualified individuals.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that bringing out the best in our people is the greatest way to recruit, retain, and develop our employees. We continually work to foster a welcoming culture where everyone is treated with dignity and respect, contributions are valued, and people are equipped for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Hiring and Sustaining our Workforce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largest employer in many of the areas in which our facilities are located. As such, we are committed to supporting and growing the local communities through our hiring and outreach efforts. Our long-term tenure in many of the communities we serve has provided stable careers and career growth opportunities to workforces in these areas. We provide equal opportunity employment to all candidates and follow the United States Department of Labor Office of Federal Contract Compliance Programs equal employment opportunity guidelines for hiring.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invested approximately $8.7 million in talent attraction efforts to reach prospective candidates, and we received over 133,000 job applications. This increased investment in talent attraction reflects the additional demands needed to support newly activated facilities throughout the year. For the past fifteen consecutive years, CoreCivic has been recognized as a GI Jobs Military Friendly employer.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descriptive and prescriptive human capital analytics to support our compensation strategy and to help align pay with changing labor market conditions. These analytics inform wage decisions designed to maintain market-competitive compensation across our workforce. We also evaluate internal pay equity through job evaluation and market analyses, with adjustments for factors such as tenure, experience, geographic location, performance, and other relevant variables that may impact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competitive labor market conditions across many of our markets. During the third quarter of 2025, we implemented wage increases for substantially all facility staff not covered by the McNamara-O’Hara Service Contract Act, which applies to certain facilities with federal contracts, as part of our ongoing efforts to remain competitive. In addition, we made targeted out-of-cycle wage adjustments throughout the year to address market conditions. These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actions, together with other workforce initiatives, are intended to support employee retention and workforce stability. We expect to continue evaluating and investing in staffing resources during 2026, which may result in additional compensation-related expense.</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offer a comprehensive benefits program that includes multiple medical and wellness plans, dental and vision coverage, disability income insurance, flexible spending accounts, and life and accidental death and dismemberment insurance. Employees also receive paid time off and paid holidays. We provide retirement benefits through a 401(k) retirement plan. Eligibility for most benefit plans generally requires full-time employment, subject to certain exceptions, including eligibility for the 401(k) retirement plan based on applicable service requirements or where required under the McNamara-O’Hara Service Contract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Relations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employed 13,651 full- and part-time employees, including employees with our transportation and electronic monitoring subsidiaries, TransCor and Recovery Monitoring Solutions Corporation, respectively. Approximately 1,825 of our employees at 13 of our facilities, or approximately 13.4% of our workforce, are represented by labor unions. All of our collective bargaining agreements contain no-strike clauses that bind the unions and the bargaining unit employees. Work stoppages at any of our facilities are exceedingly rare.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bettering the public good by making our facilities and communities safe for our team members, those under our care, and the public. In 2025, our "Team Safety" program continued initiatives to provide a safe environment and safe working conditions as reflected in our policies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Regulations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in which we operate is subject to extensive federal, state, and local regulations, including educational, health care, data privacy and security, transportation, telecommunications, and safety regulations, which are administered by many governmental and regulatory authorities. Some of the regulations are unique to the corrections industry, and some target private, for-profit entities by imposing location requirements, compliance requirements, elevated litigation risk and financial penalties only on private, for-profit correction and detention providers.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In addition, our technological infrastructure is required by federal agencies to undergo a security compliance audit and provide security logs on a monthly basis. Failure to comply with these regulations and contract requirements can result in material penalties or non-renewal or termination of facility management contracts which could have a material effect on our financial position, results of operations and cash flows, or on our competitive position as a dependable government partner.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and continue to be,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could have a material effect on our financial position, results of operations and cash flows, or on our competitive position as a dependable government partner.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and implementing regulations, or HIPAA, require covered entities, which include most health care providers, to protect the privacy and security of individually identifiable health information, known as “protected health information” and establish individual rights related to understanding and controlling how health information is used or disclosed. In the event of breaches of unsecured protected health information, covered entities must notify affected individuals, the U.S. Department of Health and Human Services and, in certain situations involving large breaches, the media. Additionally, we are subject to complex and evolving U.S. federal and state privacy laws and regulations, including those pertaining to the processing of personal data, such as the California Consumer Privacy Act, and similar laws in various states in which we operate.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providers are also subject to a growing number of requirements intended to promote the interoperability and exchange of patient health information, including information blocking restrictions that prohibit practices that are likely to interfere with the access, exchange or use of electronic health information, with limited exceptions.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data privacy and other risks related to our business, see Item 1A. Risk Factors—Risks Related to Our Business and Industry—</w:t>
      </w:r>
      <w:r>
        <w:rPr>
          <w:rFonts w:ascii="Times New Roman" w:cs="Times New Roman" w:eastAsia="Times New Roman" w:hAnsi="Times New Roman"/>
          <w:sz w:val="18"/>
          <w:szCs w:val="18"/>
          <w:i w:val="1"/>
          <w:iCs w:val="1"/>
          <w:color w:val="auto"/>
        </w:rPr>
        <w:t>The failure to comply with data privacy, security and exchange legal requirements could have an adverse impact on our business, reputation,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position and results of operations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general liability insurance for all the facilities we operate, as well as insurance in amounts we deem adequate to cover property and casualty risks, employee health, workers' compensation, automobile liability, cybersecurity,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management contracts and the statutes of certain states require the maintenance of insurance with some states imposing insurance requirements specific to private corrections and detention providers as a requirement for continued operation.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an adverse impact on the operating revenue of our facilities. In addition, revenue derived from our facilities will be affected by a number of factors, including the demand for beds, general economic conditions, and the age of the general population.</w:t>
      </w:r>
    </w:p>
    <w:p>
      <w:pPr>
        <w:spacing w:after="0" w:line="29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owner and operator of correctional, detention, and residential reentry facilities, we are subject to certain risks and uncertainties associated with, among other things, the corrections and detention industry, pending or threatened litigation in which we are involved, real estate ownership, and our indebtedness.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Privatization of correctional, detention, and residential reentry facilities has not achieved complete acceptance by either government agencies or the public at large. The operation of correctional, detention, and residential reentry facilities by private entities has encountered resistance from certain groups, such as labor unions, prison reform organizations, activists and others that believe that correctional, detention, and residential reentry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detention, and residential reentry facilities, could negatively impact our growth and our ability to renew or maintain existing contracts or to obtain new contracts and could have an adverse impact on our business, financial condition, results of operations and the market price of our common stock.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2025, President Trump reversed an executive order issued on January 26, 2021 by then-President Biden that had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This executive order only applied to agencies that are part of the DOJ, which includes the BOP and USMS. We currently do not operate any prison contracts for the BOP. ICE facilities were not covered by this executive order, as ICE is an agency of the DHS, not the DOJ. It is possible future administrations could issue executive orders restricting the use of private correctional and detention facilities by the federal government.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Immigration reform laws are currently a focus for legislators and politicians at the federal, state, and local level. Legislation has been passed in California, Colorado, and New Jersey, where we operate detention facilities, as well as Maryland, Illinois, Oregon and Washington, that prohibits state and local agencies from contracting to detain immigrants in ICE custody. In addition, legislation has been proposed in New Mexico, a state in which we own facilities, that would prohibit state and local agencies from contracting to detain immigrants in ICE custody. While recent court decisions in California and New Jersey have struck down these restrictions as to direct contracts between ICE and private companies, restrictions on state and local agency contracts to detain immigrants in ICE custody generally remain in place in the states where such laws have been passed.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recently proposed legislation in California, Assembly Bill 1633, or AB1633, would impose an annual tax equal to 50% of the gross receipts of private detention facility operators beginning on January 1, 2027, if enacted into law. As a result, if enacted into law, AB1633 would impose the 50% tax on gross receipts we receive in connection with the operation of each of the detention facilities we operate in California. Although it is uncertain whether AB1633 will be enacted into law, we can provide no assurance that it will not be enacted, and if enacted, would not impact our results of operations and cash flows.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negative publicity regarding offenders escaping, rioting or any other disturbances at our facilities or any public perception of poor operational performance at our facilities, contract non-compliance, or other conditions (including disease outbreaks at the facilities we own and manage) at a privately managed facility may result in adverse publicity to us and the private corrections industry in general and could negatively impact our growth and our ability to renew or maintain existing contracts or to obtain new contracts, which could have an adverse impact on our business, reputation, financial condition, results of operations and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fluctuations in occupancy levels, and a decrease in occupancy levels could negatively impact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a substantial portion of our cost structure is fixed, a substantial portion of our revenue is generated under facility ownership and management contracts that specify per diem payments based upon daily or minimum guaranteed occupancy levels. We are dependent upon the governmental agencies with whom we have contracts to utilize available beds at facilities we operate. We cannot control occupancy levels at the facilities we operate. We do not lobby or advocate for any policies that determine the basis for or duration of an individual's incarceration or detention. Under a per diem rate structure, a decrease in our occupancy rates could cause a decrease in revenue and profitability. For the years 2025, 2024, and 2023, the average compensated occupancy of our facilities, based on rated capacity, was 77%, 75%, and 72%,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an adverse impact on our business, financial condition, results of operations and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government appropriations, and our results of operations may be negatively affected by governmental budgetary challenges or government shutdowns.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business, financial condition, results of operations and the market price of our common stock. For example, due to the most recent government shutdown, we continue to experience delays in payments from our federal customers and due to newly added approval requirements of certain invoices by DHS. Our federal customers are required to pay us for services we perform including during government shutdowns, with interest, once the government reopens, and for all invoices not paid within set deadlines. In addition, federal, state and local governments are regularly under pressure to control additional spending or reduce current levels of spending. For example, during the fourth quarter of 2025, in response to a request from DHS to provide the agency with budgetary savings, we proposed to reduce the term of four management contracts by one year, which the agency accepted. The federal government may nonetheless elect to extend such contracts beyond their new terms.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reduce the U.S. federal deficit could adversely affect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reductions in government spending in an effort to reduce the U.S. federal deficit could result in a reduction in the utilization of our services or additional pricing pressure. Further, there is ongoing uncertainty regarding the federal budget and federal spending levels, including the possible impacts of a failure to increase the “debt ceiling.” Any U.S. government default on its debt could have broad macroeconomic effects that could, among other things, raise our borrowing costs. Any future shutdown of the federal government or failure to enact annual appropriations could also have a material adverse impact on our liquidity, results of operations and financial condition.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considerable uncertainty exists regarding how future budget and program decisions will develop, including the spending priorities of the current U.S. presidential administration and Congress and what challenges budget reductions will present for us and our industry generally. For example, on January 20, 2025, President Trump established by an executive order an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the funding for and delay or eliminate the ability for additional contracting or increased bed capacity.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may adversely affect the profitability of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with government entities and other private operators on the basis of bed 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individuals currently cared for in our facilities and transfer them to government-run facilities. Since we are paid on a per diem basis with no minimum guaranteed occupancy under most of our contracts, the loss of such individuals, and the resulting decrease in occupancy, would cause a decrease in our revenues and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terminations, non-renewals, or competitive re-bids of our government contracts.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typically enter into facility contracts with governmental entities for terms of up to five years, with additional renewal periods at the option of the contracting governmental agency. Notwithstanding any contractual renewal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option of a contracting governmental agency, 35 of our facility contracts with the customers listed under "Business – Facility Portfolio" are currently scheduled to expire on or before December 31, 2026 but have renewal options (22), or are currently scheduled to expire on or before December 31, 2026 and have no renewal options (13).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2025 for the 35 contracts with scheduled maturity dates, notwithstanding contractual renewal options, on or before December 31, 2026 was $688.1 million, or 31% of total revenue.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2024, we received notice from ICE of its intent to terminate the IGSA for services at the 2,400-bed Dilley Facility effective August 9, 2024. As a result, we provided notice to the third-party lessor of the facility of our intent to terminate the lease effective as of the same date, with no financial penalties as permitted by the lease agreement. The operating margin at the Dilley Facility exceeded the average operating margin of our portfolio due to the size and scalability of expenses, and due to the unique design and specialized services provided at the facility. Accordingly, the termination of funding of the IGSA associated with the Dilley Facility had a negative impact on operating margins following the termination date. However, the IGSA for services at the Dilley Facility was subsequently amended and operations resumed at the facility on March 5, 2025. The amended IGSA expires in March 2030 and may be further extended through bilateral modification. Simultaneous with the March 5, 2025 amendment of the IGSA and resumption of operations at the Dilley Facility, we entered into a new lease agreement with the same third-party lessor over a period co-terminus with the term of the amended IGSA. The amended IGSA provided for a fixed monthly payment in accordance with a graduated schedule during the first six months of the agreement to correlate with the activation of the five neighborhoods within the facility, each designed to accommodate up to 480 individuals. We began receiving residents at this facility during April 2025. Activation of the Dilley Facility was completed in September 2025, at which time the amended IGSA began contributing to an increase in operating margins. Total annual revenue generated by the Dilley Facility, as fully activated, is expected to be approximately $180 million. Total revenue generated at the Dilley Facility was $118.1 million and $101.2 million during 2025 and 2024, respectively. Facility net operating income at this facility was $39.1 million and $51.5 million during 2025 and 2024, respectively.</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ICE issued a request for proposal, or RFP, for up to 600 beds in New Jersey. We have offered the 300-bed Elizabeth Detention Center under this RFP. Our management contract at the Elizabeth Detention Center has continued under numerous short-term extensions, including most recently through February 28, 2026, with an additional extension option through March 31, 2026. We continue to discuss the terms of a long-term contract with ICE, but can provide no assurance that we will be awarded a new contract, or that ICE will continue to sign extensions. We generated total revenue of $22.6 million at this facility during 2025. At December 31, 2025, we cared for 303 detainees at this facility under terms of the most recently extended contract.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Governmental agencies typically may terminate a facility contract at any time without cause or use the possibility of termination to negotiate a lower per diem rate. We believe our cost of corrections and detention solutions is competitive, particularly when compared to alternative corrections and detention capacity. We regularly engage and collaborate with our customers to provide them with competitive rates and value for the services we provide. During the fourth quarter of 2025, for example, in response to a request from DHS to provide the agency with budgetary savings, we proposed to reduce the term of four management contracts by one year, which the agency accepted. The government may nonetheless elect to extend such contracts beyond their new terms.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have an adverse impact on our business, financial condition and results of operations, including our ability to secure new facility contracts from others.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 provide no assurance that we will continue to achieve high renewal rates in the future.</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secure new contracts to develop and manage correctional, detention, and residential reentry facilities depends on many factors outside our control.</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growth is generally dependent upon our ability to obtain new contracts to develop and manage correctional, detention, and residential reentry facilities. This possible growth depends on a number of factors we cannot control, including crime rates and sentencing patterns in various jurisdictions, immigration policy, governmental budgetary constraints, and governmental and public acceptance of the privatization of correctional, detention, and reentry facilities. The demand for our facilities and services could be adversely affected by the relaxation of enforcement efforts, immigration policies that result in reduced migration to the U.S. or a decrease in the number of people apprehended and detained, the expansion of alternatives to incarceration and detention, leniency in conviction or parole standards and sentencing practices through the decriminalization of certain activities that are currently proscribed by criminal laws. For instance, any changes with respect to drugs and controlled substances or illegal immigration could affect the number of persons arrested, detained, convicted, and sentenced, thereby potentially reducing demand for correctional or detention facilities to house them. Immigration reform laws are an ongoing focus for legislators and politicians at the federal, state, and local level and policies that deny entry into the U.S. for any reason could result in a decrease in the demand for our services. Legislation has also been proposed in numerous jurisdictions that could lower minimum sentences for some non-violent crimes and make more inmates eligible for early release based on good behavior. On December 21, 2018, then-President Trump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the sentences for crack and powder cocaine cases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such as electronic monitoring or the use of other technologies, may reduce the number of offenders who would otherwise be incarcerated or detained. Similarly, reductions in crime rates, increases in resources dedicated to preventing crime, reduced funding for law enforcement, or strained law enforcement resources could lead to a reduction in arrests, which could lead to a decrease in convictions and sentences requiring incarceration at correctional facilities.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certain jurisdictions may require successful bidders to make a significant capital investment in connection with the financing of a particular project. We may compete for such projects with companies that have more financial resources than we have. Further, we may not be able to obtain capital resources with favorable terms, if at all, when needed. A prolonged downturn in the financial capital markets or in our stock price could make it more difficult to obtain capital resources at favorable rates of return or obtain capital resources at all.</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about continued growth in the utilization of detention beds by the federal government may not be realized, which could negatively impact our stock price.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our correctional and detention facilities to continue to increase under the current presidential administration, particularly from ICE, as a result of recent changes in immigration policy and funding levels of our federal government partners charged with correctional and detention responsibilities. This anticipated continued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Further, the activation of our idle correctional and detention facilities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requires three to six months to hire, train, and prepare our facilities to accept residential populations, which could result in substantial expenses before we are able to realize additional revenue. If the demand from the federal government for our correctional and detention facilities is not realized or does not increase to levels generally expected in the marketplace, our stock price could decline.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ICE, the federal executive agency under the direction of DHS, has recently expanded its methods for physical detention by utilizing non-traditional detention capacity and by obtaining ownership of non-traditional facilities, and such methods could have an adverse impact on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extensive funding made available by the OBBBA, in order to boost total available detention beds, accelerate deportation initiatives and explore cost savings, DHS has considered various alternative forms of detention capacity and increased utilization of non-traditional private sector detention facilities. For example, ICE has increased its use of military bases (domestically and at Guantanamo Bay), soft-sided facilities, idled or under-utilized facilities owned and operated by the BOP, facilities owned by state and local government agencies, international options, and has most recently proposed using warehouse-based real estate, and has acquired certain real estate assets for use in ICE detention. If we were to sell one of our owned facilities to a governmental customer, such as ICE, we may be unable to invest the proceeds from the sale in one or more properties that yield as much cash flow as the property sold. Even if we were to be engaged by a governmental customer to operate the facility following the sale, our operation of the facility pursuant to a management agreement may be less profitable than our ownership of the facility, and there can be no assurance that such governmental customer will not terminate the management contract associated with such facility or engage another operator to manage such facility. Utilization of additional forms of detention options, including through governmental ownership of detention facilities, could divert potential occupancy from our facilities, and thereby have an adverse impact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community opposition to facility location, which may adversely affect our ability to obtain or timely activate new contracts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or require certain zoning or permitting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Even if we identify sites where local leaders and residents generally support the establishment of a correctional, detention, or residential reentry facility, whether to be publicly or privately operated, constructing or expanding a facility, or proposing to utilize a facility for immigration detention, may still face resistance by broader groups to facilities perceived as supporting over-incarceration or immigration detention. Therefore, future efforts to find suitable host communities may not be successful. We may incur substantial costs in evaluating the feasibility of the development of a correctional, detention, or residential reentry facility. As a result, we may report significant charges if we decide to abandon efforts to develop a correctional, detention, or residential reentry facility on a particular site. Further, in many cases, the site selection is made by the contracting governmental entity. In such cases, site selection may be made for reasons related to political and/or economic development interests and may lead to the selection of less favorable sites.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the City of Leavenworth has filed a lawsuit alleging that a SUP is required to activate our Midwest Regional Reception Center in Leavenworth, Kansas, which has resulted in a delay in the intake process. Although we are appealing negative court rulings in this matter, and in December 2025 filed an application for the SUP, we can provide no assurance that our legal appeal will be successful, or that the SUP will be approved and therefore, cannot predict if or when we will be able to accept detainee populations at this facility.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start-up and operating costs on new contracts before receiving related revenues, which may have an adverse impact on our business, financial condition and results of operations and not be recouped.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we are awarded a contract to provide or manage a facility, we may incur significant start-up and operating expenses, including the cost of constructing the facility, purchasing equipment and staffing the facility, before we receive any payments under the contract. We may also experience a disruption in our business when transitioning from one contract to another. Because our contracts may be terminated prior to their scheduled expiration, we may not recover these expenditures or realize any return on our investment.</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RFPs.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Facility management contracts typically include reporting requirements, supervision, and on-site monitoring by representatives of the contracting governmental agencies. Additionally, governmental agencies with which we contract 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In August 2024, the state of Tennessee was notified by letter that the DOJ was commencing an investigation under the Civil Rights Institutionalized Persons Act of conditions in our owned and operated Trousdale Turner Correctional Center, which we manage on behalf of the Tennessee Department of Corrections. We are cooperating with the investigation.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or pay liquidated damages.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reputation and our ability to bid in response to RFPs in one or more jurisdictions.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in which we operate is subject to extensive federal, state, and local regulations, including educational, environmental, health care, data privacy, transportation, telecommunications, and safety regulations, which are administered by many regulatory authorities. Some of the regulations are unique to the corrections industry, some target private, for-profit entities by imposing location requirements, compliance requirements, elevated litigation risk and financial penalties only on private, for-profit correction and detention providers, and some are unique to government contractors. The combination of regulations we face is unique and complex. Facility management contracts typically include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whom we contract. Federal regulations also require federal government contractors to self-report evidence of certain forms of misconduct. We may not always successfully comply with these regulations and contract requirements, and failure to comply can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could have an adverse effect on our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also has been increasing focus by U.S. and foreign government authorities on environmental matters, such as climate change, the reduction of greenhouse gases and water consumption. In particular, the State of California passed the Climate Corporate Data Accountability Act and the Climate-Related Financial Risk Act that will impose broad climate-related disclosure obligations on certain companies doing business in California, starting in 2026. Furthermore, existing laws and regulations may be revised or new laws and regulations or new interpretations of existing laws and regulations, may be adopted or become applicable to us, which may affect the operation of our properties or result in significant additional expense and restrictions on our business operations. The costs to defend a claim under such new or revised laws, or to comply with such laws or regulations, could be material and could adversely affect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inmate transportation subsidiary, TransCor, is subject to regulations promulgated by the Departments of Transportation and Justice. Such regulations include, but are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18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must be used for the benefit of individuals in our care.</w:t>
      </w: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data privacy and security legal requirements could have an adverse impact on our business, reputation, financial position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complex and evolving U.S. federal and state privacy laws and regulations, which sometimes conflict among the various jurisdictions where we do business. For example, we are subject to HIPAA, which requires us to protect the privacy and security of individually identifiable health information, known as “protected health information” and recognize individual rights related to understanding and controlling how health information is used or disclosed. Various states have passed laws pertaining to the processing of personal data that require companies, including us, to provide new disclosures and options to such persons about data collection, use and sharing practices. HIPAA and state laws require us to report data breaches to affected individuals, government regulators, and in certain cases involving large breaches, the media. Further, the U.S. federal government and a significant number of additional states are considering expanding or passing privacy laws in the near term. We are also subject to increasing legal requirements with respect to the use of artificial intelligence and machine learning applications and tools (including in relation to hiring and employment practices) and biometric information. These legal requirements are rapidly changing and are subject to uncertain application, interpretation and enforcement standards.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increasingly complex, restrictive and rapidly evolving regulatory environment at the federal and state level related to data privacy and data protection, including with respect to protected health information and the use of artificial intelligence, may require significant continued effort and cost, changes to our business and data processing practices and impact our ability to obtain and use data. These laws provide for civil penalties for violations, and some confer a private right-of-action to certain individuals for data breaches. Federal and state regulatory bodies, including the Federal Trade Commission, the California Privacy Protection Agency, and state attorneys general are engaging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enforcement investigations and actions with respect to privacy and data protection. There is no assurance that our security controls, training of employees on data privacy and data security, and policies, procedures and practices will prevent the improper use or disclosure of personal data. Our inability to adapt or comply with such legal requirements, or the improper use or disclosure of personal data in violation of data privacy laws could harm our reputation, cause loss of consumer confidence, subject us to government enforcement actions, or result in private litigation against us, which could result in loss of revenue, increased costs, liability for monetary damages, fines and/or criminal prosecution, all of which could have an adverse impact on our business, reputation, financial position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governmental customers for a significant portion of our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revenues from a limited number of governmental agencies. The three primary federal governmental agencies with correctional and detention responsibilities, ICE, the USMS, and the BOP accounted for 54% of our total revenues for the year ended December 31, 2025 ($1,193.5 million). For the year ended December 31, 2025, ICE, USMS, and the BOP accounted for 35% ($770.7 million), 18% ($390.6 million), and 1% ($32.2 million), respectively, of our total revenue. Although the revenue generated from each of these agencies is derived from numerous management contracts and various types of properties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correctional, detention, and reentry), the loss or substantial reduction in value of one or more of such contracts could have an adverse impact on our business, financial condition and results of operations. We expect to continue to depend upon federal agencies, including ICE and the USMS, and a relatively small group of other governmental customers for a significant percentage of our revenues.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government has previously adopted policies to not renew DOJ contracts with privately operated criminal detention facilities. Although the current administration has reversed these policies, it is possible future administrations could issue similar or new executive orders restricting the use of private correctional and detention facilities by the federal government.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senior management and our ability to attract and retain sufficient qualified personnel.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large part on the ability and experience of our senior management. The unexpected loss of any of these persons could have an adverse impact on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and detention officers, and other personnel. Our inability to hire sufficient qualified personnel on a timely basis, or experiencing excessive turnover or the loss of significant personnel at existing facilities, could adversely affect our business. These risks have been intensified by the activation of multiple previously idle facilities under new management contracts with ICE, where the activation process is not yet complete, and could in the future be compounded if we have the opportunity to activate additional idle facilities. Many of our contracts include specific staffing requirements, and our failure to satisfy such requirements may result in the imposition of financial penalties or loss of contract.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experience labor shortages and wage pressures in several markets across the country and have provided customary inflationary wage increases to remain competitive. Although the hiring environment has progressively improved since the COVID-19 pandemic, recruiting remains particularly challenging at certain facilities in particular geographic locations, resulting in incremental expenses to help ensure sufficient staffing levels. While we have been able to reduce the use of these temporary incentives at most facilities due to the improving hiring environment, we expect to continue to incur a certain level of incremental expenses in the future, particularly as demand from the federal government for capacity at our correctional and detention facilities is increasing, particularly from ICE. Incremental expenses include, but may not be limited to, incentive payments to our front-line and field staff, temporary employee housing expenses and other travel related reimbursements, additional paid time off, off-cycle wage increases in certain markets to remain competitive, and registry nursing expenses.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As the labor market improves, we expect to further reduce our reliance on these temporary incentives. While we have achieved recent successes, the benefits of our investments in staffing may not be sustained, and labor shortages could intensify again in the future, especially during the periods when multiple facility activations are required in certain geographical areas creating a higher demand for labor, which could adversely affect our business, results of operations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types of litigation.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Legal proceedings related to, and adverse developments in our relationship with, our employees could adversely affect our business, financial condition or results of operations. </w:t>
      </w:r>
      <w:r>
        <w:rPr>
          <w:rFonts w:ascii="Times New Roman" w:cs="Times New Roman" w:eastAsia="Times New Roman" w:hAnsi="Times New Roman"/>
          <w:sz w:val="18"/>
          <w:szCs w:val="18"/>
          <w:color w:val="auto"/>
        </w:rPr>
        <w:t>We and our subsidiaries are party to a variety of claims and legal proceedings in the ordinary course of business,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an adverse impact on our business, financial condition or results of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are subject to legal proceedings associated with owning and managing correctional, detention, and residential reentry facilities. </w:t>
      </w:r>
      <w:r>
        <w:rPr>
          <w:rFonts w:ascii="Times New Roman" w:cs="Times New Roman" w:eastAsia="Times New Roman" w:hAnsi="Times New Roman"/>
          <w:sz w:val="18"/>
          <w:szCs w:val="18"/>
          <w:color w:val="auto"/>
        </w:rPr>
        <w:t>Our ownership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correctional, detention, and residential reentry facilities, and the provision of inmate transportation services by a subsidiary, expose us to potential third-party claims or litigation by prisoners or other persons relating to personal injury, illness, or other damages resulting from contact with a facility, its managers, personnel or other prisoners, including damages arising from a prisoner's escape from, or a disturbance or riot at, a facility we own or manage, from the misconduct of our employees, or the failure to prevent or detect the introduction of contraband and prohibited substances.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necessary insurance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an adverse impact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In the past, we have experienced increases in labor costs. The continuation or intensification of such increases could have an adverse impact on our business, financial condition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the performance and capabilities of third parties with whom we have commercial relationships.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business relationships with key partners, suppliers, channel partners and other parties that have complementary products, services or skills. We depend, in part, on the performance and capabilities of these third parties and on the financial condition of, and our relationship with, distributors and other business partners, which can affect our capacity to effectively and efficiently serve current and potential government partners. We depend on these third parties and suppliers to also adequately protect against risks that they may face, including cybersecurity risk, to ensure timely delivery of products and services we procure. Additionally, cost inflation and supply chain disruptions may lead to higher costs charged by such third parties or the unavailability of the products or services they provide. Should we be unable to source such products or services from alternative or lower cost providers, our business, financial condition and results of operations could be adversely affected.</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Technological changes within our electronic monitoring business may require us to expend resources in an effort to acquire, maintain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including as a result of supply chain delays, could have an adverse impact on our marketing and sales initiatives, which could adversely affect our financial condition and results of operations. In addition, contracts with such suppliers may not continue to be available on acceptable terms or at all.</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and that damages payable by us would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ownership of real estate.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ownership of correctional, detention, and residential reentry facilities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fires, hurricanes, floods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properties we own. Further, it is possible to experience losses that may exceed the limits of insurance coverage.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risk we face for asset impairment charges is associated with real estate that we own. As of December 31, 2025, we had $2.1 billion in property and equipment, including $149.7 million in long-lived assets at four idled CoreCivic Safety facilities and one idled CoreCivic Properties correctional facility. We can provide no assurance that we will be able to secure agreements to utilize our idle properties, or that we will not incur impairment charges in the future.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Certain of our facilities are subject to options to purchase and reversions. </w:t>
      </w:r>
      <w:r>
        <w:rPr>
          <w:rFonts w:ascii="Times New Roman" w:cs="Times New Roman" w:eastAsia="Times New Roman" w:hAnsi="Times New Roman"/>
          <w:sz w:val="18"/>
          <w:szCs w:val="18"/>
          <w:color w:val="auto"/>
        </w:rPr>
        <w:t>Nine of our facilities are subject to an option to purchase by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agencies. Such options are exercisable by the corresponding contracting governmental entity generally at any time during the term of the respective facility contract. Certain of these purchase options are based on the depreciated book value of the facility, which essentially could result in the transfer of ownership of the facility to the governmental agency at the end of the life used for accounting purposes, while other options to purchase are exercisable at prices below fair market value. See "Business – Facility Portfolio."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are exercised, there exists the risk that the contracting governmental agency will terminate the management contract associated with such facility. For the year ended December 31, 2025, the nine facilities currently subject to these options generated $374.5 million in revenue (16.9% of total revenue) and incurred $314.7 million in operating expenses.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related to facility construction and development activities may increase our costs related to such activities. </w:t>
      </w:r>
      <w:r>
        <w:rPr>
          <w:rFonts w:ascii="Times New Roman" w:cs="Times New Roman" w:eastAsia="Times New Roman" w:hAnsi="Times New Roman"/>
          <w:sz w:val="18"/>
          <w:szCs w:val="18"/>
          <w:color w:val="auto"/>
        </w:rPr>
        <w:t>When we are engaged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 increase in costs or difficulty of obtaining adequate levels of surety credit on favorable terms.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Components of our business depend significantly on effective information systems and technologies, some of which are provided and/or maintained by third parties. As with any organization that relies on technology to deliver products and services, we face a variety of technology-related risks that could materially impact our operations, financial performance, and reputation. As a matter of course, we may store, transmit, or process the personal information of offenders, employees and other persons as required to provide our services and such personal information or other data may be hosted or exchanged with our government partners and other third-party providers. In response to these risks, we employ industry standard administrative, technical and physical safeguards designed to meet data protection and availability requirements; however, specific examples of risks we face include:</w:t>
      </w:r>
    </w:p>
    <w:p>
      <w:pPr>
        <w:spacing w:after="0" w:line="187" w:lineRule="exact"/>
        <w:rPr>
          <w:sz w:val="20"/>
          <w:szCs w:val="20"/>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Our systems and data are subject to the potential for cybersecurity incidents including unauthorized access, data breaches, and malicious software. Any such incidents could result in the loss of sensitive information, significant operational disruptions, legal liability, and reputational harm.</w:t>
      </w:r>
    </w:p>
    <w:p>
      <w:pPr>
        <w:spacing w:after="0" w:line="10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failures: Our reliance on complex technology infrastructure creates risks associated with potential failure of hardware, software, or network components. Such failures could lead to loss of customer trust and incur significant recovery costs.</w:t>
      </w:r>
    </w:p>
    <w:p>
      <w:pPr>
        <w:spacing w:after="0" w:line="80"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changes: The rapid paces of technological advancements may render our current technologies obsolete or less competitive. We must continually invest in and adopt technology to meet evolving market demands and customer expectations or requirements. Failure to do so may adversely affect our market position.</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 risks: We depend on third-party vendors for critical technology services, including cloud storage, data processing, and software development. Any disruption in service, cyberattack or failure on the part of these vendors could impact our ability to operate effectively and meet customer needs.</w:t>
      </w:r>
    </w:p>
    <w:p>
      <w:pPr>
        <w:spacing w:after="0" w:line="10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Our industry sector is subject to a variety of regulations concerning data privacy, cybersecurity, and technology usage. Non-compliance with these regulations, whether existing or new, could lead to legal penalties, reputational damage, and operational restrictions.</w:t>
      </w:r>
    </w:p>
    <w:p>
      <w:pPr>
        <w:spacing w:after="0" w:line="8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loss: Our ability to protect our technological innovation and proprietary information is critical. Infringement on our intellectual property rights or failure to adequately protect our technologies may lead to competitive disadvantages and financial losses.</w:t>
      </w:r>
    </w:p>
    <w:p>
      <w:pPr>
        <w:spacing w:after="0" w:line="9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adoption and experience: The success of our technology solutions relies on user adoption and satisfaction. If our technologies fail to meet user expectations or if we encounter significant resistance to new technologies, our growth and revenue may be adversely affected.</w:t>
      </w:r>
    </w:p>
    <w:p>
      <w:pPr>
        <w:spacing w:after="0" w:line="9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Unforeseeable circumstances or circumstances beyond our controls such as geopolitical conflicts, natural disasters, etc. may cause significant operational disruptions to our information technology systems or those on which we rely, which could result in material recovery costs or loss of customer confidence.</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cybersecurity threat environment presents increased risk for all companies, including companies in our industry. We, our employees, government partners, and third parties are regularly the target of cyberattacks and other attempts to breach, or gain unauthorized access to, our information systems and databases. Moreover, given the current cybersecurity threat environment, we expect the volume and intensity of cyberattacks and attempted intrusions to continue to increase in the future. Cybersecurity threats and techniques used in cyberattacks may be pervasive, sophisticated and difficult to prevent, including, computer viruses, malicious or destructive code (such as ransomware), social engineering (including phishing, vishing and smishing), denial of service or information or security breach tactics that could result in disruptions to our business and operations, unauthorized disclosure, release, gathering, monitoring, misuse, loss or destruction or theft of confidential, proprietary or other information, including intellectual property of ours, our employees or of third parties. Cyberattacks are carried out on a worldwide scale and by a growing number of cyber actors, including organized crime groups, hackers, terrorist organizations, extremist parties, hostile foreign governments, state-sponsored actors, activists, disgruntled employees and other third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In addition, since Russia's invasion of Ukraine and the conflict in Israel and the surrounding areas, many companies have experienced heightened cybersecurity risks. Additionally, our status as a government contractor may increase the risk that we are a target of cyberattacks. Cybersecurity threats and the techniques used in cyberattacks change, develop and evolve rapidly, including from emerging technologies, such as advanced forms of artificial intelligence, machine learning and quantum computing by making fraud detection more difficult, particularly with detection devices that use voice recognition or authentication. Further, the information systems of third parties upon which we rely in connection with our business, such as vendors, suppliers, government partners, and other third-party service providers, could be comprised in a manner that adversely affects us and our information systems. Additionally, the failure of our employees to exercise sound judgment and vigilance when targeted by social engineering or other cyberattacks may increase our vulnerability.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or future use of artificial intelligence or machine learning tools in our business operations could expose us to new or additional costs and risks, including the potential introduction of new vulnerabilities or cybersecurity risks within our information technology systems and the potential inadvertent or unauthorized release of confidential or protected health information resulting from the use (whether or not authorized) of artificial intelligence or machine learning tools by our employees, contractors, agents, representatives or affiliates. In addition, the artificial intelligence tools we may incorporate into certain aspects of our operations may not generate the intended efficiencies and may impact our business results.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no assurance that the security measures we take to reduce the risk of such incidents and protect our systems will be sufficient. Any cyberattack, data breach, security breach, or other security incident resulting in the interruption, delay, compromise or failure of our services or information systems, or the misappropriation, loss, or other unauthorized disclosure of personal data or confidential information, including confidential information about our employees or those entrusted to our care, or other proprietary information, including intellectual property, whether by us directly, our vendors, our employees, our government partners, those entrusted to our care, or our third-party service providers, could damage our reputation, expose us to the risks of litigation and liability, result in significant monetary penalties and/or regulatory actions for violation of applicable laws or regulations, disrupt our business and result in significant costs for investigation and notification regarding the incident and remedial measures to prevent future occurrences and mitigate past violations, result in lost business, or otherwise adversely affect our results of operations. Moreover, any significant cybersecurity incident could require us to devote significant management time and resources to address such incident, interfere with our pursuit of other important business strategies and initiatives, and cause us to incur additional expenditures, which could be material. There is no assurance that any remedial actions will meaningfully limit the success of future attempts to breach our information systems, particularly because malicious actors are increasingly sophisticated and utilize tools and techniques specifically designed to circumvent security measures, avoid detection and obfuscate forensic evidence, which means that we may be unable to identify, investigate or remediate effectively or in a timely manner. Although we maintain cybersecurity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implementing a new enterprise resource planning system, and challenges with the implementation of the system may impact our business and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implementing a new enterprise resource planning system, or ERP. ERP system implementations are complex, time-consuming, labor intensive, and involve substantial expenditures. The new ERP system is critical to our ability to gather important information, obtain and deliver products, send invoices, fulfill contractual obligations, maintain books and records, provide accurate, timely and reliable reports on our financial and operating results, and otherwise operate our business. ERP system implementations also require transformation of internal processes and are subject to delays and cost overruns. Any loss of information, disruptions, delays or deficiencies in the implementation of the new ERP system could affect our ability to accurately maintain books and records, provide accurate, timely and reliable reports on our financial and operating results, including reports required by the SEC including, but not limited to, the evaluation of the effectiveness of our internal control over financial reporting in accordance with Section 404 of the Sarbanes-Oxley Act of 2002, and otherwise operate our business. Such disruptions could adversely affect our business, financial condition, results of operations and reputation.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responsibility.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integration of corporate responsibility factors in making investment decisions is relatively new; frameworks and methods used by investors for assessing corporate responsibility policies are not fully developed and vary considerably among the investment community; and investor, societal and political sentiments on corporate responsibility, both as to particular corporate responsibility factors and as to its general relevance to investors and their decisions, continue to evolve. The State of California's Climate Corporate Data Accountability Act and the Climate-Related Financial Risk Act will impose climate-related disclosure obligations on certain companies doing business in California that could impose additional disclosure requirements on us, along with associated costs and risks. We will continue to monitor developments in the implementation of final rules associated with these laws in 2026. During 2025, we issued our annual Corporate Responsibility Report which broadly describes how we attempt to deliver on our service commitment to our government and other third-party partners and manage our operations responsibly and ethically. The policies and practices we summarize in our corporate responsibility reporting, whether they relate to the standards we set for ourselves or corporate responsibility criteria established by third parties, and whether or not we meet such standards, may influence our reputation. For example, the perception held by the general public, our governmental partners, vendors, suppliers, other stakeholders, or the communities in which we do business may depend, in part, on the standards we have chosen to aspire to meet, whether or not we meet these standards on a timely basis or at all, and whether or not we meet external corporate responsibility factors they deem relevant. Nonetheless, the subjective and evolving nature and wide variety of methods and processes used by various stakeholders, including investors, to assess a company with respect to corporate responsibility criteria can result in the perception of negative corporate responsibility factors or a misrepresentation of our corporate responsibility policies and practices. Our failure, or perceived failure, to meet expectations on corporate responsibility reporting, achieve meaningful progress on corporate responsibility-related policies and practices, address stakeholder expectations or meet corporate responsibility criteria set by third parties on a timely basis, or at all, could adversely affect our business, results of operations, financial condition and cash flows.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electing to voluntarily publicize corporate responsibility-related information and our approach to corporate responsibility standards, our business may also face increased scrutiny related to corporate responsibility activities. As a result, our reputation could be harmed if we fail to meet goals we share, report accurate data or act in a manner deemed appropriate or responsible in light of shifting social and political standards and perspectives in the areas in which we report, such as safety and security, human rights, human capital, quality assurance, community engagement, and environmental sustainability. Any harm to our reputation resulting from sharing information, setting goals, attempting to meet external standards set by third-parties or our failure or perceived failure to meet such standards or act in a manner that meets evolving societal and political perspectives could impact, among other things: employee retention; the willingness of our governmental partners, vendors and suppliers to do business with us; investors willingness or ability to purchase or hold our securities; or our ability to access capital, any of which could adversely affect our business, results of operations and financial condition. Our Corporate Responsibility Report is not incorporated by reference into and does not form any part of this Annual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prevent us from fulfilling our obligations under our debt securities.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2025, we had total indebtedness of $1,230.3 million. Our indebtedness could have important consequences. For example, it could:</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dividends, stock repurchases and other general corporate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pursuing strategic acquisitions or certain other business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or refinance existing indebtedness on favorable terms, or at all.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meet our debt service obligations, we may need to suspend our share repurchase program, reduce capital expenditures, restructure or refinance our indebtedness, obtain additional equity financing or sell assets. We may be unable to restructure or refinance our indebtedness, obtain additional equity financing or sell assets on satisfactory terms or at all.</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Bank Credit Facility, indentures related to our senior notes, and other debt instruments have restrictive covenants that could limit our financial flexibility.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indentures related to our 8.25% senior notes due 2029, and our 4.75% senior notes due 2027, collectively referred to herein as our senior notes, and the credit agreement related to our Bank Credit Facility, contain restrictive covenants that limit our ability to engage in activities that may be in our long-term best interests. Our Bank Credit Facility requires us to comply with certain financial covenants, including leverage and fixed charge coverage ratios. The Bank Credit Facility includes other restrictions that, among other things, limit our ability to incur indebtedness; grant liens; engage in mergers, consolidations and liquidations; make asset dispositions, make restricted payments and investments; issue disqualified stock;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 The indenture related to our 8.25% senior notes due 2029 additionally limits our ability to incur indebtedness, make restricted payments and investments and prepay certain indebtedness.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Bank Credit Facility is secured by a pledge of all of the capital stock (or other ownership interests) of our domestic restricted subsidiaries, 65% of the capital stock (or other ownership interests) of our "first-tier" foreign subsidiaries, all of our accounts receivable and those of our domestic restricted subsidiaries, and substantially all of our deposit accounts and those of our domestic restricted subsidiaries. In the event that (a) the consolidated total leverage equals or exceeds 4.25 to 1.00 or (b) we incur certain debt above a specified threshold, certain intangible assets and unencumbered real estate assets that meet a 50% loan-to-value requirement are required to be added as collateral. Subject to compliance with the restrictive covenants under our existing indebtedness, we may incur additional indebtedness secured by existing or future assets of ours or our subsidiaries. In the event of a default under our Bank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Facility or any other secured indebtedness, or if we experience insolvency, liquidation, dissolution or reorganization, the holders of our secured debt would be entitled to payment from their collateral security, and after that the holders of our unsecured debt (including the holders of any deficiency remaining after application of collateral to secured debt) would be entitled to payment from our remaining assets. In such an event, there can be no assurance that we would have sufficient assets to pay amounts due to holders of our unsecured debt, and unsecured debt-holders may receive less than the full amount to which they are entitled.</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our term loan and revolving credit facility both mature in October 2028. We also have outstanding $500.0 million in aggregate principal amount of our 8.25% senior notes due 2029, and $238.5 million in aggregate principal amount of our 4.75% senior notes due 2027. In addition, we have $134.3 million outstanding under a non-recourse mortgage note with an interest rate of 4.43% maturing in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amount of our cash flows,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to sell one or more properties at unattractive prices or on disadvantageous terms. Any one of these options could have an adverse impact on our business, financial condition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repurchase all or a portion of our senior notes upon a change of control, and the debt under our Bank Credit Facility is subject to acceleration upon a change of control.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Bank Credit Facility and under the terms of our other indebtedness. A change in control (as described in our Bank Credit Facility), is also a default under our Bank Credit Facility, entitling the lenders to refuse to make further extensions of credit thereunder and to accelerate the maturity of the debt outstanding under the Bank Credit Facility. Prior to repurchasing the notes upon a change of control event, we must either repay outstanding indebtedness under our Bank Credit Facility or obtain the consent of the lenders under our Bank Credit Facility. If we do not obtain the required consents or repay our outstanding indebtedness under our Bank Credit Facility, we would effectively be prevented from offering to repurchase the notes, which would cause a default under the indentures governing the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indentures for our senior notes and our Bank Credit Facility restrict our ability to incur indebtedness; however, we may nevertheless incur additional indebtedness in the future, and in the future, we may refinance all or a portion of our indebtedness, including our Bank Credit Facility indebtedness, and may incur additional indebtedness as a result so long as we comply with the limitations in our senior notes and Bank Credit Facility while they are in effect. As of December 31, 2025, we had $311.4 million of additional borrowing capacity available under our revolving credit facility. In addition, so long as we comply with the limitations in our senior notes and Bank Credit Facility while they are in effect, we may incur additional debt from time to time when we determine that market conditions and the opportunity to utilize the proceeds therefrom are favorable. If new debt is added to our and our subsidiaries' current debt levels, the related risks that we and they now face could intensify.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access to capital may be affected by general macroeconomic conditions.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markets may tighten significantly for various reasons that may or may not result from company-specific activities such that our ability to obtain new capital could be more challenging and more expensive. Further, we can provide no assurance that the banks that have made commitments under our Bank Credit Facility will continue to operate as going concerns in the future or will agree to extend commitments beyond the maturity date. If any of the banks in the lending group were to fail, or fail to renew their commitments, it is possible that the capacity under our Bank Credit Facility would be reduced. In the event that the availability under our Bank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Bank Credit Facility, (iii) accessing the public or private capital markets, or (iv) retaining more of our cash flow. Such alternatives could be on terms less favorable than under the Bank Credit Facility, which could have an adverse impact on our business, financial position and results of operations.</w:t>
      </w:r>
    </w:p>
    <w:p>
      <w:pPr>
        <w:spacing w:after="0" w:line="29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company does not, under longstanding policy, lobby for or against policies or legislation that would determine the basis for, or duration of, an individual's incarceration or detention. This strict policy also applies to external government relations professionals working on our behalf at all levels of government. Nonetheless, contracting for correctional, detention, and residential reentry facilities and related services has not achieved complete acceptance by certain governments or the public at large. The operation of correctional, detention, and residential reentry facilities by private entities has encountered resistance from certain groups, such as immigration advocates, labor unions, prison reform organizations and other special interest groups that believe correctional, detention, and residential reentry facilities should only be operated by governmental agencies, or that alternatives to immigrant detention should be utilized to enforce the nation's border policies. Further, </w:t>
      </w:r>
      <w:r>
        <w:rPr>
          <w:rFonts w:ascii="Times New Roman" w:cs="Times New Roman" w:eastAsia="Times New Roman" w:hAnsi="Times New Roman"/>
          <w:sz w:val="18"/>
          <w:szCs w:val="18"/>
          <w:color w:val="242424"/>
        </w:rPr>
        <w:t>opposition to immigration, detention and incarceration policies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association of private companies with the enforcement of such policies have caused some financial institutions to decline to provide capital, credit or financial services to private entities that own or operate correctional and detention facilities, including CoreCivic, or to otherwise participate in the provision of capital, credit or financial services in connection with the development of correctional and detention facilities that are associated with private companies. Moreover, proposed and future legislation could restrict financial institutions from providing capital, credit or financial services to private entities that own or operate correctional and detention facilities, including CoreCivic. For example, the New York State Legislature is considering a bill that would prohibit New York state chartered banks from investing in and providing financing for privately operated secured facilities. If this legislation becomes law, certain financial institutions may be prohibited from providing us with capital, credit or financial services. While we believe we will continue to have access to capital, restrictions on our access to capital, or increases in the cost of capital, could have a material adverse effect on our business, financial condition and results of operations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increases the cost of our variable rate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and expect in the future to incur indebtedness that bears interest at variable rates, including indebtedness under our Bank Credit Facility. Accordingly, an increase in interest rates would increase our interest costs, which could have an adverse impact on us and our ability to pay down our debt, return capital to our stockholders and pay maturing debt or cause us to be in default under certain debt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equity securities may vary substantially, which may limit our stockholders' ability to liquidate their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the market price of our equity securities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corrections, detention, or residential reentry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including, but not limited to, immigration policies and government funding proposals;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and re-purchases of common shares or other securities in the future;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of our common stock available for future sale could adversely affect the market price of our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the perception that these sales could occur, may adversely affect prevailing market prices for our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ranking senior to our common stock or incurrence of debt (including under our Bank Credit Facility) may adversely affect the market price of our common stock.</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decide to issue debt or equity securities in the future ranking senior to our common stock or otherwise incur indebtedness (including under our Bank Credit Facility), it is possible that these securities or indebtedness will be governed by an indenture or other instrument containing covenants restricting our operating flexibility and limiting our ability to return capital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issuance of preferred stock could adversely affect holders of our common stock and discourage a takeover.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and bylaws and Maryland law could make it difficult for a third party to acquire our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68"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at least a majority of the votes of shares entitled to vote thereon;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stockholders at a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and operator of correctional, detention, and residential reentry facilities, we are subject to risks relating to acts of God, outbreaks of epidemic or pandemic disease, global climate change, terrorist activity and war.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encounter staffing constraints as well as costs and expenses associated with owning and/or operating our correctional, detention, and residential reentry facilities as a result of acts of God, outbreaks of epidemic or pandemic disease, global climate change (including the potential for increased inclement weather and natural disasters), wars and other geopolitical conflicts and the potential for war, terrorist activity (including threats of terrorist activity), political unrest, geopolitical uncertainty and other forms of civil strife, in or around locations where we own and/or operate significant properties. These events could have an adverse impact on our business, financial condition, results of operations or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the importance of developing, implementing and maintaining the integrity of our information technology systems and safeguarding the personal data and confidential information we receive, process or transmit, and store in any format. We have a cybersecurity risk management program, which we refer to as our information security risk management program, in place designed to assess, identify, and manage material risks from cybersecurity threats to our information, data, or information technology systems utilizing a defense-in-depth security strategy that integrates our staff, technology, and operations to establish various security barriers across multiple layers of our operations. Our information security risk management program is designed to employ industry standard practices across our operations and business functions, including access controls, monitoring and analysis of the threat environment, vulnerability assessments, and third-party cybersecurity risks; resilience through detecting and responding to cybersecurity events, incidents, and data disclosures or breaches, business continuity, and disaster recovery capabilities; and investments in cybersecurity infrastructure and technology needs. Key aspects of our information security risk management program include, but are not limited to, the following:</w:t>
      </w:r>
    </w:p>
    <w:p>
      <w:pPr>
        <w:spacing w:after="0" w:line="296" w:lineRule="exact"/>
        <w:rPr>
          <w:sz w:val="20"/>
          <w:szCs w:val="20"/>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Surveillance controls and technical protective capabilities, including a centralized security incident event management system, or SIEM, continuous threat detection and response monitoring, and full incident response;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cybersecurity training for all employees, including social engineering techniques, simulated phishing campaigns, physical access such as tailgating, privacy or handling of sensitive data, and other related topics;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policies and procedures that govern information security and cybersecurity which apply to all employees and information systems we control;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incident response, and disaster recovery procedures, including routine tabletop incident response exercises, disaster recovery tests, unannounced penetration tests, and security control assessments;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and application security such as database activity monitoring, encryption, secure file transfer protocols, and application firewalls;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cybersecurity insurance covering certain security and privacy damages and claim expenses resulting from cybersecurity incidents (we periodically meet with our insurer to discuss trends in cybersecurity).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 third parties in connection with assessing, identifying and managing our cybersecurity risks, including, but not limited to, the following:</w:t>
      </w:r>
    </w:p>
    <w:p>
      <w:pPr>
        <w:spacing w:after="0" w:line="333" w:lineRule="exact"/>
        <w:rPr>
          <w:sz w:val="20"/>
          <w:szCs w:val="20"/>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expertise to provide intelligence-based cybersecurity solutions and services to assist us with preparing for, investigating, and responding to cybersecurity incidents, including attacks that target on premise, cloud, and critical infrastructure environments;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security program assessment of the controls, maturity and performance of our information security risk management program and the information security risks associated with our technology and business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and internal penetration and intrusion testing using industry standard tools and techniques;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assessments with certain information security standards required under some of our federal contracts;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cadence of reviews, reporting and coordination with government agencies to review cybersecurity metrics, findings and any applicable remediation efforts in accordance with the National Institute of Standards and Technology Cybersecurity Framework, or NIST CSF;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processes and procedures designed to control access to information systems as part of our Sarbanes-Oxley Act, or SOX, testing.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third parties described above, we regularly engage consultants, advisors, service providers and other third parties to help develop and manage our information security risk management program. Further, our internal audit team conducts annual assessments of our information security risk management program and controls.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help identify and manage cybersecurity and information security risks associated with our use of third-party service providers, we have implemented processes to assess third-party systems which could be compromised in a manner that adversely impacts us and our technology systems. We conduct diligence of significant third-party service providers who will have access to our data or information technology systems and incorporate certain cybersecurity protections in our engagement contracts with such providers. In addition, we require such third-party service providers to promptly notify us of any actual or suspected breach impacting our data or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security risk management program is designed to, among other things, assess, identify and manage material risks from cybersecurity threats. Cybersecurity risks we face include cyberattacks, computer viruses, malicious or destructive code (such as ransomware), social engineering (including phishing, vishing and smishing), denial of service to information or security breach tactics as well as attacks to our website, financial applications, operational technology, telecommunications and human resources data. Our information security risk management program includes technology and processes designed to maintain active awareness of risks to the security of our information or systems. We do not believe that any risks we have identified to date from cybersecurity threats, including as a result of any previous cybersecurity incidents, have materially affected or are reasonably likely to materially affect us, including our business strategy, results of operations or financial condition. However, we cannot ensure that future cybersecurity incidents will not materially affect our business strategy, results of operations or financial condition.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on the Company’s risks associated with cybersecurity threats and incidents, information and security breaches and technology failures, see Part I, Item 1A. Risk Factors - </w:t>
      </w:r>
      <w:r>
        <w:rPr>
          <w:rFonts w:ascii="Times New Roman" w:cs="Times New Roman" w:eastAsia="Times New Roman" w:hAnsi="Times New Roman"/>
          <w:sz w:val="18"/>
          <w:szCs w:val="18"/>
          <w:i w:val="1"/>
          <w:iCs w:val="1"/>
          <w:color w:val="auto"/>
        </w:rPr>
        <w:t>Interruption, delay or failure of the provision of our technology services or information systems,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compromise of the security thereof, could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information security risk management program is integrated into our overall risk management program. Our BOD has a formalized enterprise risk management program, or ERM Program, which the Risk Committee of the BOD, or Risk Committee, on behalf of the BOD and the Audit Committee of the BOD, oversees. Our ERM Program addresses the identification, prioritization and assessment of a broad range of risks (e.g., cybersecurity, financial, operational, business, reputational, governance and managerial), and the formulation of plans to develop and improve controls for managing these risks or mitigating their effects in an integrated effort involving our BOD, relevant committees of the BOD, management, and other personnel. Our ERM Program is led by our General Counsel and is a component of management’s strategic planning process. Our BOD and Risk Committee have primary oversight responsibility regarding our information security risk management program. Our BOD and Risk Committee each receives regular and frequent updates on cybersecurity and information technology matters from management (including our Chief Information and Digital Officer, or CIDO) and, periodically, from outside experts. For example, the CIDO provides reports to our BOD, Technology Steering Committee and Risk Committee regarding information security risks, as well as plans and strategies to mitigate those risks, on a periodic basis.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Enterprise Risk Council, or ERC, is a management-level team comprised of a select group of executive officers, vice presidents, and senior managers overseeing risk, which is responsible for managing enterprise risks and planning and organizing the activities of our organization to minimize the effects of risk on our business, operations and financial results. The ERC is led by our General Counsel and our Managing Director, Litigation &amp; Risk Management. The ERC coordinates enterprise risk management reports to the Risk Committee and/or our BOD. Further, the Risk Committee reviews management’s information security risk management program controls, including management’s assessment of recent information security incidents meeting certain criteria.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Technology Steering Committee that assists with fulfilling oversight responsibilities of information technology risks, including cybersecurity risks. The Technology Steering Committee is comprised of our executive officers and relevant business leaders from the information security, information technology, legal, human resources, audit, finance, communication and risk functions, and identifies, defines, manages and measures information technology and cybersecurity risks applicable to us on an enterprise level. The Technology Steering Committee meets quarterly, and reviews all cybersecurity risks and incidents meeting certain criteria, and provides oversight with respect to cybersecurity matters at a management level. Further, the Technology Steering Committee reviews management’s information security risk management program controls meeting certain criteria.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Technology Cybersecurity Committee is comprised of a subset of our Technology Department, including our CIDO. The Technology Cybersecurity Committee meets bi-weekly and reviews all cybersecurity risks and incidents meeting certain criteria, provides oversight with respect to cybersecurity matters at a technology management level, and reports through our CIDO to the Technology Steering Committee.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a management governance structure for reviewing and approving changes related to new and existing systems, software and infrastructure design. Any new items that would require a material change must be reviewed and approved by our architecture review board, or ARB. Non-material changes are governed by the change advisory board, or CAB. The ARB and CAB each meet on a weekly basis and take security impacts into consideration during the decision-making process. All changes, whether approved or rejected, are formally documented in our information technology service management system.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mentioned above, our SIEM tool monitors threat detection and response continuously. Identified threats create alerts which are monitored and addressed by our information technology team in accordance with internal policies, industry standard practices, and regulatory requirements. Audit logs of external security threats are reviewed weekly as part of general event threat intelligence monitoring procedures. Other ongoing monitoring includes data from our information services team, which maintains an audit trail to detect risks in areas such as unauthorized local connections, network use and remote connections. Vulnerability scans are performed frequently and are supplemented on an ad-hoc basis for specific threats or to test patch status.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Sr. Director, Information Security and Privacy Compliance, prepares an incident summary and collaborates with the CIDO to conduct an initial assessment of information and cybersecurity incidents. They perform an impact assessment with respect to information or cybersecurity incidents meeting certain criteria and elevate the review of any such information or cybersecurity incidents for review by our executive officers.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incidents meeting certain criteria are escalated to our Disclosure Committee for SEC disclosure consideration. The materiality of any cybersecurity incident is ultimately evaluated and determined by our Disclosure Committee in collaboration with our CIDO. Our Disclosure Committee is comprised of our executive officers, our CIDO, our Chief Ethics and Compliance Officer, and relevant business leaders from our finance and legal departments. The Disclosure Committee is presented with a detailed overview of the cybersecurity incident by the CIDO. The Disclosure Committee then evaluates the cybersecurity incident and its potential materiality based on SEC guidance and by considering relevant quantitative and qualitative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adopted a cybersecurity incident response plan which provides for controls and procedures in connection with cybersecurity incidents, including these escalation procedures.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 management level, our information security risk management program is led by our CIDO, along with our Sr. Director, Information Security and Privacy Compliance. As of the date of this Annual Report, our Technology Department, led by our CIDO, along with our Sr. Director, Information Security and Privacy Compliance, is comprised of nearly 115 technology professionals, with currently 14 of such technology professionals exclusively dedicated to cybersecurity. These security professionals have an average information security/cybersecurity tenure of 6 years and over 30 active certifications from ISC2, ISACA, CompTIA and other industry certification leaders including certifications such as CISSP, CISM, Security+, and CEH, among other advanced Cybersecurity and Technology degrees, tool and process specific certifications, and cybersecurity related work experience. Our Technology Department stays current on cybersecurity issues and trends through continuing education activities such as conferences and participating in webinars, maintaining continuous education requirements for certification bodies, as well as through the monitoring of security and vendor feeds on cybersecurity trends and threats.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properties we owned at December 31, 2025 are described under Item 1 and in Note 3 of the Notes to the Consolidated Financial Statements contained in this Annual Report, as well as in Schedule III in Part IV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can be found in Note 14 of the Notes to the Consolidated Financial Statements contained in this Annual Report and is incorporated by reference in this Part I,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-185420</wp:posOffset>
            </wp:positionV>
            <wp:extent cx="365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020" w:hanging="101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 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and Distributions on Capital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"CXW." On February 13, 2026, the last reported sale price of our common stock was $18.92 per share and there were approximately 2,100 registered holders and approximately 42,000 beneficial holders, respectively,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do not currently anticipate paying cash dividends, we expect to return capital to our shareholders through other means, including our share repurchase program described below. Any future determination to pay dividends will be made at the discretion of our Board, subject to applicable laws and will depend upon, among other factors, our results of operations, financial condition, contractual restrictions and capital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28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00" w:type="dxa"/>
            <w:vAlign w:val="bottom"/>
          </w:tcPr>
          <w:p>
            <w:pPr>
              <w:spacing w:after="0"/>
              <w:rPr>
                <w:sz w:val="20"/>
                <w:szCs w:val="20"/>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798,293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798,293</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182,854,537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1,879,621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1,879,621</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350,784,351</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3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2,653,739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2,653,739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300,529,873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5,331,653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5,331,653</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300,529,873</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-170815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8"/>
        <w:spacing w:after="0" w:line="289" w:lineRule="auto"/>
        <w:tabs>
          <w:tab w:leader="none" w:pos="24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May 12, </w:t>
      </w:r>
      <w:r>
        <w:rPr>
          <w:rFonts w:ascii="Times New Roman" w:cs="Times New Roman" w:eastAsia="Times New Roman" w:hAnsi="Times New Roman"/>
          <w:sz w:val="17"/>
          <w:szCs w:val="17"/>
          <w:color w:val="auto"/>
        </w:rPr>
        <w:t>2022, the BOD approved a share repurchase program to repurchase up to $150.0 million of the Company's common stock. This original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authorization, along with the dates and amounts of subsequent increases to the authorization by the BOD to the share repurchase program, are as follows (in thousands):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66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12, 2022</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16, 2024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authorization</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700,000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subject to restricted payment limitations in our debt agreements. The share repurchase program has no time limit and does not obligate the Company to purchase any particular amount of its common stock. The authorization for the share repurchase program may be terminated, suspended, increased or decreased by the BOD in its discretion at any time. As of December 31, 2025, the Company had repurchased a total of 25.7 million shares of the Company's common stock at an aggregate cost of approximately $399.5 million.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notes thereto appearing elsewhere in this Annual Report on Form 10-K, or this 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Annual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included in other portions of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over 40 years. Our employees are driven by a deep sense of service, high standards of professionalism and a responsibility to help government better the public good.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through our CoreCivic Safety segment, we operated 44 correctional and detention facilities, 40 of which we owned or controlled via a long-term lease, with a total design capacity of approximately 68,000 beds. Through our CoreCivic Community segment, we operated 20 residential reentry centers, which we owned or controlled via a long-term lease, with a total design capacity of approximately 4,000 beds. In addition, through our CoreCivic Properties segment, we owned five properties, with a total design capacity of approximately 8,000 beds. We are the nation's largest owner of partnership correctional, detention, and residential reentry facilities and one of the largest operators of such facilities in the United States.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Item 1. Business – Overview</w:t>
      </w:r>
      <w:r>
        <w:rPr>
          <w:rFonts w:ascii="Times New Roman" w:cs="Times New Roman" w:eastAsia="Times New Roman" w:hAnsi="Times New Roman"/>
          <w:sz w:val="18"/>
          <w:szCs w:val="18"/>
          <w:color w:val="auto"/>
        </w:rPr>
        <w:t>" for a description of how we are organized.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solutions we provide to our federal customers continue to be a significant component of our business. We provide an essential governmental service, and believe our ability to provide flexible solutions and fulfill emergent needs of our federal customers would be very difficult and costly to replicate in the public sector.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his inauguration on January 20, 2025, President Trump issued nine executive actions intended to secure the borders of the United States and remove illegal immigrants, prioritizing those with criminal histories. These initial orders included the declaration of a national emergency at the United States southern border. Also included in these executive actions was the issuance of an executive order titled "Protecting the American People Against Invasion" which calls on the federal government to faithfully execute the immigration laws of the United States, including the removal of aliens, particularly those who threaten the safety of the American people. This executive order calls on the Secretary of Homeland Security to “take all appropriate action and allocate all legally available resources or establish contracts to construct, operate, control, or use facilities to detain removable aliens” and “take all appropriate actions to ensure the detention of aliens apprehended for violations of immigration law pending the outcome of their removal proceedings or their removal from the country, to the extent permitted by law.” Effectively, this executive order requires an increase in interior enforcement by the U.S. Immigration and Customs Enforcement, or ICE, and directs the Department of Homeland Security, or DHS, to detain those arrested by ICE, pending their removal or adjudication.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January 20, 2025, President Trump reversed an executive order issued on January 26, 2021 by then-President Biden that had directed the Attorney General to not renew United States Department of Justice, or DOJ, contracts with privately operated criminal detention facilities. Two agencies of the DOJ, the United States Federal Bureau of Prisons, or BOP, and the United States Marshals Service, or USMS, utilize our services. The BOP houses inmates who have been convicted, and the USMS is generally responsible for detainees who are awaiting trial. This executive order only applied to agencies that are part of the DOJ, which includes the BOP and USMS. ICE facilities were not covered by this executive order, as ICE is an agency of the DHS, not the DOJ. It is possible future administrations could issue executive orders restricting the use of private correctional and detention facilities by the federal government.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 January 29, 2025, President Trump signed into law the Laken Riley Act, which had been passed by Congress with bipartisan support. The Laken Riley Act requires ICE to detain certain non-United States nationals who have been charged, arrested, or convicted of crimes including burglary, theft, assault of a law enforcement officer, as well as killing or injuring another person. We believe the Laken Riley Act has contributed to the increased demand for detention beds by ICE, as further described in this Annual Report.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or OBBBA. OBBBA appropriates a total of $75 billion in mandatory funding to ICE for immigration enforcement activities and to increase detention capacity. Specifically, OBBBA appropriates $45 billion for single adult alien detention capacity and family residential center capacity. This funding is a significant increase in funding historically provided to ICE for border security and immigration detention. The funding will remain available through September 30, 2029, and is in addition to base annual appropriations during that time period. The additional funding is also being used by DHS to hire nearly 10,000 new ICE officers to implement the immigration enforcement initiatives.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recent legislative and executive actions mentioned above, we believe the short-term growth opportunities of our business are particularly attractive as federal government agencies consider their emergent needs. ICE has begun to utilize additional bed capacity in our portfolio at facilities with existing contracts, we have signed new contracts to activate five previously idled facilities, and we have been in discussion with ICE to activate additional idle facilities. The number of people we care for under contracts with ICE has increased by approximately 5,900 individuals, or 58.2%, from the beginning of the year through December 31, 2025. As of December 31, 2025, we had five idle correctional facilities containing approximately 7,000 beds that are operated with a core staffing complement to remain currently available and that are being actively marketed as solutions to the correctional or detention needs of potential customers.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entered into contract modifications at our 2,016-bed Northeast Ohio Correctional Center in Youngstown, Ohio, our 1,072-bed Nevada Southern Detention Center in Pahrump, Nevada, and our 1,600-bed Cimarron Correctional Facility in Cushing, Oklahoma to collectively add capacity for up to 784 ICE detainees. We subsequently entered into two additional modifications in the second half of 2025 to collectively add additional capacity at the Cimarron facility for up to nearly 300 ICE detainees.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5, 2025, we announced that we had agreed under an amendment to an intergovernmental service agreement, or IGSA, to resume operations and care for up to 2,400 individuals at the 2,400-bed Dilley Immigration Processing Center in Dilley, Texas, or the Dilley Facility. The amended IGSA expires in March 2030 and may be further extended through bilateral modification. We began receiving residents at this facility during April 2025. Activation of the Dilley Facility was completed in September 2025. Previously, after nearly ten years of operation, we received notification from ICE on June 10, 2024 of its intent to terminate funding of the IGSA for services at the Dilley Facility effective August 9, 2024. We did not operate the Dilley Facility from August 9, 2024 until the resumption of operations at the facility on March 5,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March 7, 2025, we entered into a letter agreement with ICE to begin activation efforts at our 1,033-bed Midwest Regional Reception Center in Leavenworth, Kansas. The letter agreement authorized initial funding up to $5.0 million with maximum funding up to $22.6 million for a six-month period while we worked to negotiate and execute a longer-term contract. On September 29, 2025, we announced that we entered into a new contract with ICE effective September 7, 2025. The City of Leavenworth has filed a lawsuit alleging that a Special Use Permit, or SUP, is required to activate the facility, which has resulted in a delay in the intake process. In December 2025, we filed an application for the SUP. However, we cannot provide assurance that the application will be approved and therefore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cannot predict if or when we will be able to accept detainee populations. The new agreement, which expires September 6, 2027, provides for a fixed monthly payment plus an incremental per diem payment based on detainee populations, both of which commence once the temporary injunction currently prohibiting the intake of detainees is no longer enforceable. See Note 14 of the Notes to the Consolidated Financial Statements contained in this Annual Report for further discussion of the pending litigation.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2025, we entered into a letter agreement with ICE to begin activation efforts at our 2,560-bed California City Immigration Processing Center, or the California City Facility, formerly known as the California City Correctional Center. The letter agreement authorized initial funding up to $10.0 million with maximum funding up to $31.2 million for a six-month period while we worked to negotiate and execute a long-term contract. We began receiving ICE detainees at our California City Facility during August 2025, under terms of the letter agreement. On September 29, 2025, we announced that we entered into a new two-year contract with ICE effective September 1, 2025. As of December 31, 2025, we cared for 1,436 individuals at the facility. We currently expect to reach stabilized occupancy at the facility in the first quarter of 2026. A non-governmental organization and a detainee have filed a lawsuit alleging that a business license must be obtained to operate the facility and seeks injunctive relief that would include operational interruption at the facility. The Company can provide no assurance that it will obtain a favorable ruling in this matter or predict when this matter will be resolved. See Note 14 of the Notes to the Consolidated Financial Statements contained in this Annual Report for further discussion of the pending litigation.</w:t>
      </w: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2025, we announced that we had been awarded a new contract through an IGSA with ICE to resume operations at our previously idled 600-bed West Tennessee Detention Facility in Mason, Tennessee. The West Tennessee facility had been idle since September 2021. The IGSA expires in August 2030 and may be further extended through bilateral modification. We began receiving ICE detainees at the West Tennessee facility during September 2025 and we expect the facility to be fully activated by the end of the first quarter of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we announced that we had been 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now expires in September 2029, and may be further extended through bilateral modification. We began receiving detainees in December 2025, with stabilized occupancy estimated to be reached in the second quarter of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the legislative and executive actions mentioned above will create long-term needs from our federal partners, we also believe the long-term growth opportunities of our business remain attractive as state and county government agencies consider the efficiency and offender programming opportunities we provide as flexible solutions to satisfy their needs. We have been in discussions with several state and county government agencies that have experienced challenges in staffing their public-sector facilities and are seeking solutions from the private sector. Further, several of our existing government partners, as well as prospective government partners, have been experiencing growth in offender populations and overcrowded conditions. Governments are continuing to assess their need for correctional space, and several are considering alternative correctional capacity for their aged or inefficient infrastructure, or are seeking cost savings by utilizing the private sector, which could result in increased future demand for the solutions we provide.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Governments continue to experience many significant spending demands, and competing budget priorities often impede our customers' ability to construct new prison beds of their own or update their older facilities, which we believe could result in further demand for private sector prison capacity solutions in the long-term.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correctional or detention capacity on a speculative basis. We will, however, respond to customer demand and may develop, expand, or acquire correctional and detention facilities when we believe potential long-term returns justify the capital deployment.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populations to facilities with available capacity. Our management contracts generally provide our customers with the right to terminate our management contracts at any time without cause.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actively engaged in marketing our available capacity as solutions to meet the needs of potential customers. Historically, we have been successful in obtaining new contracts when we have an inventory of available beds to provide flexible and immediate solutions to our government customers. As available capacity within existing operating facilities is utilized, we believe increasing demand will result in the utilization of idle bed capacity. Available bed capacity can also be used for emergent needs. As a private enterprise, we believe we have the ability to respond more quickly to changing market conditions, and can offer various types of incentives to attract and retain correctional staff that are more difficult for government agencies to provide. For example, on August 1, 2024, we entered into a management contract with the state of Montana to care for an unspecified number of inmates at facilities we operate. The contract is scheduled to expire on July 31, 2026, and may be extended by mutual agreement for a total term of up to seven years. As of December 31, 2025, we cared for 361 inmates from the state of Montana at our Saguaro facility under this management contract, along with another similar contract with the state of Montana that was entered into during the fourth quarter of 2023. We also care for residents from the state of Hawaii and the state of Idaho at our Saguaro facility. On January 16, 2025, we announced that we were awarded a new management contract with the state of Montana to care for additional inmates outside the state of Montana. As of December 31, 2025, we cared for 239 inmates from the state of Montana at our Tallahatchie facility in Mississippi under this new contract. We also care for residents from Wyoming, Vermont, the U.S. Virgin Islands, USMS, and Tallahatchie and Hinds counties at the Tallahatchie facility. This latest contract with Montana expands the geographic range of our facilities that can serve the state of Montana, where we also manage the fully occupied company-owned Crossroads Correctional Center in Shelby, Montana for the state of Montana pursuant to a separate management contract.</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offer our customers an attractive portfolio of correctional, detention, and reentry facilities that can be leased for various needs as an alternative to providing "turn-key" correctional, detention, and residential reentry bed space and services to our government partners. Over the last six years, we have entered into lease agreements with the states of Oklahoma, New Mexico, and Kentucky for our 1,670-bed Allen Gamble Correctional Center, our 596-bed Northwest New Mexico Correctional Center, and our 656-bed Southeast Correctional Complex, respectively. We retain responsibility for facility maintenance throughout the terms of the leases, which have expiration dates ranging from October 2027 to June 2030. The leases of these three correctional facilities demonstrate our ability to react quickly to our partners' needs with innovative, flexible and cost-effective solutions. We previously operated these three correctional facilities for various government partners. We intend to respond to additional opportunities to lease prison facilities to government agencies in need of correctional capacity.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 We believe our cost of corrections and detention solutions is competitive, particularly when compared to alternative corrections and detention capacity. We regularly engage and collaborate with our customers to provide them with competitive rates and value for the services we provide. During the fourth quarter of 2025, for example, in response to a request from DHS to provide the agency with budgetary savings, we proposed to reduce the term of four management contracts by one year, which the agency accepted. The government may nonetheless elect to extend such contracts beyond their new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remain steadfast in our efforts to contain costs. Approximately 62% of our operating expenses consist of salaries and benefits. The turnover rate for correctional officers for our company, and for the corrections industry in general, remains high, and staffing challenges were exacerbated by labor shortages and wage pressures in the marketplace as further described under the heading "Results of Operations."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and provide specialized training and career development opportunities to our staff in order to attract and retain quality personnel. Finally, we are evaluating potential cost savings opportunities in areas such as inmate medical expenses, utilities, and maintenance, among others. Through ongoing company-wide initiatives, we continue to focus on efforts to manage costs and improve operating efficiencies.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the combination of our operational initiatives to (i) provide valuable and critically needed services that could increase our revenues and increase the utilization of our available beds, (ii) deliver new bed capacity through new facility construction and expansion opportunities, (iii) expand our real estate-only solutions, (iv) grow the utilization of our community corrections facilities, (v) develop or acquire new business offerings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 As further explained under the heading "Liquidity and Capital Resources," we have been allocating a substantial portion of our free cash flow to returning capital to our shareholders through share repurchases, further enhancing stockholder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The primary risk we face for asset impairment charges is associated with facilities we own. As of December 31, 2025, we had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property and equipment, net, including $149.7 million in long-lived assets at five idled correctional facilities that are operated with a core staffing complement to remain currently available and that are being actively marketed as solutions to meet the correctional or detention needs of potential customers. The net carrying values of the five idled facilities as of December 31, 2025 were as follows (in thousands):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6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6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6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Fork Correctional Facility</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149,745</w:t>
            </w:r>
          </w:p>
        </w:tc>
        <w:tc>
          <w:tcPr>
            <w:tcW w:w="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incurred aggregate operating expenses at these five idled facilities of approximately $8.5 million, $7.6 million, and $6.9 million during the period they were idle for the years ended December 31, 2025,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the carrying values of our long-lived assets annually and when events suggest that an impairment may have occurred. Such events primarily include, but are not limited to, the termination of a management contract, a significant decrease in populations within a facility we own in our Safety and Community segments that we believe will be longer than short-term, and the expiration and non-renewal of lease agreements in our Properties segment.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the impairment analyses for each of our idle facilities as well as any other properties in the period when indicators of impairment exist. Our estimates of recoverability are based on projected undiscounted cash flows that are comparable to historical cash flows from management contracts or lease agreements at facilities similar to the idled facilities, including historical operations for the idled facilities when such facilities were operating. Our undiscounted cash flows factor in assumptions around when idle facilities will commence generating revenues based on our best estimates around contract negotiations and market conditions. Our impairment evaluations also take into consideration our historical experience in securing new management contracts to utilize correctional facilities that had been previously idled for substantial periods of time. Such previously idled correctional facilities are currently being operated under contracts that continue to generate cash flows resulting in the recoverability of the net book value of the previously idled facilities by material amounts. Our experience has shown that our facilities could remain idle for substantially longer periods of time than most other types of commercial real estate and, based upon receipt of a new contract, produce future cash flows that would still result in a recovery of the carrying values in a relatively short period of time based on the undiscounted cash flows. We also perform sensitivity analyses that consider reductions to such cash flows. Our sensitivity analyses include reductions in projected cash flows compared to historical cash flows generated by the respective facility as well as prolonged periods of vacancies.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evaluate on a quarterly basis, market developments for the potential utilization of each of its idle facilities in order to identify events that may cause us to reconsider its assumptions with respect to the recoverability of book values as compared to undiscounted cash flows. We consider the cancellation of a contract in our Safety or Community segment or an expiration and non-renewal of a lease agreement in our Properties segment as indicators of impairment and test each of the idled facilities for impairment when it is notified by the respective customers or tenants that they would no longer be utilizing such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 provide no assurance that we will be able to secure agreements to utilize our idle properties, or that we will not incur impairment charges in the future. 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With respect to idle correctional facilities, we believe the short- and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over the past decade to build new bed capacity by the federal and state governments with which we partner, as well as the extensively aged criminal justice infrastructure in the U.S. today. Due to a variety of factors, the lead time to negotiate contracts with our federal and state partners to utilize idle bed capacity at correctional facilities is generally lengthy.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Self-funded insurance reserves</w:t>
      </w:r>
      <w:r>
        <w:rPr>
          <w:rFonts w:ascii="Times New Roman" w:cs="Times New Roman" w:eastAsia="Times New Roman" w:hAnsi="Times New Roman"/>
          <w:sz w:val="18"/>
          <w:szCs w:val="18"/>
          <w:color w:val="auto"/>
        </w:rPr>
        <w:t>. As of December 31, 2025 and 2024, we had $59.6 million and $51.3 million, respectively, in accrued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health, workers' compensation, and automobile insurance claims. We are self-insured for employee health, workers' compensation, and automobile liability insurance claims. As such, our insurance expense is largely dependent on claims experience and our ability to control our claims. We accrue the estimated liability for employee health insurance claims based on our history of claims experience and the estimated time lag between the incident date and the date we pay the claims. We accrue the estimated liability for workers' compensation claims based on an actuarial valuation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In recent history, our methods for determining our exposure have remained consistent, and our historical trends have been appropriately factored into our estimates and reserves. As we obtain additional information and refine our methods regarding the assumptions and estimates we use to recognize liabilities incurred, we will adjust our reserves accordingly. Arriving at these estimates, however, requires subjective judgment, and as a result these estimates are uncertain, and our actual exposure may be different from our estimates. It is possible that future cash flows and results of operations could be materially affected by changes in assumptions and new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the number of correctional and detention facilities we operated, including 40 we owned or controlled via a long-term lease and four owned by our government partners (CoreCivic Safety), the number of residential reentry centers we owned or controlled via a long-term lease (CoreCivic Community), the number of facilities we leased to government agencies (CoreCivic Properties), and the facilities we owned that were not in operation. The following table sets forth the changes in the number of facilities operated for the years ended December 31, 2025 and 2024.</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CoreCivic</w:t>
            </w:r>
          </w:p>
        </w:tc>
        <w:tc>
          <w:tcPr>
            <w:tcW w:w="10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Safety</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Community</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7"/>
                <w:szCs w:val="17"/>
                <w:b w:val="1"/>
                <w:bCs w:val="1"/>
                <w:color w:val="auto"/>
              </w:rPr>
              <w:t>Properties</w:t>
            </w:r>
          </w:p>
        </w:tc>
        <w:tc>
          <w:tcPr>
            <w:tcW w:w="2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55"/>
        </w:trPr>
        <w:tc>
          <w:tcPr>
            <w:tcW w:w="40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Facilities as of December 31, 2023</w:t>
            </w: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43</w:t>
            </w:r>
          </w:p>
        </w:tc>
        <w:tc>
          <w:tcPr>
            <w:tcW w:w="24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w:t>
            </w:r>
          </w:p>
        </w:tc>
        <w:tc>
          <w:tcPr>
            <w:tcW w:w="2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Sale and subsequent expiration of the</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management contract at a residential</w:t>
            </w: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reentry center in Colorado</w:t>
            </w:r>
          </w:p>
        </w:tc>
        <w:tc>
          <w:tcPr>
            <w:tcW w:w="2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8"/>
              </w:rPr>
              <w:t>July 2024</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Sale of an idled residential reentry center in</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Oklahoma</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8"/>
              </w:rPr>
              <w:t>July 2024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Termination of the contract and lease</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agreement at the South Texas Family</w:t>
            </w: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6"/>
        </w:trPr>
        <w:tc>
          <w:tcPr>
            <w:tcW w:w="4020" w:type="dxa"/>
            <w:vAlign w:val="bottom"/>
            <w:shd w:val="clear" w:color="auto" w:fill="CFF0FC"/>
          </w:tcPr>
          <w:p>
            <w:pPr>
              <w:ind w:left="120"/>
              <w:spacing w:after="0" w:line="166" w:lineRule="exact"/>
              <w:rPr>
                <w:sz w:val="20"/>
                <w:szCs w:val="20"/>
                <w:color w:val="auto"/>
              </w:rPr>
            </w:pPr>
            <w:r>
              <w:rPr>
                <w:rFonts w:ascii="Times New Roman" w:cs="Times New Roman" w:eastAsia="Times New Roman" w:hAnsi="Times New Roman"/>
                <w:sz w:val="15"/>
                <w:szCs w:val="15"/>
                <w:color w:val="auto"/>
              </w:rPr>
              <w:t>Residential Center</w:t>
            </w:r>
          </w:p>
        </w:tc>
        <w:tc>
          <w:tcPr>
            <w:tcW w:w="2040" w:type="dxa"/>
            <w:vAlign w:val="bottom"/>
            <w:gridSpan w:val="2"/>
            <w:shd w:val="clear" w:color="auto" w:fill="CFF0FC"/>
          </w:tcPr>
          <w:p>
            <w:pPr>
              <w:jc w:val="center"/>
              <w:ind w:right="140"/>
              <w:spacing w:after="0" w:line="166" w:lineRule="exact"/>
              <w:rPr>
                <w:sz w:val="20"/>
                <w:szCs w:val="20"/>
                <w:color w:val="auto"/>
              </w:rPr>
            </w:pPr>
            <w:r>
              <w:rPr>
                <w:rFonts w:ascii="Times New Roman" w:cs="Times New Roman" w:eastAsia="Times New Roman" w:hAnsi="Times New Roman"/>
                <w:sz w:val="15"/>
                <w:szCs w:val="15"/>
                <w:color w:val="auto"/>
              </w:rPr>
              <w:t>August 2024</w:t>
            </w:r>
          </w:p>
        </w:tc>
        <w:tc>
          <w:tcPr>
            <w:tcW w:w="134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Facilities as of December 31, 2024</w:t>
            </w:r>
          </w:p>
        </w:tc>
        <w:tc>
          <w:tcPr>
            <w:tcW w:w="1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42</w:t>
            </w:r>
          </w:p>
        </w:tc>
        <w:tc>
          <w:tcPr>
            <w:tcW w:w="24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w:t>
            </w:r>
          </w:p>
        </w:tc>
        <w:tc>
          <w:tcPr>
            <w:tcW w:w="220" w:type="dxa"/>
            <w:vAlign w:val="bottom"/>
            <w:tcBorders>
              <w:top w:val="single" w:sz="8" w:color="CFF0FC"/>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Resumption of operations at the Dilley Facility</w:t>
            </w:r>
          </w:p>
        </w:tc>
        <w:tc>
          <w:tcPr>
            <w:tcW w:w="2040" w:type="dxa"/>
            <w:vAlign w:val="bottom"/>
            <w:gridSpan w:val="2"/>
            <w:shd w:val="clear" w:color="auto" w:fill="CFF0FC"/>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March 2025</w:t>
            </w: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Transition of the California City Facility to the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Safety segment upon activation of a contract</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with ICE</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April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Acquisition of the Farmville Detention Center</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 Farmville, Virginia</w:t>
            </w:r>
          </w:p>
        </w:tc>
        <w:tc>
          <w:tcPr>
            <w:tcW w:w="2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8"/>
              </w:rPr>
              <w:t>July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Sale of an idled residential reentry center in</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Colorado</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Sale of an idled non-core facility in California</w:t>
            </w:r>
          </w:p>
        </w:tc>
        <w:tc>
          <w:tcPr>
            <w:tcW w:w="2040" w:type="dxa"/>
            <w:vAlign w:val="bottom"/>
            <w:gridSpan w:val="2"/>
            <w:shd w:val="clear" w:color="auto" w:fill="CFF0FC"/>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December 2025</w:t>
            </w:r>
          </w:p>
        </w:tc>
        <w:tc>
          <w:tcPr>
            <w:tcW w:w="13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30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5"/>
        </w:trPr>
        <w:tc>
          <w:tcPr>
            <w:tcW w:w="40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Facilities as of December 31, 2025</w:t>
            </w:r>
          </w:p>
        </w:tc>
        <w:tc>
          <w:tcPr>
            <w:tcW w:w="1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44</w:t>
            </w:r>
          </w:p>
        </w:tc>
        <w:tc>
          <w:tcPr>
            <w:tcW w:w="240" w:type="dxa"/>
            <w:vAlign w:val="bottom"/>
            <w:tcBorders>
              <w:top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w:t>
            </w: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w:t>
            </w:r>
          </w:p>
        </w:tc>
        <w:tc>
          <w:tcPr>
            <w:tcW w:w="220" w:type="dxa"/>
            <w:vAlign w:val="bottom"/>
            <w:tcBorders>
              <w:top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-1173480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-1173480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-1173480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-136525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-136525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the Year Ended December 31,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income was $116.5 million, or $1.08 per diluted share, compared with net income of $68.9 million, or $0.62 per diluted share, for the previous year. Financial results for 2025 reflect $3.0 million of expenses associated with mergers and acquisitions, asset impairments of $1.5 million, and a net gain on the sale of real estate assets of $1.0 million. For the year ended December 31, 2025, income tax expense reflects a net benefit of $1.0 million associated with these special items.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results for 2024 reflect a gain on the sale of real estate assets of $3.3 million and $3.1 million of asset impairments. Financial results for 2024 also reflect $31.3 million of expenses associated with debt repayments and refinancing transactions. For the year ended December 31, 2024, income tax expense reflects a net benefit of $9.8 million associated with these special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the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ind w:left="840" w:hanging="380"/>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the 20 residential reentry centers that are owned or controlled via a long-term lease and managed by CoreCivic. CoreCivic Community also includes the operating results of our electronic monitoring and case management services.</w:t>
      </w:r>
    </w:p>
    <w:p>
      <w:pPr>
        <w:spacing w:after="0" w:line="53" w:lineRule="exact"/>
        <w:rPr>
          <w:rFonts w:ascii="Times New Roman" w:cs="Times New Roman" w:eastAsia="Times New Roman" w:hAnsi="Times New Roman"/>
          <w:sz w:val="18"/>
          <w:szCs w:val="18"/>
          <w:color w:val="auto"/>
        </w:rPr>
      </w:pPr>
    </w:p>
    <w:p>
      <w:pPr>
        <w:ind w:left="840" w:hanging="380"/>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the five correctional real estate properties owned by CoreCivic held for lease to government agencies.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our total segment net operating income, which we define as facility revenue (including interest income associated with finance leases) less operating expenses, was divided among our three business segments as follows:</w:t>
      </w:r>
    </w:p>
    <w:p>
      <w:pPr>
        <w:spacing w:after="0" w:line="3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80" w:type="dxa"/>
            <w:vAlign w:val="bottom"/>
            <w:gridSpan w:val="2"/>
          </w:tcPr>
          <w:p>
            <w:pPr>
              <w:spacing w:after="0"/>
              <w:rPr>
                <w:sz w:val="12"/>
                <w:szCs w:val="12"/>
                <w:color w:val="auto"/>
              </w:rPr>
            </w:pPr>
          </w:p>
        </w:tc>
        <w:tc>
          <w:tcPr>
            <w:tcW w:w="14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100" w:type="dxa"/>
            <w:vAlign w:val="bottom"/>
            <w:tcBorders>
              <w:top w:val="single" w:sz="8" w:color="auto"/>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Safety</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91.7%</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Community</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w:t>
            </w:r>
          </w:p>
        </w:tc>
        <w:tc>
          <w:tcPr>
            <w:tcW w:w="2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0"/>
                <w:szCs w:val="20"/>
                <w:color w:val="auto"/>
              </w:rPr>
            </w:pPr>
          </w:p>
        </w:tc>
      </w:tr>
      <w:tr>
        <w:trPr>
          <w:trHeight w:val="842"/>
        </w:trPr>
        <w:tc>
          <w:tcPr>
            <w:tcW w:w="5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individual in our care for one calendar day. Revenue and expenses per compensated man-day are computed by dividing facility revenue and expenses by the total number of compensated man-days during the period. A compensated man-day represents a calendar day for which we are paid for the occupancy of an individual in our care. We believe the measurement is useful because we are compensated for operating and managing facilities at a per diem rate based upon actual or minimum guaranteed occupancy levels. We also measure our costs on a per compensated man-day basis, which are largely dependent upon the number of individuals in our care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2025 and 2024:</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108.86</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Fixed expense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Variable expense</w:t>
            </w: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83.18</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23.6%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77.2%</w:t>
            </w:r>
          </w:p>
        </w:tc>
        <w:tc>
          <w:tcPr>
            <w:tcW w:w="24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9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70,326</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68,200</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54,266</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51,165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-822325</wp:posOffset>
            </wp:positionV>
            <wp:extent cx="128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-822325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-513715</wp:posOffset>
            </wp:positionV>
            <wp:extent cx="128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-513715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-496570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1289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1289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third-party operators. The following table reflects the components of revenue for the years ended December 31, 2025 and 2024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revenue:</w:t>
            </w:r>
          </w:p>
        </w:tc>
        <w:tc>
          <w:tcPr>
            <w:tcW w:w="16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management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2,211.2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5"/>
        </w:trPr>
        <w:tc>
          <w:tcPr>
            <w:tcW w:w="580" w:type="dxa"/>
            <w:vAlign w:val="bottom"/>
          </w:tcPr>
          <w:p>
            <w:pPr>
              <w:spacing w:after="0"/>
              <w:rPr>
                <w:sz w:val="24"/>
                <w:szCs w:val="24"/>
                <w:color w:val="auto"/>
              </w:rPr>
            </w:pPr>
          </w:p>
        </w:tc>
        <w:tc>
          <w:tcPr>
            <w:tcW w:w="354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-1662430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-1662430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-1662430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-1662430</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-1096645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-1079500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-1096645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-1079500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-1096645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-1079500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-1096645</wp:posOffset>
            </wp:positionV>
            <wp:extent cx="1460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-1079500</wp:posOffset>
            </wp:positionV>
            <wp:extent cx="1460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$256.8 million, or 13.3%, increase in total management revenue was primarily a result of an increase in revenue of $145.8 million driven primarily by an increase of 7.3% in average revenue per compensated man-day. The increase in average revenue per compensated man-day primarily resulted from the effect of per diem increases at many of our facilities, along with a change in business mix. The increase in total management revenue was also a result of an increase in revenue of $109.6 million driven by an increase in average daily compensated population from 2024 to 2025, net of the effect of one less day of operations due to a leap year in 2024. Revenue generated from our electronic monitoring and case management services during 2025 increased $1.4 million (from $34.8 million during 2024 to $36.2 million during 2025).</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Average daily compensated population increased 3,101, or 6.1%, to 54,266 in 2025 when compared to 51,165 in 2024. The increase in average daily compensated population was primarily a result of an increase in occupancy largely due to higher ICE populations, including from new contracts to reactivate the Dilley Immigration Processing Center, our California City Immigration Processing Center, and our West Tennessee Detention Facility. These three facilities, two of which had not yet reached stabilized occupancy as of December 31, 2025, accounted for an increase in average daily compensated population of 402 in 2025 compared with 2024. We currently expect average daily compensated populations to increase in 2026 as a result of these new contracts. The increase in average daily compensated population also resulted from two new management contracts with the state of Montana. In August 2024, we entered into a contract with the state of Montana which contributed to an increase in populations held at our Saguaro Correctional Facility. In addition, on January 16, 2025, we announced that we were awarded a new management contract with the state of Montana to care for additional inmates outside the state of Montana. During 2025, we cared for an average daily population of 214 Montana inmates at our Tallahatchie County Correctional Facility in Mississippi under this new contract. In addition, the increase in average daily compensation in 2025 was impacted by our acquisition of the Farmville Detention Center effective July 1, 2025. At December 31, 2025, we cared for 726 individuals at the Farmville facility. Average compensated occupancy in our Safety and Community segments was 77.2% and 75.0% during 2025 and 2024, respectively. This increase in occupancy occurred despite an increase in average available beds due to the activation and transfer of our 2,560-bed California City Facility from the Properties segment to the Safety segment effective April 1, 2025. We began receiving ICE detainees at our California City Facility during August 2025 and, as of December 31, 2025, we cared for 1,436 individuals at the facility.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solutions we provide to our federal customers, including primarily ICE and the USMS, continue to be a significant component of our business. The federal customers in our Safety and Community segments generated approximately 54% and 51% of our total revenue in 2025 and 2024, respectively, increasing $191.6 million, or 19.1%, in 2025 from 2024. The increase in federal revenue was primarily a result of increased occupancy at certain facilities, particularly those where we have contracts with ICE, and per diem increases. The increase in federal revenue from 2024 to 2025 was partially offset by the effect of one less day of operations due to a leap year in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described, several executive and legislative actions have gone into effect since the inauguration of President Trump on January 20, 2025 that have resulted in an increase in the number of people detained by ICE, including in our detention facilities where we have existing contracts. During the first quarter of 2025, we entered into contract modifications at our Northeast Ohio Correctional Center, our Nevada Southern Detention Center, and our Cimarron Correctional Facility to collectively add capacity for up to 784 ICE detainees. We subsequently entered into two additional modifications in the second half of 2025 to collectively add additional capacity at the Cimarron facility for up to nearly 300 ICE detainees.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previously mentioned, demand from ICE has resulted in the activation of five previously idled facilities. The following table presents the estimated total annual revenue from each of these facilities and the quarter each activation is expected to reach stabilized occupancy: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tbl>
      <w:tblPr>
        <w:tblLayout w:type="fixed"/>
        <w:tblInd w:w="58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Annual Revenue</w:t>
            </w:r>
          </w:p>
        </w:tc>
        <w:tc>
          <w:tcPr>
            <w:tcW w:w="2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Stabilized</w:t>
            </w:r>
          </w:p>
        </w:tc>
      </w:tr>
      <w:tr>
        <w:trPr>
          <w:trHeight w:val="173"/>
        </w:trPr>
        <w:tc>
          <w:tcPr>
            <w:tcW w:w="568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0" w:type="dxa"/>
            <w:vAlign w:val="bottom"/>
          </w:tcPr>
          <w:p>
            <w:pPr>
              <w:spacing w:after="0"/>
              <w:rPr>
                <w:sz w:val="15"/>
                <w:szCs w:val="15"/>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Dilley Immigration Processing Center</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Q3 2025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West Tennessee Detention Facility</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Q1 2026</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Midwest Regional Reception Center</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California City Immigration Processing Center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Q1 2026</w:t>
            </w: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Q2 2026</w:t>
            </w:r>
          </w:p>
        </w:tc>
      </w:tr>
      <w:tr>
        <w:trPr>
          <w:trHeight w:val="210"/>
        </w:trPr>
        <w:tc>
          <w:tcPr>
            <w:tcW w:w="5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both"/>
        <w:ind w:left="760" w:hanging="378"/>
        <w:spacing w:after="0" w:line="275"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we have been successful in hiring staff and have prepared the Midwest Regional Reception Center to accept detainees, the intake process has been delayed by legal challenges previously described herein. The new agreement provides for a fixed monthly payment plus an incremental per diem payment based on detainee populations, both of which commence once the temporary injunction currently prohibiting the intake of detainees is no longer enforceable. However, we cannot predict if or when either our application for a SUP will be approved or the legal challenges will be successfully resolved.</w:t>
      </w:r>
    </w:p>
    <w:p>
      <w:pPr>
        <w:spacing w:after="0" w:line="3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increased $36.5 million, or 4.7%, from 2024 to 2025. State revenues increased as a result of per diem increases under a number of our state contracts, as certain states have recognized the need to provide additional funding to address increases in the wages of our employees. Most notably, state revenues increased $13.2 million due to higher utilization from the state of Montana resulting from two new management contracts executed during 2024 and 2025, as previously described herein, as well as higher utilization from other states under existing management contracts. State revenues also increased $14.3 million during 2025 when compared to 2024 from the state of Georgia due to increases in average daily populations as well as the impact of per diem increases in 2025. The increase in state revenues in 2025 was partially offset by the effect of one less day of operations due to a leap year in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$7.4 million, or 28.4%, decrease in lease revenue from 2024 to 2025 primarily resulted from the expiration and non-renewal of the lease agreement with the state of California at our California City Facility effective March 31, 2024. The California City Facility transitioned from our Properties segment to our Safety segment during the second quarter of 2025, as we entered into an agreement with ICE to reactivate and operate the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totaled $1,692.5 million and $1,493.4 million in 2025 and 2024,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$203.4 million, or 13.7%, during 2025 when compared with 2024. Operating expenses increased primarily as a result of wage increases across our portfolio. We achieved higher staffing levels during 2025 when compared with 2024, and we continued to see improvement in our attraction and retention of facility staff in the current labor market. In addition, wages and other operating expenses have increased as a result of an increase in our overall staffing levels in response to the increasing demand from the federal government for capacity at our correctional and detention facilities, particularly from ICE, due to recent changes in immigration policies under the current presidential administration. The increase in operating expenses from the prior year was also due to an increase in transportation services expense, which corresponds with the increased populations at certain of our facilities, as well as an overall increase in transportation needs from ICE. In addition, operating expenses increased from 2024 to 2025 as a result of the acquisition of the Farmville Detention Center on July 1, 2025, as further described 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3" w:name="page74"/>
    <w:bookmarkEnd w:id="7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operating expenses during 2025 when compared with 2024 was partially offset by $11.0 million of employee retention credits, or ERCs, recognized during the first half of 2025. The ERCs were made available to eligible businesses that had employees and were affected during the COVID-19 pandemic under the Coronavirus Aid, Relief and Economic Security Act, or CARES Act, which was signed into law in March 2020 and was extended through June 30, 2021. The CARES Act, among other things, incentivized companies to retain employees through an ERC, which compensates employers for wages of employees that were retained and could not perform their job duties at 100% capacity as a result of coronavirus pandemic restrictions. The increase in operating expenses in 2025 was also partially offset by the effect of one less day of operations due to a leap year in 2024.</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expenses per compensated man-day increased to $83.18 during 2025 from $77.16 during 2024. Expenses per compensated man-day increased as a result of start-up expenses at our California City Facility, our Midwest Regional Reception Center, our West Tennessee Detention Facility, and our Diamondback Correctional Facility. Further, we continue to experience labor shortages and wage pressures in several markets across the country, and have provided customary inflationary wage increases to remain competitive. Although the hiring environment has progressively improved since the COVID-19 pandemic, recruiting remains particularly challenging at certain facilities in particular geographic locations, resulting in incremental expenses to help ensure sufficient staffing levels. While we have been able to reduce the use of these temporary incentives at most facilities due to the improving hiring environment, we expect to continue to incur a certain level of incremental expenses in the future, particularly as demand from the federal government for capacity at our correctional and detention facilities is increasing, particularly from ICE. Incremental expenses include, but may not be limited to, incentive payments to our front-line and field staff, temporary employee housing expenses and other travel related reimbursements, additional paid time off, off-cycle wage increases in certain markets to remain competitive, and registry nursing expenses. These incremental investments have enabled us to increase overall staffing levels, which has contributed to the increase in total expenses per compensated man-day. The increase in total expenses per compensated man-day includes the effect of the termination of the funding of the IGSA associated with the Dilley Facility effective August 9, 2024. The IGSA was subsequently amended and operations resumed at the Dilley Facility in March 2025. These incremental operating expenses were partially offset by the ERCs, as previously mentioned.</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continually monitor compensation levels very closely along with overall economic conditions and will adjust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62% and 63% of our total operating expenses during 2025 and 2024, respectively. An inability to attract and retain sufficient personnel could prevent us from caring for additional residential populations for government agencies in need of additional capacity due to an increase in populations or an inability to adequately staff their facilities. An inability to attract and retain sufficient personnel in our existing facilities could also cause our government partners to assess liquidated damages, reduce our residential populations, or in certain circumstances, cancel our contracts. We have also been subjected to revenue deductions for staff vacancies as a result of the labor shortages, which are reflected as reductions to other management revenue. Estimating revenue deduction amounts due to staff vacancies can be complex and subject to management judgment and estimations. Some of our government partners have granted waivers for revenue deductions for staff vacancies in recognition of the unique and challenging labor market, while others have discretionarily adjusted such deductions based on our extraordinary costs, efforts and incentive programs implemented to attract and retain staff.</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Variable expenses per compensated man-day increased to $22.19 during 2025 from $20.08 during 2024. The increase in variable expenses per compensated man-day was primarily due to the start-up expenses at four previously idle facilities, combined with the effect of an elevated inflation rate applicable to all of our variable expenses, partially offset by the effect of the termination of the funding of the IGSA associated with the Dilley Facility effective August 9, 2024. The IGSA was subsequently amended and operations resumed at the Dilley Facility on March 5, 2025. In addition, variable expenses per compensated man-day increased from 2024 to 2025 due to an increase in transportation services expense, which corresponds with the increased populations at certain of our facilities, as well as an overall increase in transportation needs from 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incurred by CoreCivic Properties in connection with facilities we lease to third-party operators decreased $4.2 million, or 30.4%, during 2025 when compared with 2024. The decrease was primarily a result of the expiration and non-renewal of the lease agreement at our California City Facility effective March 31, 2024. The California City Facility transitioned from our Properties segment to our Safety segment during the second quarter of 2025, as we entered into an agreement with ICE to reactivate and operate the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Management Contracts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facility management contracts to provide bed capacity and management services to governmental entities in our CoreCivic Safety and CoreCivic Community segments for terms typically ranging from one to five years, with additional renewal periods at the option of the contracting governmental agency. Accordingly, a substantial portion of our facility management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ICE issued a request for proposal, or RFP, for up to 600 beds in New Jersey. We have offered the 300-bed Elizabeth Detention Center under this RFP. Our management contract at the Elizabeth Detention Center has continued under numerous short-term extensions, including most recently through February 28, 2026, with an additional extension option through March 31, 2026. We continue to discuss the terms of a long-term contract with ICE, but can provide no assurance that we will be awarded a new contract, or that ICE will continue to sign extensions. We generated total revenue of $22.6 million at this facility during 2025. At December 31, 2025, we cared for 303 detainees at this facility under terms of the most recently extended contract.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 provide no assurance that we will continue to achieve high renewal rates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CoreCivic Safety includes the operating results of the correctional and detention facilities that we operated during each period. Total revenue generated by CoreCivic Safety increased $252.6 million, or 13.9%, from $1,816.9 million during 2024 to $2,069.5 million during 2025. CoreCivic Safety's facility net operating income increased $48.5 million, or 11.2%, from $434.3 million during 2024 to $482.8 million during 2025. During 2025 and 2024, CoreCivic Safety generated 91.7% and 91.1%, respectively, of our total segment net operating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Safety Facilities:</w:t>
            </w:r>
          </w:p>
        </w:tc>
        <w:tc>
          <w:tcPr>
            <w:tcW w:w="17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56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110.19</w:t>
            </w:r>
          </w:p>
        </w:tc>
        <w:tc>
          <w:tcPr>
            <w:tcW w:w="34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expense</w:t>
            </w:r>
          </w:p>
        </w:tc>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61.75</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8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expense</w:t>
            </w:r>
          </w:p>
        </w:tc>
        <w:tc>
          <w:tcPr>
            <w:tcW w:w="17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84.49</w:t>
            </w: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80" w:type="dxa"/>
            <w:vAlign w:val="bottom"/>
          </w:tcPr>
          <w:p>
            <w:pPr>
              <w:spacing w:after="0"/>
              <w:rPr>
                <w:sz w:val="18"/>
                <w:szCs w:val="18"/>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25.70</w:t>
            </w: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23.3%</w:t>
            </w:r>
          </w:p>
        </w:tc>
        <w:tc>
          <w:tcPr>
            <w:tcW w:w="860" w:type="dxa"/>
            <w:vAlign w:val="bottom"/>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17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77.7%</w:t>
            </w:r>
          </w:p>
        </w:tc>
        <w:tc>
          <w:tcPr>
            <w:tcW w:w="8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75.7%</w:t>
            </w: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170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66,186</w:t>
            </w:r>
          </w:p>
        </w:tc>
        <w:tc>
          <w:tcPr>
            <w:tcW w:w="34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63,785</w:t>
            </w:r>
          </w:p>
        </w:tc>
        <w:tc>
          <w:tcPr>
            <w:tcW w:w="180" w:type="dxa"/>
            <w:vAlign w:val="bottom"/>
            <w:tcBorders>
              <w:top w:val="single" w:sz="8" w:color="CFF0FC"/>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17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51,455</w:t>
            </w:r>
          </w:p>
        </w:tc>
        <w:tc>
          <w:tcPr>
            <w:tcW w:w="3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48,291</w:t>
            </w:r>
          </w:p>
        </w:tc>
        <w:tc>
          <w:tcPr>
            <w:tcW w:w="1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-967740</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-967740</wp:posOffset>
            </wp:positionV>
            <wp:extent cx="111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-676275</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-659130</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-676275</wp:posOffset>
            </wp:positionV>
            <wp:extent cx="111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-659130</wp:posOffset>
            </wp:positionV>
            <wp:extent cx="1117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-350520</wp:posOffset>
            </wp:positionV>
            <wp:extent cx="1289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-333375</wp:posOffset>
            </wp:positionV>
            <wp:extent cx="128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-350520</wp:posOffset>
            </wp:positionV>
            <wp:extent cx="111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-333375</wp:posOffset>
            </wp:positionV>
            <wp:extent cx="111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128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28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margins in the CoreCivic Safety segment were negatively impacted during 2025 by start-up expenses incurred during the activation of our previously idled 2,560-bed California City Facility, our 1,033-bed Midwest Regional Reception Center, our 600-bed West Tennessee Detention Facility, and our 2,160-bed Diamondback Correctional Facility in advance of receiving detainee populations. These four facilities are currently in various stages of activation, resulting in facility operating losses of $5.7 million during the second half of 2025. We anticipate our California City Facility, West Tennessee facility, and Diamondback facilities will contribute to an increase in operating margins in future quarters. We also expect the Midwest Regional Reception Center to also contribute to an increase in operating margins in future quarters if the temporary injunction currently prohibiting the intake of detainees is no longer enforceable. In December 2025, we filed an application for the SUP. However, we cannot provide assurance that the legal challenges will be successfully resolved, or that the SUP will be approved and therefore, cannot predict if or when we will be able to accept detainee populations. Despite receiving some fixed revenue under letter agreements at the California City Facility and Midwest Regional Reception Center, we still incurred operating losses due to increasing staffing levels and other start-up expenses at these facilities during the second half of 2025. As further described hereinafter, on September 29, 2025, we announced that we entered into new longer-term contracts at both of these facilities that became effective in September 2025. Total revenue at these four facilities was $70.7 million during 2025.</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margins were also negatively impacted relative to 2024 by the termination of funding of the IGSA for services at the Dilley Facility, effective August 9, 2024, as previously described herein. The operating margin at the Dilley Facility exceeded the average operating margin of our portfolio due to the size and scalability of expenses, and due to the unique design and specialized services provided at the facility, and was also inflated in 2024 due to the recognition of the deferred revenue balance upon contract termination in August 2024. Accordingly, the termination of funding of the IGSA associated with the Dilley Facility had a negative impact on operating margins following the termination date. On March 5, 2025, we announced that we had agreed under an amendment to the IGSA to resume operations and care for up to 2,400 individuals at the Dilley Facility. The amended IGSA provides for a fixed monthly payment in accordance with a graduated schedule during the first six months of the agreement to correlate with the activation of the five neighborhoods within the facility, each designed to accommodate up to 480 individuals. Activation of the Dilley Facility was completed in September 2025, which is expected to contribute to an increase in operating margins in future quarters. Total revenue at the Dilley Facility increased to $118.1 million in 2025 from $101.2 million in 2024 and total operating expenses increased to $79.1 million in 2025 from $49.6 million in 2024. Total annual revenue generated by the Dilley Facility, as fully activated, is expected to be approximately $180.0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margins in 2025 were also temporarily negatively impacted by labor shortages and increased demand—especially from ICE as a result of changes in federal immigration policy—which required above-average wage increases and additional incentives (such as bonuses, housing, and travel reimbursements) to quickly attract and retain staff. Although some temporary incentives have been reduced, ongoing and potentially increased staffing costs are expected as labor demand continues to rise in order to meet customer demand for additional bed capacity, particularly from ICE. The negative impact of higher labor-related expenses has been largely offset by per diem increases at many of our facilities. We have received per diem increases as a result of additional government appropriations funding to address increases in the wages of our employees, and we have been able to achieve higher per diems under new contracts to help ensure we can hire staff at competitive wage rates in order to accept detainee populations as quickly as possible. Operating margins during 2025 were also positively impacted by ERCs received in the Safety segment amounting to $10.6 million during the first half of 2025.</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correctional and detention facilities in our Safety segment to further increase under the current presidential administration, particularly from ICE, as a result of changes in immigration policy and funding levels of our federal government partners charged with correctional and detention responsibilities, as previously described herein. This anticipated increase in demand could result in even higher utilization of our available capacity under existing contracts, as well as through new contracts utilizing our idle correctional and detention facilities or our other existing capacity. The activation of our idle correctional and detention facilities generally requires three to six months to hire, train, and prepare our facilities to accept residential populations, which, depending on the contract structure, could result in substantial expense before we are able to realize additional revenue. However, it is possible that ICE could continue to seek alternative forms of detention capacity, diverting potential utilization away from our facilities. For example, ICE has increased its use of military bases (domestically and at Guantanamo Bay), soft-sided facilities, idled or under-utilized facilities owned and operated by the BOP, facilities owned by state and local government agencies, international options, and has most recently proposed using warehouse-based real estate assets for use in ICE detention. Therefore, we can provide no assurance that the federal government will continue to increase the utilization of our available capacity, or that it will not decrease utilization of our capacity.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14, 2025, we announced that we had been awarded a new contract through an IGSA with ICE to resume operations at our previously idled West Tennessee Detention Facility in Mason, Tennessee. The West Tennessee facility had been idle since September 2021. The IGSA expires in August 2030 and may be further extended through bilateral modification. The agreement provides for a fixed monthly payment plus an incremental per payment based on detainee populations. We began receiving ICE detainees at the West Tennessee facility during September 2025. Revenue generated at the West Tennessee facility amounted to $13.0 million during 2025. Total annual revenue once the facility is fully activated, expected to be complete by the end of the first quarter of 2026, is anticipated to be approximately $30.0 million.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6, 2022, we received notice from the California Department of Corrections and Rehabilitation, or CDCR, of its intent to terminate the lease agreement for our California City Facility by March 31, 2024, due to the state's declining inmate population. The California City Facility, which was reported at that time in our Properties segment, was idled effective April 1, 2024. Effective April 1, 2025, we entered into a letter agreement with ICE to begin activation efforts at the California City Facility. The letter agreement authorized initial funding up to $10.0 million with maximum funding up to $31.2 million for a six-month period while we worked to negotiate and execute a longer-term contract. Because we are now operating the facility rather than leasing it, the California City Facility transitioned from our Properties segment to our Safety segment during the second quarter of 2025. We began receiving ICE detainees at our California City Facility during August 2025 under terms of the letter agreement. On September 29, 2025, we announced that we entered into a new two-year contract with ICE to utilize the California City Facility, effective September 1, 2025. Revenue generated at the California City Facility amounted to $39.2 million during 2025. As of December 31, 2025, we cared for 1,436 individuals at the facility. We currently expect activation of the facility to be complete in the first quarter of 2026. Total annual revenue once the activation is complete is expected to be approximately $130.0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March 7, 2025, we entered into a letter agreement with ICE to begin activation efforts at our Midwest Regional Reception Center in Leavenworth, Kansas. The letter agreement authorized initial funding up to $5.0 million with maximum funding up to $22.6 million for a six-month period while we worked to negotiate and execute a long-term contract. On September 29, 2025, we announced that we entered into a new two-year contract with ICE to utilize the Midwest Regional Reception Center, effective September 7, 2025. Although we have been successful in hiring staff and have prepared the facility to accept detainees, the intake process has been delayed by a lawsuit filed by the City of Leavenworth alleging that a SUP is required to operate the facility. Following negative court rulings in this matter, which remain under appeal, in December 2025, we filed an application for the SUP. However, we cannot provide assurance that our legal appeal will be successful, or that the SUP will be approved and, therefore, cannot predict if or when we will be able to accept detainee populations. The new agreement, which expires September 6, 2027, provides for a nominal fixed payment intended to partially offset start-up expenses through March 31, 2026 and then a fixed monthly payment plus an incremental per diem payment based on detainee populations, both of which commence once the temporary injunction currently prohibiting the intake of detainees is no longer enforceable. Total revenue generated at the Midwest Regional Reception Center amounted to $14.8 million during 2025. Total annual revenue once the facility is fully activated is expected to be approximately $60.0 million. Newly-hired employees have been offered opportunities to be redeployed at our other activations until matters concerning the SUP are resolved.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2025, we announced that we had been 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now expires in September 2029, and may be further extended through bilateral modification. We began receiving detainees in December 2025, with stabilized occupancy estimated to be reached in the second quarter of 2026. The agreement provides for a fixed monthly payment plus an incremental per diem payment based on detainee populations. Total annual revenue once the facility reaches stabilized occupancy is expected to be approximately $100.0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in response to a request from DHS to provide the agency with budgetary savings, we proposed to reduce the term of four management contracts, including the contract at our Diamondback Correctional Facility, by one year, which the agency accepted. The government may nonetheless elect to extend such contracts beyond their new terms.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we acquired the Farmville Detention Center, a 736-bed facility located in Farmville, Virginia. The acquisition of the Farmville Detention Center was consummated through the acquisition of 100% of the membership interests in entities that owned and operated the facility. The aggregate purchase price was $71.4 million, including the acquisition of working capital accounts, but excluding $1.9 million of transaction-related expenses. The Farmville Detention Center provides transportation, care, and civil detention services for adult male non-citizens through an IGSA with ICE, which expires in March 2029, and is expected to result in total annual incremental revenue of approximately $40.0 million. During 2025, we generated total revenue at this facility of $21.8 million.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we entered into a management contract with the state of Montana to care for an unspecified number of inmates at facilities we operate. The contract is scheduled to expire on July 31, 2026, and may be extended by mutual agreement for a total term of up to seven years. As of December 31, 2025, we cared for 361 inmates from the state of Montana at our Saguaro facility under this management contract, along with another similar contract with the state of Montana that was entered into during the fourth quarter of 2023. On January 16, 2025, we announced that we were awarded a new management contract with the state of Montana to care for additional inmates outside the state of Montana. As of December 31, 2025, we cared for 239 inmates from the state of Montana at our Tallahatchie facility in Mississippi under this new contract. This latest contract with Montana expands the geographic range of our facilities that can serve the state of Montana, where we also manage the fully occupied company-owned Crossroads Correctional Center in Shelby, Montana for the state of Montana pursuant to a separate management contract. During 2025, management revenue from the state of Montana at the Saguaro and Tallahatchie facilities increased $12.7 million from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Community includes the operating results of the residential reentry centers that we operated during each period, along with the operating results of our electronic monitoring and case management services. Total revenue generated by CoreCivic Community increased $4.2 million, or 3.5%, from $118.7 million during 2024 to $122.8 million during 2025. CoreCivic Community's facility net operating income increased $5.0 million, or 23.0%, from $21.7 million during 2024 to $26.7 million during 2025. During 2025 and 2024, CoreCivic Community generated 5.1% and 4.6%, respectively, of our total segment net operating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Community Facilities:</w:t>
            </w:r>
          </w:p>
        </w:tc>
        <w:tc>
          <w:tcPr>
            <w:tcW w:w="1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60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84.42</w:t>
            </w:r>
          </w:p>
        </w:tc>
        <w:tc>
          <w:tcPr>
            <w:tcW w:w="34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expense</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47.02</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8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expense</w:t>
            </w:r>
          </w:p>
        </w:tc>
        <w:tc>
          <w:tcPr>
            <w:tcW w:w="17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3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59.20</w:t>
            </w:r>
          </w:p>
        </w:tc>
        <w:tc>
          <w:tcPr>
            <w:tcW w:w="3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80" w:type="dxa"/>
            <w:vAlign w:val="bottom"/>
          </w:tcPr>
          <w:p>
            <w:pPr>
              <w:spacing w:after="0"/>
              <w:rPr>
                <w:sz w:val="18"/>
                <w:szCs w:val="18"/>
                <w:color w:val="auto"/>
              </w:rPr>
            </w:pPr>
          </w:p>
        </w:tc>
      </w:tr>
      <w:tr>
        <w:trPr>
          <w:trHeight w:val="249"/>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29.9%</w:t>
            </w:r>
          </w:p>
        </w:tc>
        <w:tc>
          <w:tcPr>
            <w:tcW w:w="90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25.6%</w:t>
            </w: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17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67.9%</w:t>
            </w:r>
          </w:p>
        </w:tc>
        <w:tc>
          <w:tcPr>
            <w:tcW w:w="9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65.1%</w:t>
            </w:r>
          </w:p>
        </w:tc>
      </w:tr>
      <w:tr>
        <w:trPr>
          <w:trHeight w:val="196"/>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170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4,140</w:t>
            </w:r>
          </w:p>
        </w:tc>
        <w:tc>
          <w:tcPr>
            <w:tcW w:w="34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4,415</w:t>
            </w:r>
          </w:p>
        </w:tc>
        <w:tc>
          <w:tcPr>
            <w:tcW w:w="180" w:type="dxa"/>
            <w:vAlign w:val="bottom"/>
            <w:tcBorders>
              <w:top w:val="single" w:sz="8" w:color="CFF0FC"/>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17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2,811</w:t>
            </w:r>
          </w:p>
        </w:tc>
        <w:tc>
          <w:tcPr>
            <w:tcW w:w="3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2,874</w:t>
            </w:r>
          </w:p>
        </w:tc>
        <w:tc>
          <w:tcPr>
            <w:tcW w:w="1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-967740</wp:posOffset>
            </wp:positionV>
            <wp:extent cx="1289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-967740</wp:posOffset>
            </wp:positionV>
            <wp:extent cx="111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-676910</wp:posOffset>
            </wp:positionV>
            <wp:extent cx="1289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-659130</wp:posOffset>
            </wp:positionV>
            <wp:extent cx="1289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-676910</wp:posOffset>
            </wp:positionV>
            <wp:extent cx="1117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-659130</wp:posOffset>
            </wp:positionV>
            <wp:extent cx="1117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-350520</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-333375</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-350520</wp:posOffset>
            </wp:positionV>
            <wp:extent cx="1117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-333375</wp:posOffset>
            </wp:positionV>
            <wp:extent cx="1117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1289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margins in our CoreCivic Community segment were positively impacted during 2025 by an increase in average revenue per compensated man-day, which increased from 2024 primarily as a result of per diem increases at several of our facilities, as well as for ERCs received in the Community segment amounting to $0.4 million during the first half of 2025. In addition, variable expenses per compensated man-day decreased as a result of a settlement of a legal matter at a facility in the Community segment recognized during the third quarter of 2024. The effect on operating margins of the increased average revenue per compensated man-day, the ERCs, and the decrease in variable expenses per compensated man-day was partially offset by increased fixed expenses per man-day, which were driven primarily by higher wage rates and inflationary increases in other fixed expenses. Because facilities in our Community segment are typically smaller in size than those in our Safety segment, occupancy fluctuations have a larger impact on operating margin per compensated man-day. Accordingly, modest changes in occupancy can have a notable impact in our Community segment.</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Operating margins in the Community segment were also favorably impacted in 2025 relative to 2024 due to the sale of three residential reentry facilities, which performed below our average operating margin. In January 2024, we completed the sale of the 120-bed Dahlia Facility, a residential reentry center in Denver, Colorado. We continued to operate the Dahlia facility through the expiration of the management contract in June 2024. In July 2024, we completed the sale of the idled 390-bed Tulsa Transitional Center, a residential reentry center in Tulsa, Oklahoma. In September 2025, we completed the sale of the idled 60-bed Columbine Facility in Denver, Colorado. During 2024, these three facilities incurred facility net operating losses totaling $0.2 million.</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2025, we and Boulder County, Colorado entered into a short-term extension through January 2026 of the contract at our Longmont Community Treatment Center in Longmont, Colorado. Upon expiration of the contract in January 2026, Boulder County transferred the residential population to a new sentencing facility it constructed. We have engaged a broker and are committed to a process to sell the Longmont facility resulting in the classification of the facility as held for sale as of December 31, 2025. This facility generated facility net operating income of $0.2 million during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CoreCivic Properties includes the operating results of the properties we leased to government agencies during each period. Total revenue generated by CoreCivic Properties decreased $7.4 million, or 28.3%, from $26.1 million during 2024 to $18.7 million during 2025. CoreCivic Properties' facility net operating income decreased $3.2 million, or 25.8%, from $12.3 million during 2024 to $9.1 million during 2025. During 2025 and 2024, CoreCivic Properties generated 3.2% and 4.3%, respectively, of our total segment net operating income.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6, 2022, we received notice from the CDCR of its intent to terminate the lease agreement for our 2,560-bed California City Facility by March 31, 2024, due to the state's declining inmate population. The California City Facility was idled effective April 1, 2024. Effective April 1, 2025, we entered into a letter agreement with ICE to begin activation efforts at the California City Facility, and on September 29, 2025, we announced that we were awarded a new two-year contract at this facility. We began receiving detainees at the California City facility in August 2025, and currently expect the activation to be complete in the first quarter of 2026. Because we are now operating the facility rather than leasing it, the California City Facility transitioned from our Properties segment to our Safety segment during the second quarter of 2025. Rental revenue generated from the CDCR at the California City Facility was $8.5 million during the period the lease was active in 2024. Facility net operating income was $3.8 million during 2024, including carrying expenses we continued to incur following the lease termination. Facility net operating loss was $0.9 million during the first quarter of 2025 at the California City Facility while the facility was still being reported in our Properties segment.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2025 and 2024, general and administrative expenses totaled $169.6 million and $152.1 million, respectively. General and administrative expenses consist primarily of corporate management salaries and benefits, professional fees, and other administrative expenses. General and administrative expenses increased during 2025 when compared to 2024 primarily as a result of an increase </w:t>
      </w:r>
      <w:r>
        <w:rPr>
          <w:rFonts w:ascii="Times New Roman" w:cs="Times New Roman" w:eastAsia="Times New Roman" w:hAnsi="Times New Roman"/>
          <w:sz w:val="18"/>
          <w:szCs w:val="18"/>
          <w:color w:val="242424"/>
        </w:rPr>
        <w:t>in corporate salaries and benefits,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was largely related to higher incentive-based compensation. In addition, general and administrative expenses increased as a result of $3.0 million of expenses incurred in 2025 associated with mergers and acquisitions, primarily related to the acquisition of the </w:t>
      </w:r>
      <w:r>
        <w:rPr>
          <w:rFonts w:ascii="Times New Roman" w:cs="Times New Roman" w:eastAsia="Times New Roman" w:hAnsi="Times New Roman"/>
          <w:sz w:val="18"/>
          <w:szCs w:val="18"/>
          <w:color w:val="000000"/>
        </w:rPr>
        <w:t>Farmville Detention Center on July 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2025 and 2024, depreciation and amortization expense totaled $128.9 million and $128.0 million, respectively. Depreciation and amortization expense increased in 2025 when compared to 2024 primarily as a result of additional expense resulting from the acquisition of the Farmville Detention Center on July 1, 2025. The increase in depreciation and amortization expense was partially offset as a result of certain assets, including certain information technology assets, becoming fully depreciated. Further, we have begun to incur expenses associated with the purchase of "software as a service", or SaaS, technology, which reduces our need to install, maintain, and update certain software applications, but often results in higher operating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2025, we and Boulder County, Colorado entered into a short-term extension through January 2026 of the contract at our Longmont Community Treatment Center in Longmont, Colorado, a facility in our Community segment. Upon expiration of the contract in January 2026, Boulder County transferred the residential population to a new sentencing facility it constructed. We have engaged a broker and are committed to a process to sell the Longmont facility resulting in the need to test the facility for impairment. As a result, an impairment charge of $1.5 million was recognized during the third quarter of 2025 to reduce the net book value of the Longmont facility to its estimated fair value.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we recognized an impairment charge of $3.1 million associated with the terminations of the IGSA and lease agreement with respect to the Dilley Facility effective August 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expenses associated with debt repayments and refinancing transactions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expense is reported net of interest income and capitalized interest for the years ended December 31, 2025 and 2024. Gross interest expense, net of capitalized interest, was $76.0 million and $79.7 million in 2025 and 2024, respectively. Gross interest expense was based on outstanding borrowings under our revolving credit facility, or Revolving Credit Facility, our outstanding term loan, or Term Loan, or collectively, our Bank Credit Facility, our outstanding senior unsecured notes, and our outstanding non-recourse mortgage note, as well as the amortization of loan costs and unused facility fees. Gross interest income was $13.8 million and $12.3 million in 2025 and 2024, respectively. Gross interest income is earned on notes receivable, investments, cash and cash equivalents, and restricted cash. Interest income also includes interest income associated with the 20-year finance receivable associated with the Lansing Correctional Facility lease to the Kansas Department of Corrections, which commenced in January 2020, and amounted to $8.1 million and $8.3 million, in 2025 and 2024, respectively. During 2025, interest income also included $3.7 million for interest collected from the Internal Revenue Service on our ERCs. Total capitalized interest was $0.5 million during 2025. Net interest expense during 2025 decreased when compared to 2024 as a result of a decrease in the interest rates associated with our debt, as further described hereinafter, along with interest income associated with the ERCs.</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2024, we completed an underwritten registered public offering of $500.0 million aggregate principal amount of 8.25% senior unsecured notes due in April 2029, or the 8.25% Senior Notes. During March and April 2024, we used the net proceeds from the offering, along with cash on hand, to tender and redeem in full our remaining 8.25% senior unsecured notes due in April 2026, amounting to $593.1 million. During 2024, we recorded charges totaling $31.3 million associated with the cash tender offer and redemption of such senior unsecured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total leverage ratio, during the first quarter of 2024, interest on loans under our Bank Credit Facility bore interest at a base rate plus a margin of 2.25% or at the Secured Overnight Financing Rate, or Term SOFR, plus a margin of 3.25%, and a commitment fee equal to 0.45% of the unfunded balance of the Revolving Credit Facility. Based on our total leverage ratio as of March 31, 2024, during the second quarter of 2024, the interest rate spread for base rate loans declined to 2.00%, the interest rate spread for Term SOFR loans was reduced to 3.00%, and the commitment fee decreased to 0.40%. Based on our total leverage ratio as of June 30, 2024 and each quarter since then, the interest rate spread for base rate loans further declined to 1.75%, the interest rate spread for Term SOFR loans was reduced to 2.75%, and the commitment fee decreased to 0.35%.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sale of real estate assets,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2025, we completed the sale of our idled 60-bed Columbine Facility in Colorado that was reported in our Community segment for a net sales price of $3.7 million, resulting in a net gain on sale of real estate assets of $2.5 million. On May 3, 2024, we entered into a purchase and sale agreement for the sale of our idled 240-bed Leo Chesney Correctional Center in California that was reported in our Safety segment. The sale had been extended several times and during the fourth quarter of 2025, we agreed to sell the facility for $1.2 million. The sale was completed in the fourth quarter of 2025, which resulted in a loss on sale of real estate assets of $1.5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sale of real estate assets, net during 2024, includes a $1.2 million gain on the sale of our idled 390-bed Tulsa Transitional Center in July 2024 and a $0.5 million gain on the sale of our 120-bed Dahlia Facility in January 2024, both reported in our Community segment. During 2024, we also sold two unused parcels of land in Texas generating net sales proceeds of $1.9 million and resulting in an aggregate gain on sale of $1.6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$40.7 million and $23.1 million during the years ended December 31, 2025 and 2024, respectively, and increased due to an increase in pre-tax income in 2025 compared with 2024. The income tax expense related to operations for 2025 and 2024 was net of an income tax benefit associated with stock-based compensation vesting generally during the first quarter of each year and amounted to $2.5 million and $2.3 million during 2025 and 2024, respectively. Income tax expense related to operations for 2025 was net of an income tax benefit of $1.0 million associated with asset impairments and the acquisition of the Farmville Detention Center, net of the gain on sale of real estate assets, all as previously described herein. In addition, income tax expense related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for 2024 was net of an income tax benefit of $9.8 million for expenses associated with asset impairments and refinancing transactions, net of the gain on sale of real estate assets, all as previously described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could fluctuate in the future based on changes in estimates of taxable income, the implementation of additional tax planning strategies, changes in federal or state tax rates or laws affecting tax credits available to us, changes in other tax laws, limits on certain deductible expenses,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Pursuant to Regulation S-K item 303, a detailed review of our performance for the year ended December 31, 2024 compared to our performance for the year ended December 31, 2023 is set forth in </w:t>
      </w:r>
      <w:r>
        <w:rPr>
          <w:rFonts w:ascii="Times New Roman" w:cs="Times New Roman" w:eastAsia="Times New Roman" w:hAnsi="Times New Roman"/>
          <w:sz w:val="18"/>
          <w:szCs w:val="18"/>
          <w:i w:val="1"/>
          <w:iCs w:val="1"/>
          <w:color w:val="auto"/>
        </w:rPr>
        <w:t>"Part 2, Item 7. Management's Discussion and Analysis of Financial Condition and Results of Operations"</w:t>
      </w:r>
      <w:r>
        <w:rPr>
          <w:rFonts w:ascii="Times New Roman" w:cs="Times New Roman" w:eastAsia="Times New Roman" w:hAnsi="Times New Roman"/>
          <w:sz w:val="18"/>
          <w:szCs w:val="18"/>
          <w:color w:val="auto"/>
        </w:rPr>
        <w:t xml:space="preserve"> of our Annual Report on Form 10-K for the year ended December 31, 2024, filed with the SEC on February 21,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capital requirements are for working capital, capital expenditures, and debt service payments, as well as outstanding commitments and contingencies, as further discussed in the Notes to the Consolidated Financial Statements contained in this Annual Report. We may also use our free cash flow to purchase our outstanding debt in open market transactions, privately negotiated transactions or otherwise, or to return capital to our shareholders, which could include share repurchases and/or future dividends. Any future dividend is subject to our Board of Directors', or BODs', determinations as to the amount of distributions and the timing thereof, as well as limitations under the Company's debt covenants. Any such debt repurchases will depend upon prevailing market conditions, our liquidity requirements, contractual requirements, applicable securities laws requirements, alternative opportunities to deploy capital, and other factors.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BOD approved a share repurchase program to purchase up to $225.0 million of our common stock, which has subsequently been increased to up to $700.0 million through a series of increases, including two increases during 2025 of $150.0 million on May 15, 2025 and $200.0 million on November 10, 2025. Repurchases of our outstanding common stock are made in accordance with applicable securities laws and may be made at our discretion based on parameters set by our BOD from time to time in the open market, through privately negotiated transactions, or otherwise, subject to restricted payment limitations in our debt agreements. The share repurchase program has no time limit and does not obligate us to purchase any particular amount of our common stock. The authorization for the share repurchase program may be terminated, suspended, increased or decreased by the BOD in its discretion at any time. During 2025, we completed the repurchase of 11.2 million shares of our common stock at a total cost of $218.4 million, or $19.48 per share, excluding costs associated with the share repurchase program. As of December 31, 2025, we had repurchased a total of 25.7 million common shares at an aggregate cost of $399.5 million, or $15.52 per share, using cash on hand, cash provided by operations, and borrowing capacity under our Revolving Credit Facility, and had $300.5 million of repurchase authorization available under the share repurchase program.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 We may also consider other opportunities for growth, including, but not limited to, potential acquisitions of correctional and detention facilities and businesses within our lines of business and those that provide complementary services, provided we believe such opportunities will enhance our business, diversify our cash flows, and/or increase the services we can provide to our customers, or when we believe the potential long-term returns justify the capital deployment. On July 1, 2025, we acquired the Farmville Detention Center, a 736-bed facility located in Farmville, Virginia. The acquisition of the Farmville Detention Center was consummated through the acquisition of 100% of the membership interests in entities that owned and operated the facility and was funded with cash on hand and borrowings under our Revolving Credit Facility. The aggregate purchase price was $71.4 million, including the acquisition of working capital accounts, but excluding $1.9 million of transaction-related expenses. The Farmville Detention Center provides transportation, care, and civil detention services for adult male non-citizens through an IGSA with ICE, which expires in March 2029, and is expected to result in total annual incremental revenue of approximately $40.0 million.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we invested $75.0 million of capital expenditures associated with previously idled facilities we are activating and for additional potential idle facility activations, in order to prepare these facilities to quickly accept residential populations if opportunities arise, as well as to provide increased transportation services. We currently estimate capital expenditures of $35.0 million to $40.0 million in 2026 for this purpose. We could decide to incur additional capital expenditures in anticipation of additional activations if we have better visibility on specific needs and if the lead time to complete the capital expenditures exceeds the period needed to hire, train, and prepare a facility to accept residential populations. The significant reduction in capital expenditures expected on idle facilities in 2026, combined with an expectation of higher cash flows from operations in 2026 compared with 2025 primarily resulting from the activation of five idle facilities during 2025, provides us with more flexibility to deploy capital, which may include share repurchases (subject to restricted payment limitations in our debt agreements) and other growth opportunities.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on hand of $97.9 million, and $311.4 million available under our Revolving Credit Facility. During the years ended December 31, 2025 and 2024, we generated $194.6 million and $269.2 million, respectively, in cash through operating activities. We currently expect to be able to meet our cash expenditure requirements for the next year and beyond utilizing cash on hand, cash flows from operations, and availability under our Revolving Credit Facility. As of December 31, 2025, we had no debt maturities until October 2027.</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which could include the deferral of payments to us during government shutdowns or the termination of contracts from our major customers, could have an adverse effect on our cash flow and financial condition. We continue to experience delays in payments from our federal customers following the most recent government shutdown, and due to newly added approval requirements of certain invoices by DHS. Our federal customers are required to pay us for services we perform including during government shutdowns, with interest, once the government reopens, and for all invoices not paid within set deadlines.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$238.5 million remaining aggregate principal amount outstanding of our 4.75% senior unsecured notes issued in October 2017 with an original principal amount of $250.0 million, or the 4.75% Senior Notes, and $500.0 million principal amount outstanding of the 8.25% Senior Notes, or collectively, the Senior Notes. In addition, we had $134.3 million outstanding under the non-recourse senior secured notes of CoreCivic of Kansas, LLC, or the Kansas Notes, with a fixed stated interest rate of 4.43%, $112.5 million outstanding under our Term Loan with a variable interest rate of 6.8%, and $245.0 million outstanding under our Revolving Credit Facility with a variable interest rate of 7.3%. We had $18.6 million of letters of credit outstanding under our Revolving Credit Facility at December 31, 2025. As of December 31, 2025, our total weighted average effective interest rate was 7.4%, while our total weighted average maturity was 4.0 years, and we have no debt maturities until 2027. In the future, we could elect to use our free cash flow to purchase outstanding senior unsecured notes in open market transactions, privately negotiated transactions or otherwise. We could also use our effective shelf registration statement to issue additional debt securities when we determine that market conditions and the opportunity to utilize the proceeds therefrom are favorable.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2025, we amended our Bank Credit Facility to, among other things, increase the size of the accordion feature that provides for uncommitted incremental extensions of credit from the greater of $200.0 million or 50% of Consolidated EBITDA for the period of four fixed quarters most recently ended to the greater of $300.0 million or 50% of Consolidated EBITDA for the period of four fixed quarters most recently ended, and to exercise the accordion feature by expanding the capacity under our revolving credit facility from $275.0 million to $575.0 million. We believe that expanding the size of our revolving credit facility provides us with enhanced balance sheet flexibility while remaining positioned for strategic investments and long-term value creation, such as through our share repurchase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provided by operating activities for the year ended December 31, 2025 was $194.6 million compared with $269.2 million in 2024. Cash provided by operating activities represents our net income plus depreciation and amortization, changes in various components of working capital, and various non-cash charges. Cash provided by operating activities was unfavorably impacted by a decrease in cash caused by changes in working capital balances of $130.1 million in 2025 compared to 2024, partially offset by an increase in facility net operating income of $50.3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flow used in investing activities was $206.1 million for the year ended December 31, 2025 and was primarily attributable to capital expenditures for facility development and expansions of $7.3 million and $133.3 million for facility maintenance and information technology capital expenditures, of which $75.0 million was for facility activations and transportation vehicles. Our net cash flow used in investing activities in 2025 also included $73.5 million primarily attributable to the acquisition of the Farmville Detention Center, partially offset by $4.9 million in net proceeds from the sale of assets, each as previously described herein.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flow used in investing activities was $53.8 million for the year ended December 31, 2024 and was primarily attributable to capital expenditures for facility development and expansions of $8.7 million and $62.4 million for facility maintenance and information technology capital expenditures, partially offset by $13.7 million in net proceeds from the sale of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flow provided by financing activities was $1.8 million for the year ended December 31, 2025 and was primarily attributable to $245.0 million of net borrowings under our Revolving Credit Facility during 2025. These cash inflows were largely offset by $12.1 million of scheduled principal repayments under our Term Loan and our non-recourse mortgage note. Cash outflows during 2025 also included $229.0 million for the share repurchase program our BOD authorized during the second quarter of 2022, as well as the purchase and retirement of stock to satisfy withholding taxes in connection with equity-based compensation.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cash flow used in financing activities was $222.2 million for the year ended December 31, 2024 and was primarily attributable to debt repayments related to the $593.1 million tender and redemption of 8.25% senior notes due in April 2026, the $4.6 million purchase of 4.75% senior notes, and $34.9 million of payments of debt defeasance, issuance and other financing related costs. In addition, our net cash flow used in financing activities was attributable to $11.6 million of scheduled principal repayments under our Term Loan and our non-recourse mortgage note. Our net cash flow used in financing activities also included $77.2 million for the share repurchase program, as well as the purchase and retirement of common stock to satisfy withholding taxes in connection with equity-based compensation. Our net cash flow used in financing activities was partially offset by the $500.0 million gross proceeds from the issuance of the 8.25% Senior Notes. We also borrowed $47.0 million on our Revolving Credit Facility, and repaid such amount during the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domestic subsidiaries of CoreCivic (as the parent corporation) that guarantee the Bank Credit Facility have provided full and unconditional guarantees of our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neither CoreCivic nor any of its subsidiary guarantors had any material or significant restrictions on CoreCivic's ability to obtain funds from its subsidiaries by dividend or loan or to transfer assets from such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8.25% Senior Notes additionally limits our ability to incur indebtedness, make restricted payments and investments and prepay certain indebtedness.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color w:val="auto"/>
              </w:rPr>
              <w:t>December 31,</w:t>
            </w: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601,230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439,388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2,317,198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2,253,129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199,771</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93,617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2,516,969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2,346,746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352,122</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271,220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1,079,337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841,208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2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277,584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179,670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1,356,921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1,020,878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6"/>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gridSpan w:val="9"/>
          </w:tcPr>
          <w:p>
            <w:pPr>
              <w:jc w:val="right"/>
              <w:ind w:right="126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2,208,608</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1,958,953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1,691,087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2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298,485</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280,093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1,989,572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154,285</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113,612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42"/>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is an important supplemental measure of our operating performance and believe it is frequently used by securities analysts, investors and other interested parties in the evaluation of REITs and other real estate operating companies, many of which present FFO when reporting results.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Normalized FFO excludes the effects of such items.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real estate operating companies and, accordingly, may not be comparable to such REITs and other real estate operating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to FFO and Normalized FFO for the years ended December 31, 2025, 2024, and 2023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116,503</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101,373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for special items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Funds From Operations</w:t>
            </w:r>
          </w:p>
        </w:tc>
        <w:tc>
          <w:tcPr>
            <w:tcW w:w="14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218,224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165,094</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associated with change in corporate</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structure and other special tax items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 impairments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220,403</w:t>
            </w:r>
          </w:p>
        </w:tc>
        <w:tc>
          <w:tcPr>
            <w:tcW w:w="1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190,114</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168,436</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580" w:type="dxa"/>
            <w:vAlign w:val="bottom"/>
          </w:tcPr>
          <w:p>
            <w:pPr>
              <w:spacing w:after="0"/>
              <w:rPr>
                <w:sz w:val="24"/>
                <w:szCs w:val="24"/>
                <w:color w:val="auto"/>
              </w:rPr>
            </w:pPr>
          </w:p>
        </w:tc>
        <w:tc>
          <w:tcPr>
            <w:tcW w:w="450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75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-1070610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-1053465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-1070610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-1053465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-1070610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-1053465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cash requirements related to borrowings, contracts and leases by the indicated period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pacing w:after="0" w:line="20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Payments Due By Year Ending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1"/>
        </w:trPr>
        <w:tc>
          <w:tcPr>
            <w:tcW w:w="44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1,230,30</w:t>
            </w:r>
          </w:p>
        </w:tc>
        <w:tc>
          <w:tcPr>
            <w:tcW w:w="100" w:type="dxa"/>
            <w:vAlign w:val="bottom"/>
            <w:shd w:val="clear" w:color="auto" w:fill="CFF0FC"/>
          </w:tcPr>
          <w:p>
            <w:pPr>
              <w:spacing w:after="0"/>
              <w:rPr>
                <w:sz w:val="16"/>
                <w:szCs w:val="16"/>
                <w:color w:val="auto"/>
              </w:rPr>
            </w:pPr>
          </w:p>
        </w:tc>
      </w:tr>
      <w:tr>
        <w:trPr>
          <w:trHeight w:val="234"/>
        </w:trPr>
        <w:tc>
          <w:tcPr>
            <w:tcW w:w="4420" w:type="dxa"/>
            <w:vAlign w:val="bottom"/>
            <w:gridSpan w:val="2"/>
            <w:shd w:val="clear" w:color="auto" w:fill="CFF0FC"/>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342,995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$ 507,985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senior and mortgage notes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215,854</w:t>
            </w:r>
          </w:p>
        </w:tc>
        <w:tc>
          <w:tcPr>
            <w:tcW w:w="100" w:type="dxa"/>
            <w:vAlign w:val="bottom"/>
          </w:tcPr>
          <w:p>
            <w:pPr>
              <w:spacing w:after="0"/>
              <w:rPr>
                <w:sz w:val="18"/>
                <w:szCs w:val="18"/>
                <w:color w:val="auto"/>
              </w:rPr>
            </w:pPr>
          </w:p>
        </w:tc>
      </w:tr>
      <w:tr>
        <w:trPr>
          <w:trHeight w:val="198"/>
        </w:trPr>
        <w:tc>
          <w:tcPr>
            <w:tcW w:w="44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Contractual facility developments and</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commitments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00" w:type="dxa"/>
            <w:vAlign w:val="bottom"/>
            <w:shd w:val="clear" w:color="auto" w:fill="CFF0FC"/>
          </w:tcPr>
          <w:p>
            <w:pPr>
              <w:spacing w:after="0"/>
              <w:rPr>
                <w:sz w:val="20"/>
                <w:szCs w:val="20"/>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Dilley Facility 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214,826</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leases</w:t>
            </w: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1"/>
        </w:trPr>
        <w:tc>
          <w:tcPr>
            <w:tcW w:w="44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1,738,61</w:t>
            </w:r>
          </w:p>
        </w:tc>
        <w:tc>
          <w:tcPr>
            <w:tcW w:w="100" w:type="dxa"/>
            <w:vAlign w:val="bottom"/>
          </w:tcPr>
          <w:p>
            <w:pPr>
              <w:spacing w:after="0"/>
              <w:rPr>
                <w:sz w:val="16"/>
                <w:szCs w:val="16"/>
                <w:color w:val="auto"/>
              </w:rPr>
            </w:pPr>
          </w:p>
        </w:tc>
      </w:tr>
      <w:tr>
        <w:trPr>
          <w:trHeight w:val="234"/>
        </w:trPr>
        <w:tc>
          <w:tcPr>
            <w:tcW w:w="442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374,717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$ 591,160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-307975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-307975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-307975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-307975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-307975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-307975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cash obligations in the table above do not include future cash obligations for variable interest expense associated with our Term Loan or the balance outstanding on our Revolving Credit Facility, if any, as projections would be based on future outstanding balances as well as future variable interest rates, and we are unable to make reliable estimates of either. Certain of our other ongoing construction projects are not currently under contract and thus are not included as a contractual obligation above as we may generally suspend or terminate such projects without substantial penalty. With respect to the Dilley Facility, the cash obligations included in the table above reflect the full contractual obligations of the lease of the site, excluding contingent payments, even though the lease agreement provides us with the ability to terminate if ICE terminates the amended IGSA associated with the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$18.6 million of letters of credit outstanding at December 31, 2025 primarily to support our requirement to repay fees and claims under our self-insured workers' compensation plan in the event we do not repay the fees and claims due in accordance with the terms of the plan, and for a debt service reserve requirement under terms of the Kansas Notes. The letters of credit are renewable annually. We did not have any draws under these outstanding letters of credit during 2025, 2024, or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contracts include provisions for inflationary indexing, which may mitigate an adverse impact of inflation on net income. However, a substantial increase in personnel costs, workers' compensation, utilities,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to changes in U.S. interest rates. We are exposed to market risk related to our Bank Credit Facility because the interest rates on these loans are subject to fluctuations in the market. If the interest rate for our outstanding indebtedness under the Bank Credit Facility was 100 basis points higher or lower (but not less than 0%) during the years ended December 31, 2025, 2024, and 2023, our interest expense, would have been increased or decreased by $1.6 million, $1.3 million, and $1.1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outstanding $238.5 million of the 4.75% Senior Notes and $500.0 million of the 8.25% Senior Notes. We also had $134.3 million outstanding under the Kansas Notes with a fixed interest rate of 4.43%. Because the interest rates with respect to these instruments are fixed, a hypothetical 100 basis point increase or decrease in market interest rates would not have a material impact on our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Times New Roman" w:cs="Times New Roman" w:eastAsia="Times New Roman" w:hAnsi="Times New Roman"/>
          <w:sz w:val="18"/>
          <w:szCs w:val="18"/>
          <w:i w:val="1"/>
          <w:iCs w:val="1"/>
          <w:color w:val="auto"/>
        </w:rPr>
        <w:t>An increase in interest rates increases the cost of our variable rate debt</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1, Item 1A</w:t>
      </w:r>
      <w:r>
        <w:rPr>
          <w:rFonts w:ascii="Times New Roman" w:cs="Times New Roman" w:eastAsia="Times New Roman" w:hAnsi="Times New Roman"/>
          <w:sz w:val="18"/>
          <w:szCs w:val="18"/>
          <w:color w:val="auto"/>
        </w:rPr>
        <w:t xml:space="preserve"> of this Annual Report on Form 10-K for more discussion on interest rate risks that may affect our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supplementary data required by Regulation S-X are included in this Annual Report on Form 10-K commencing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72"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In making this assessment, management used the criteria set forth by the Committee of Sponsoring Organizations of the Treadway Commission (COSO) in Internal Control-Integrated Framework released in 2013. Based on this assessment, management believes that, as of December 31, 2025, the Company's internal control over financial reporting was effective.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That report begins on page 90.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fourth fiscal quarter of 2025 that have materially affected, or are likely to materially affect, our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implementing a new enterprise resource planning, or ERP, system. As this phased implementation occurs during fiscal years 2026 and 2027, the Company will change its processes and procedures which, in turn, could result in changes to its internal control over financial reporting. As such changes occur, the Company will evaluate quarterly whether such changes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CoreCivic,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CoreCivic, Inc. and subsidiaries’ internal control over financial reporting as of December 31, 2025, based on criteria established in Internal Control</w:t>
      </w:r>
      <w:r>
        <w:rPr>
          <w:rFonts w:ascii="Arial" w:cs="Arial" w:eastAsia="Arial" w:hAnsi="Arial"/>
          <w:sz w:val="19"/>
          <w:szCs w:val="19"/>
          <w:color w:val="auto"/>
        </w:rPr>
        <w:t>—</w:t>
      </w:r>
      <w:r>
        <w:rPr>
          <w:rFonts w:ascii="Times New Roman" w:cs="Times New Roman" w:eastAsia="Times New Roman" w:hAnsi="Times New Roman"/>
          <w:sz w:val="18"/>
          <w:szCs w:val="18"/>
          <w:color w:val="auto"/>
        </w:rPr>
        <w:t>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stockholders' equity and cash flows for each of the three years in the period ended December 31, 2025, and the related notes and financial statement schedule listed in the Index at Item 15(2) and our report dated February 20,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below, during the three months ended December 31, 2025, no director or officer (as defined in Rule 16a-1(f) of the Securities Exchange Act of 1934, as amended) of the Company adopted or terminated a Rule 10b5-1 trading arrangement or non-Rule 10b5-1 trading arrangement (in each case, as defined in Item 408 of Regulation S-K) for the purchase or sale of the Company’s securities.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2025, Cole Carter, Executive Vice President and Chief Administrative Officer, adopted a Rule 10b5-1 trading arrangement for the sale of up to 100,000 shares of the Company’s common stock that is intended to satisfy the affirmative defense of Rule 10b5-1(c). Mr. Carter's Rule 10b5-1 trading arrangement terminates on the earlier of October 1, 2026 or the date such shares are all sold.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appear in, and is hereby incorporated by reference from, the information under the headings "Proposal 1 – Election of Directors – Incumbent Directors Standing for Re-Election," "Executive Officers," "Corporate Governance – Board Meetings and Committees," "Corporate Governance – Director Independence," "Corporate Governance – Certain Relationships and Related Party Transactions," "Corporate Governance – Insider Trading Policy," and, if applicable, "Security Ownership of Certain Beneficial Owners and Management – Delinquent Section 16(a) Reports" in our definitive proxy statement for the 2026 Annual Meeting of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will appear in, and is hereby incorporated by reference from, the information under the headings "Corporate Governance – Equity Grant Practices" and "Executive and Director Compensation" in our definitive proxy statement for the 2026 Annual Meeting of Stockholders.</w:t>
      </w:r>
    </w:p>
    <w:p>
      <w:pPr>
        <w:spacing w:after="0" w:line="280" w:lineRule="exact"/>
        <w:rPr>
          <w:sz w:val="20"/>
          <w:szCs w:val="20"/>
          <w:color w:val="auto"/>
        </w:rPr>
      </w:pPr>
    </w:p>
    <w:p>
      <w:pPr>
        <w:jc w:val="both"/>
        <w:ind w:left="1020" w:hanging="1017"/>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 NERS AND MANAGEMENT AND RELATED STOCKHOLDER MATTERS.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12 will appear in, and is hereby incorporated by reference from, the information under the heading "Security Ownership of Certain Beneficial Owners and Management – Ownership of Common Stock – Directors and Executive Officers," and "Security Ownership of Certain Beneficial Owners and Management – Ownership of Common Stock – Principal Stockholders" in our definitive proxy statement for the 2026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2025 regarding compensation plans under which our equity securities are authorized for issuance.</w:t>
      </w:r>
    </w:p>
    <w:tbl>
      <w:tblPr>
        <w:tblLayout w:type="fixed"/>
        <w:tblInd w:w="2720" w:type="dxa"/>
        <w:tblCellMar>
          <w:top w:w="0" w:type="dxa"/>
          <w:left w:w="0" w:type="dxa"/>
          <w:bottom w:w="0" w:type="dxa"/>
          <w:right w:w="0" w:type="dxa"/>
        </w:tblCellMar>
      </w:tblPr>
      <w:tr>
        <w:trPr>
          <w:trHeight w:val="131"/>
        </w:trPr>
        <w:tc>
          <w:tcPr>
            <w:tcW w:w="2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20" w:type="dxa"/>
            <w:vAlign w:val="bottom"/>
          </w:tcPr>
          <w:p>
            <w:pPr>
              <w:jc w:val="center"/>
              <w:ind w:left="208"/>
              <w:spacing w:after="0" w:line="131"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2760" w:type="dxa"/>
            <w:vAlign w:val="bottom"/>
          </w:tcPr>
          <w:p>
            <w:pPr>
              <w:jc w:val="center"/>
              <w:ind w:left="1128"/>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320" w:type="dxa"/>
            <w:vAlign w:val="bottom"/>
          </w:tcPr>
          <w:p>
            <w:pPr>
              <w:jc w:val="center"/>
              <w:ind w:left="208"/>
              <w:spacing w:after="0" w:line="160"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13"/>
                <w:szCs w:val="13"/>
                <w:color w:val="auto"/>
              </w:rPr>
            </w:pPr>
          </w:p>
        </w:tc>
        <w:tc>
          <w:tcPr>
            <w:tcW w:w="2760" w:type="dxa"/>
            <w:vAlign w:val="bottom"/>
          </w:tcPr>
          <w:p>
            <w:pPr>
              <w:jc w:val="center"/>
              <w:ind w:left="1128"/>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vMerge w:val="continue"/>
          </w:tcPr>
          <w:p>
            <w:pPr>
              <w:spacing w:after="0"/>
              <w:rPr>
                <w:sz w:val="13"/>
                <w:szCs w:val="13"/>
                <w:color w:val="auto"/>
              </w:rPr>
            </w:pPr>
          </w:p>
        </w:tc>
        <w:tc>
          <w:tcPr>
            <w:tcW w:w="1320" w:type="dxa"/>
            <w:vAlign w:val="bottom"/>
          </w:tcPr>
          <w:p>
            <w:pPr>
              <w:jc w:val="center"/>
              <w:ind w:left="208"/>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76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76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6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73"/>
        </w:trPr>
        <w:tc>
          <w:tcPr>
            <w:tcW w:w="2380" w:type="dxa"/>
            <w:vAlign w:val="bottom"/>
            <w:vMerge w:val="continue"/>
          </w:tcPr>
          <w:p>
            <w:pPr>
              <w:spacing w:after="0"/>
              <w:rPr>
                <w:sz w:val="15"/>
                <w:szCs w:val="15"/>
                <w:color w:val="auto"/>
              </w:rPr>
            </w:pPr>
          </w:p>
        </w:tc>
        <w:tc>
          <w:tcPr>
            <w:tcW w:w="2760" w:type="dxa"/>
            <w:vAlign w:val="bottom"/>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4,373,208</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00" w:type="dxa"/>
            <w:vAlign w:val="bottom"/>
          </w:tcPr>
          <w:p>
            <w:pPr>
              <w:spacing w:after="0"/>
              <w:rPr>
                <w:sz w:val="17"/>
                <w:szCs w:val="17"/>
                <w:color w:val="auto"/>
              </w:rPr>
            </w:pPr>
          </w:p>
        </w:tc>
        <w:tc>
          <w:tcPr>
            <w:tcW w:w="13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4,373,208</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520" w:right="20" w:hanging="512"/>
        <w:spacing w:after="0" w:line="298" w:lineRule="auto"/>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common stock available for issuance under our Amended and Restated 2020 Stock Incentive Plan, the only equity compensation plan approved by our stockholders under which we continue to grant awards.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PARTY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2026 Annual Meeting of Stockholders.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appear in, and is hereby incorporated by reference from, the information under the heading "Proposal 2 – Non-Binding Ratification of Appointment of Independent Registered Public Accounting Firm" in our definitive proxy statement for the 2026 Annual Meeting of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1040" w:hanging="84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set forth under Item 8 of this Annual Report on Form 10-K have been filed herewith, beginning on page F-1 of this Annual Report.</w:t>
      </w:r>
    </w:p>
    <w:p>
      <w:pPr>
        <w:spacing w:after="0" w:line="53" w:lineRule="exact"/>
        <w:rPr>
          <w:rFonts w:ascii="Times New Roman" w:cs="Times New Roman" w:eastAsia="Times New Roman" w:hAnsi="Times New Roman"/>
          <w:sz w:val="18"/>
          <w:szCs w:val="18"/>
          <w:color w:val="auto"/>
        </w:rPr>
      </w:pPr>
    </w:p>
    <w:p>
      <w:pPr>
        <w:ind w:left="1020" w:hanging="825"/>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III-Real Estate Assets and Accumulated Depreciation.</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this item begins on page F-38 of this Annual Report on Form 10-K. Other schedules are omitted because of the absence of conditions under which they are required or because the required information is given in the financial statements or notes thereto.</w:t>
      </w:r>
    </w:p>
    <w:p>
      <w:pPr>
        <w:spacing w:after="0" w:line="53" w:lineRule="exact"/>
        <w:rPr>
          <w:rFonts w:ascii="Times New Roman" w:cs="Times New Roman" w:eastAsia="Times New Roman" w:hAnsi="Times New Roman"/>
          <w:sz w:val="18"/>
          <w:szCs w:val="18"/>
          <w:color w:val="auto"/>
        </w:rPr>
      </w:pPr>
    </w:p>
    <w:p>
      <w:pPr>
        <w:ind w:left="1020" w:hanging="825"/>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1260" w:hanging="234"/>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ind w:left="1020" w:right="20" w:firstLine="6"/>
        <w:spacing w:after="0" w:line="282" w:lineRule="auto"/>
        <w:tabs>
          <w:tab w:leader="none" w:pos="13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or 601(b)(2) of Regulation S-K, as applicable, certain schedules and exhibits to this exhibit are omitted from this filing. The Company agrees to furnish supplementally a copy of any omitted schedule or exhibit to the SEC upon request.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6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tc>
      </w:tr>
      <w:tr>
        <w:trPr>
          <w:trHeight w:val="306"/>
        </w:trPr>
        <w:tc>
          <w:tcPr>
            <w:tcW w:w="620" w:type="dxa"/>
            <w:vAlign w:val="bottom"/>
          </w:tcPr>
          <w:p>
            <w:pPr>
              <w:spacing w:after="0"/>
              <w:rPr>
                <w:sz w:val="24"/>
                <w:szCs w:val="24"/>
                <w:color w:val="auto"/>
              </w:rPr>
            </w:pPr>
          </w:p>
        </w:tc>
        <w:tc>
          <w:tcPr>
            <w:tcW w:w="106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Other exhibits have previously been filed with the Securities and Exchange Commission (the "Commission") and are incorporated herein by</w:t>
            </w:r>
          </w:p>
        </w:tc>
      </w:tr>
      <w:tr>
        <w:trPr>
          <w:trHeight w:val="234"/>
        </w:trPr>
        <w:tc>
          <w:tcPr>
            <w:tcW w:w="620" w:type="dxa"/>
            <w:vAlign w:val="bottom"/>
          </w:tcPr>
          <w:p>
            <w:pPr>
              <w:spacing w:after="0"/>
              <w:rPr>
                <w:sz w:val="20"/>
                <w:szCs w:val="20"/>
                <w:color w:val="auto"/>
              </w:rPr>
            </w:pPr>
          </w:p>
        </w:tc>
        <w:tc>
          <w:tcPr>
            <w:tcW w:w="106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reference:</w:t>
            </w:r>
          </w:p>
        </w:tc>
      </w:tr>
      <w:tr>
        <w:trPr>
          <w:trHeight w:val="391"/>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 xml:space="preserve">Articles of Amendment and Restatement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w:t>
            </w: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(Commission File no. 001-16109), filed with the Commission on May 20, 2013 and incorporated herein by this reference).</w:t>
            </w:r>
          </w:p>
        </w:tc>
      </w:tr>
      <w:tr>
        <w:trPr>
          <w:trHeight w:val="29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 xml:space="preserve">Articles of Amendment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 (Commission File</w:t>
            </w: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001-16109), filed with the Commission on November 10, 2016 and incorporated herein by this reference).</w:t>
            </w:r>
          </w:p>
        </w:tc>
      </w:tr>
      <w:tr>
        <w:trPr>
          <w:trHeight w:val="29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3.3</w:t>
            </w:r>
          </w:p>
        </w:tc>
        <w:tc>
          <w:tcPr>
            <w:tcW w:w="58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 xml:space="preserve">Eleventh Amended and Restated Bylaws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w:t>
            </w: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(Commission File no. 001-16109), filed with the Commission on December 15, 2023 and incorporated herein by this reference).</w:t>
            </w:r>
          </w:p>
        </w:tc>
      </w:tr>
      <w:tr>
        <w:trPr>
          <w:trHeight w:val="29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4.1</w:t>
            </w:r>
          </w:p>
        </w:tc>
        <w:tc>
          <w:tcPr>
            <w:tcW w:w="58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 xml:space="preserve">Specimen of certificate representing shares of the Company's Common Stock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4.1 to the Company's Current</w:t>
            </w: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tcBorders>
              <w:right w:val="single" w:sz="8" w:color="0000EE"/>
            </w:tcBorders>
            <w:gridSpan w:val="3"/>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8"/>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November 10, 2016 and incorporated herein by this</w:t>
            </w:r>
          </w:p>
        </w:tc>
      </w:tr>
      <w:tr>
        <w:trPr>
          <w:trHeight w:val="234"/>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391"/>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4.2</w:t>
            </w:r>
          </w:p>
        </w:tc>
        <w:tc>
          <w:tcPr>
            <w:tcW w:w="58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Indenture (2022 Notes, 2026 Notes and 2027 Notes), dated as of September 25, 2015, by and between the Company and U.S. Bank</w:t>
              </w:r>
            </w:hyperlink>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 xml:space="preserve">National Association, as Trustee </w:t>
              </w:r>
              <w:r>
                <w:rPr>
                  <w:rFonts w:ascii="Times New Roman" w:cs="Times New Roman" w:eastAsia="Times New Roman" w:hAnsi="Times New Roman"/>
                  <w:sz w:val="18"/>
                  <w:szCs w:val="18"/>
                  <w:color w:val="000000"/>
                </w:rPr>
                <w:t>(previously filed as Exhibit 4.1 to the Company's Current Report on Form 8-K (Commission File no. 001-</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16109), filed with the Commission on September 25, 2015 and incorporated herein by this reference).</w:t>
            </w:r>
          </w:p>
        </w:tc>
      </w:tr>
      <w:tr>
        <w:trPr>
          <w:trHeight w:val="29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4.3</w:t>
            </w:r>
          </w:p>
        </w:tc>
        <w:tc>
          <w:tcPr>
            <w:tcW w:w="580" w:type="dxa"/>
            <w:vAlign w:val="bottom"/>
          </w:tcPr>
          <w:p>
            <w:pPr>
              <w:spacing w:after="0"/>
              <w:rPr>
                <w:sz w:val="24"/>
                <w:szCs w:val="24"/>
                <w:color w:val="auto"/>
              </w:rPr>
            </w:pPr>
          </w:p>
        </w:tc>
        <w:tc>
          <w:tcPr>
            <w:tcW w:w="87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Indenture, (2029 Notes), dated as of March 12, 2024, by and among the Company and Equiniti Trust Company, LLC, as</w:t>
              </w:r>
            </w:hyperlink>
          </w:p>
        </w:tc>
        <w:tc>
          <w:tcPr>
            <w:tcW w:w="132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 xml:space="preserve">Trustee </w:t>
              </w:r>
              <w:r>
                <w:rPr>
                  <w:rFonts w:ascii="Times New Roman" w:cs="Times New Roman" w:eastAsia="Times New Roman" w:hAnsi="Times New Roman"/>
                  <w:sz w:val="18"/>
                  <w:szCs w:val="18"/>
                  <w:color w:val="000000"/>
                </w:rPr>
                <w:t xml:space="preserve">(previously filed as Exhibit 4.1 to the Company's Current Report on Form 8-K (Commission File no. 001-16109), </w:t>
              </w:r>
            </w:hyperlink>
            <w:r>
              <w:rPr>
                <w:rFonts w:ascii="Times New Roman" w:cs="Times New Roman" w:eastAsia="Times New Roman" w:hAnsi="Times New Roman"/>
                <w:sz w:val="18"/>
                <w:szCs w:val="18"/>
                <w:color w:val="0000FF"/>
              </w:rPr>
              <w:t xml:space="preserve">filed </w:t>
            </w:r>
            <w:r>
              <w:rPr>
                <w:rFonts w:ascii="Times New Roman" w:cs="Times New Roman" w:eastAsia="Times New Roman" w:hAnsi="Times New Roman"/>
                <w:sz w:val="18"/>
                <w:szCs w:val="18"/>
                <w:color w:val="000000"/>
              </w:rPr>
              <w:t>with the</w:t>
            </w: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Commission on March 12, 2024 and incorporated herein by this reference).</w:t>
            </w:r>
          </w:p>
        </w:tc>
      </w:tr>
      <w:tr>
        <w:trPr>
          <w:trHeight w:val="29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4.4</w:t>
            </w:r>
          </w:p>
        </w:tc>
        <w:tc>
          <w:tcPr>
            <w:tcW w:w="58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 xml:space="preserve">Form of 4.75% Senior Note due 2027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A to Exhibit 4.10 hereof).</w:t>
            </w:r>
          </w:p>
        </w:tc>
      </w:tr>
      <w:tr>
        <w:trPr>
          <w:trHeight w:val="790"/>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tcBorders>
              <w:top w:val="single" w:sz="8" w:color="0000FF"/>
            </w:tcBorders>
            <w:gridSpan w:val="3"/>
          </w:tcPr>
          <w:p>
            <w:pPr>
              <w:spacing w:after="0"/>
              <w:rPr>
                <w:sz w:val="24"/>
                <w:szCs w:val="24"/>
                <w:color w:val="auto"/>
              </w:rPr>
            </w:pPr>
          </w:p>
        </w:tc>
        <w:tc>
          <w:tcPr>
            <w:tcW w:w="304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94</w:t>
            </w:r>
          </w:p>
        </w:tc>
        <w:tc>
          <w:tcPr>
            <w:tcW w:w="29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040" w:type="dxa"/>
            <w:vAlign w:val="bottom"/>
            <w:gridSpan w:val="13"/>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 xml:space="preserve">Form of 8.25% Senior Note due 2029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4.3 to the Company's Current Report on Form 8-K (Commission File no.</w:t>
            </w:r>
          </w:p>
        </w:tc>
      </w:tr>
      <w:tr>
        <w:trPr>
          <w:trHeight w:val="20"/>
        </w:trPr>
        <w:tc>
          <w:tcPr>
            <w:tcW w:w="1200" w:type="dxa"/>
            <w:vAlign w:val="bottom"/>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12, 2024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Second Supplemental Indenture (2027 Notes), dated as of October 13, 2017, by and among the Company, the Guarantors, and U.S. Bank</w:t>
              </w:r>
            </w:hyperlink>
          </w:p>
        </w:tc>
      </w:tr>
      <w:tr>
        <w:trPr>
          <w:trHeight w:val="20"/>
        </w:trPr>
        <w:tc>
          <w:tcPr>
            <w:tcW w:w="1200" w:type="dxa"/>
            <w:vAlign w:val="bottom"/>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 xml:space="preserve">National Association, as Trustee </w:t>
              </w:r>
              <w:r>
                <w:rPr>
                  <w:rFonts w:ascii="Times New Roman" w:cs="Times New Roman" w:eastAsia="Times New Roman" w:hAnsi="Times New Roman"/>
                  <w:sz w:val="18"/>
                  <w:szCs w:val="18"/>
                  <w:color w:val="000000"/>
                  <w:w w:val="99"/>
                </w:rPr>
                <w:t>(previously filed as Exhibit 4.2 to the Company's Current Report on Form 8-K (Commission File no. 001-</w:t>
              </w:r>
            </w:hyperlink>
          </w:p>
        </w:tc>
      </w:tr>
      <w:tr>
        <w:trPr>
          <w:trHeight w:val="20"/>
        </w:trPr>
        <w:tc>
          <w:tcPr>
            <w:tcW w:w="1200" w:type="dxa"/>
            <w:vAlign w:val="bottom"/>
          </w:tcPr>
          <w:p>
            <w:pPr>
              <w:spacing w:after="0" w:line="20" w:lineRule="exact"/>
              <w:rPr>
                <w:sz w:val="1"/>
                <w:szCs w:val="1"/>
                <w:color w:val="auto"/>
              </w:rPr>
            </w:pPr>
          </w:p>
        </w:tc>
        <w:tc>
          <w:tcPr>
            <w:tcW w:w="2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16109), filed with the Commission on October 13, 2017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Supplemental Indenture (2027 Notes), dated as of January 7, 2019, by and among the Company, certain of its subsidiaries, and Regions</w:t>
              </w:r>
            </w:hyperlink>
          </w:p>
        </w:tc>
      </w:tr>
      <w:tr>
        <w:trPr>
          <w:trHeight w:val="196"/>
        </w:trPr>
        <w:tc>
          <w:tcPr>
            <w:tcW w:w="120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4.4 to the Company's Quarterly</w:t>
              </w:r>
            </w:hyperlink>
          </w:p>
        </w:tc>
      </w:tr>
      <w:tr>
        <w:trPr>
          <w:trHeight w:val="20"/>
        </w:trPr>
        <w:tc>
          <w:tcPr>
            <w:tcW w:w="1200" w:type="dxa"/>
            <w:vAlign w:val="bottom"/>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9, 2019 and incorporated herein by this</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Supplemental Indenture (2027 Notes), dated as of February 3, 2020, by and among the Company, certain of its subsidiaries, and Regions</w:t>
              </w:r>
            </w:hyperlink>
          </w:p>
        </w:tc>
      </w:tr>
      <w:tr>
        <w:trPr>
          <w:trHeight w:val="196"/>
        </w:trPr>
        <w:tc>
          <w:tcPr>
            <w:tcW w:w="120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4.3 to the Company's Quarterly</w:t>
              </w:r>
            </w:hyperlink>
          </w:p>
        </w:tc>
      </w:tr>
      <w:tr>
        <w:trPr>
          <w:trHeight w:val="20"/>
        </w:trPr>
        <w:tc>
          <w:tcPr>
            <w:tcW w:w="1200" w:type="dxa"/>
            <w:vAlign w:val="bottom"/>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7, 2020 and incorporated herein by this</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Supplemental Indenture (2029 Notes) dated as of March 12, 2024, by and among the Company, certain subsidiary guarantors and Equiniti</w:t>
              </w:r>
            </w:hyperlink>
          </w:p>
        </w:tc>
      </w:tr>
      <w:tr>
        <w:trPr>
          <w:trHeight w:val="196"/>
        </w:trPr>
        <w:tc>
          <w:tcPr>
            <w:tcW w:w="120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 xml:space="preserve">Trust Company, LLC, as Trustee </w:t>
              </w:r>
              <w:r>
                <w:rPr>
                  <w:rFonts w:ascii="Times New Roman" w:cs="Times New Roman" w:eastAsia="Times New Roman" w:hAnsi="Times New Roman"/>
                  <w:sz w:val="18"/>
                  <w:szCs w:val="18"/>
                  <w:color w:val="000000"/>
                </w:rPr>
                <w:t>(previously filed as Exhibit 4.2 to the Company's Current Report on Form 8-K (Commission File no.</w:t>
              </w:r>
            </w:hyperlink>
          </w:p>
        </w:tc>
      </w:tr>
      <w:tr>
        <w:trPr>
          <w:trHeight w:val="20"/>
        </w:trPr>
        <w:tc>
          <w:tcPr>
            <w:tcW w:w="1200" w:type="dxa"/>
            <w:vAlign w:val="bottom"/>
          </w:tcPr>
          <w:p>
            <w:pPr>
              <w:spacing w:after="0" w:line="20" w:lineRule="exact"/>
              <w:rPr>
                <w:sz w:val="1"/>
                <w:szCs w:val="1"/>
                <w:color w:val="auto"/>
              </w:rPr>
            </w:pPr>
          </w:p>
        </w:tc>
        <w:tc>
          <w:tcPr>
            <w:tcW w:w="24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12, 2024 and incorporated herein by this reference).</w:t>
            </w:r>
          </w:p>
        </w:tc>
      </w:tr>
      <w:tr>
        <w:trPr>
          <w:trHeight w:val="39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040" w:type="dxa"/>
            <w:vAlign w:val="bottom"/>
            <w:gridSpan w:val="13"/>
          </w:tcPr>
          <w:p>
            <w:pPr>
              <w:spacing w:after="0"/>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 xml:space="preserve">Description of Securities of CoreCivic, Inc.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4.16 to the Company's Current Report on Form 10-K (Commission</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 no. 001-16109), filed with the Commission on February 20, 2024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 xml:space="preserve">Fourth Amended and Restated Credit Agreement, dated October 11, 2023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October 12, 2023 and incorporated herein by this</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39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First Amendment to Fourth Amended and Restated Credit Agreement, dated December 1, 2025, to the Fourth Amended and Restated</w:t>
              </w:r>
            </w:hyperlink>
          </w:p>
        </w:tc>
      </w:tr>
      <w:tr>
        <w:trPr>
          <w:trHeight w:val="196"/>
        </w:trPr>
        <w:tc>
          <w:tcPr>
            <w:tcW w:w="120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 xml:space="preserve">Credit Agreement, dated as of October 11, 2023 </w:t>
              </w:r>
              <w:r>
                <w:rPr>
                  <w:rFonts w:ascii="Times New Roman" w:cs="Times New Roman" w:eastAsia="Times New Roman" w:hAnsi="Times New Roman"/>
                  <w:sz w:val="18"/>
                  <w:szCs w:val="18"/>
                  <w:color w:val="000000"/>
                </w:rPr>
                <w:t>(previously filed as Exhibit 10.1 to the Company's Current Report on Form 8-K</w:t>
              </w:r>
            </w:hyperlink>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(Commission File no. 001-16109), filed with the Commission on December 2, 2025 and incorporated herein by this reference).</w:t>
            </w:r>
          </w:p>
        </w:tc>
      </w:tr>
      <w:tr>
        <w:trPr>
          <w:trHeight w:val="4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 xml:space="preserve">The Company's Non-Employee Directors'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Appendix C to the Company's definitive Proxy</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Statement relating to its Annual Meeting of Stockholders (Commission File no. 001-16109), filed with the Commission on April 11, 2003</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 xml:space="preserve">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August 16, 2007 and incorporated herein by this</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 xml:space="preserve">Amendment to the 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10.35 to the</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tcBorders>
              <w:right w:val="single" w:sz="8" w:color="0000EE"/>
            </w:tcBorders>
            <w:gridSpan w:val="5"/>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Company's Annual Report on Form 10-K (Commission File no. 001-16109), filed with the Commission on February 24, 2010 and</w:t>
            </w:r>
          </w:p>
        </w:tc>
      </w:tr>
      <w:tr>
        <w:trPr>
          <w:trHeight w:val="234"/>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13"/>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 xml:space="preserve">Amended and Restated Executive Deferred Compensation Plan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10.2 to the Company's Current Report on Form</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8-K (Commission File no. 001-16109), filed with the Commission on August 16, 2007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13"/>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 xml:space="preserve">Form of Indemnification Agreement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10.1 to the Company's Current Report on Form 8-K (Commission File no.</w:t>
            </w:r>
          </w:p>
        </w:tc>
      </w:tr>
      <w:tr>
        <w:trPr>
          <w:trHeight w:val="20"/>
        </w:trPr>
        <w:tc>
          <w:tcPr>
            <w:tcW w:w="1200" w:type="dxa"/>
            <w:vAlign w:val="bottom"/>
          </w:tcPr>
          <w:p>
            <w:pPr>
              <w:spacing w:after="0" w:line="20" w:lineRule="exact"/>
              <w:rPr>
                <w:sz w:val="1"/>
                <w:szCs w:val="1"/>
                <w:color w:val="auto"/>
              </w:rPr>
            </w:pPr>
          </w:p>
        </w:tc>
        <w:tc>
          <w:tcPr>
            <w:tcW w:w="264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August 18, 2009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 xml:space="preserve">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 Form 8-K (Commission</w:t>
            </w:r>
          </w:p>
        </w:tc>
      </w:tr>
      <w:tr>
        <w:trPr>
          <w:trHeight w:val="20"/>
        </w:trPr>
        <w:tc>
          <w:tcPr>
            <w:tcW w:w="1200" w:type="dxa"/>
            <w:vAlign w:val="bottom"/>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 no. 001-16109), filed with the Commission on May 18, 2020 and incorporated herein by this reference).</w:t>
            </w:r>
          </w:p>
        </w:tc>
      </w:tr>
      <w:tr>
        <w:trPr>
          <w:trHeight w:val="648"/>
        </w:trPr>
        <w:tc>
          <w:tcPr>
            <w:tcW w:w="1200" w:type="dxa"/>
            <w:vAlign w:val="bottom"/>
          </w:tcPr>
          <w:p>
            <w:pPr>
              <w:spacing w:after="0"/>
              <w:rPr>
                <w:sz w:val="24"/>
                <w:szCs w:val="24"/>
                <w:color w:val="auto"/>
              </w:rPr>
            </w:pPr>
          </w:p>
        </w:tc>
        <w:tc>
          <w:tcPr>
            <w:tcW w:w="4580" w:type="dxa"/>
            <w:vAlign w:val="bottom"/>
            <w:gridSpan w:val="7"/>
          </w:tcPr>
          <w:p>
            <w:pPr>
              <w:ind w:left="434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 xml:space="preserve">Form of Executive Time-Based Restricted Share Unit Award Agreement for 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(Commission File no. 001-16109), filed with the Commission on August 6,</w:t>
            </w:r>
          </w:p>
        </w:tc>
      </w:tr>
      <w:tr>
        <w:trPr>
          <w:trHeight w:val="234"/>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2020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 xml:space="preserve">Form of Executive Performance-Based Restricted Share Unit Award Agreement for the Company's 2020 Stock Incentive Plan </w:t>
              </w:r>
            </w:hyperlink>
            <w:r>
              <w:rPr>
                <w:rFonts w:ascii="Times New Roman" w:cs="Times New Roman" w:eastAsia="Times New Roman" w:hAnsi="Times New Roman"/>
                <w:sz w:val="18"/>
                <w:szCs w:val="18"/>
                <w:color w:val="000000"/>
              </w:rPr>
              <w:t>(previously</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filed as Exhibit 10.2 to the Company's Quarterly Report on Form 10-Q (Commission File no. 001-16109), filed with the Commission on</w:t>
            </w:r>
          </w:p>
        </w:tc>
      </w:tr>
      <w:tr>
        <w:trPr>
          <w:trHeight w:val="234"/>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August 6, 2020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 xml:space="preserve">Form of Non-Employee Director Restricted Share Unit Agreement for 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Exhibit 10.3 to the Company's Quarterly Report on Form 10-Q (Commission File no. 001-16109), filed with the Commission on August 6,</w:t>
            </w:r>
          </w:p>
        </w:tc>
      </w:tr>
      <w:tr>
        <w:trPr>
          <w:trHeight w:val="234"/>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2020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Non-Employee Director Restricted Share Unit Agreement with deferral provisions for the Company's 2020 Stock Incentive</w:t>
              </w:r>
            </w:hyperlink>
          </w:p>
        </w:tc>
      </w:tr>
      <w:tr>
        <w:trPr>
          <w:trHeight w:val="196"/>
        </w:trPr>
        <w:tc>
          <w:tcPr>
            <w:tcW w:w="1200" w:type="dxa"/>
            <w:vAlign w:val="bottom"/>
          </w:tcPr>
          <w:p>
            <w:pPr>
              <w:spacing w:after="0"/>
              <w:rPr>
                <w:sz w:val="17"/>
                <w:szCs w:val="17"/>
                <w:color w:val="auto"/>
              </w:rPr>
            </w:pPr>
          </w:p>
        </w:tc>
        <w:tc>
          <w:tcPr>
            <w:tcW w:w="10040" w:type="dxa"/>
            <w:vAlign w:val="bottom"/>
            <w:gridSpan w:val="16"/>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 xml:space="preserve">Plan </w:t>
              </w:r>
              <w:r>
                <w:rPr>
                  <w:rFonts w:ascii="Times New Roman" w:cs="Times New Roman" w:eastAsia="Times New Roman" w:hAnsi="Times New Roman"/>
                  <w:sz w:val="18"/>
                  <w:szCs w:val="18"/>
                  <w:color w:val="000000"/>
                </w:rPr>
                <w:t>(previously filed as Exhibit 10.4 to the Company's Quarterly Report on Form 10-Q (Commission File no. 001-16109), filed with the</w:t>
              </w:r>
            </w:hyperlink>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Commission on August 6, 2020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 xml:space="preserve">The Company's Amended and Restated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0"/>
        </w:trPr>
        <w:tc>
          <w:tcPr>
            <w:tcW w:w="1200" w:type="dxa"/>
            <w:vAlign w:val="bottom"/>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May 16, 2022 and incorporated herein by this reference).</w:t>
            </w: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 xml:space="preserve">CoreCivic, Inc. Amended and Restated Executive Severance and Change in Control Plan, adopted July 17, 2025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w:t>
            </w:r>
          </w:p>
        </w:tc>
      </w:tr>
      <w:tr>
        <w:trPr>
          <w:trHeight w:val="20"/>
        </w:trPr>
        <w:tc>
          <w:tcPr>
            <w:tcW w:w="1200" w:type="dxa"/>
            <w:vAlign w:val="bottom"/>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Exhibit 10.1 to the Company's Current Report on Form 8-K (Commission File no. 001-16109), filed with the Commission on July 18, 2025</w:t>
            </w:r>
          </w:p>
        </w:tc>
      </w:tr>
      <w:tr>
        <w:trPr>
          <w:trHeight w:val="234"/>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and incorporated herein by this reference).</w:t>
            </w:r>
          </w:p>
        </w:tc>
      </w:tr>
      <w:tr>
        <w:trPr>
          <w:trHeight w:val="37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 xml:space="preserve">Transition Agreement, dated as of August 14, 2025, by and between the Company and Damon T. Hininger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w:t>
            </w:r>
          </w:p>
        </w:tc>
      </w:tr>
      <w:tr>
        <w:trPr>
          <w:trHeight w:val="20"/>
        </w:trPr>
        <w:tc>
          <w:tcPr>
            <w:tcW w:w="1200" w:type="dxa"/>
            <w:vAlign w:val="bottom"/>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00" w:type="dxa"/>
            <w:vAlign w:val="bottom"/>
          </w:tcPr>
          <w:p>
            <w:pPr>
              <w:spacing w:after="0"/>
              <w:rPr>
                <w:sz w:val="18"/>
                <w:szCs w:val="18"/>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 to the Company's Current Report on Form 8-K (Commission File no. 001-16109), filed with the Commission on August 18, 2025 and</w:t>
            </w:r>
          </w:p>
        </w:tc>
      </w:tr>
      <w:tr>
        <w:trPr>
          <w:trHeight w:val="234"/>
        </w:trPr>
        <w:tc>
          <w:tcPr>
            <w:tcW w:w="120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37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Third Amended and Restated Insider Trading Guidelines</w:t>
            </w:r>
          </w:p>
        </w:tc>
        <w:tc>
          <w:tcPr>
            <w:tcW w:w="5900" w:type="dxa"/>
            <w:vAlign w:val="bottom"/>
            <w:gridSpan w:val="11"/>
          </w:tcPr>
          <w:p>
            <w:pPr>
              <w:spacing w:after="0"/>
              <w:rPr>
                <w:sz w:val="24"/>
                <w:szCs w:val="24"/>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200" w:type="dxa"/>
            <w:vAlign w:val="bottom"/>
          </w:tcPr>
          <w:p>
            <w:pPr>
              <w:spacing w:after="0" w:line="20" w:lineRule="exact"/>
              <w:rPr>
                <w:sz w:val="1"/>
                <w:szCs w:val="1"/>
                <w:color w:val="auto"/>
              </w:rPr>
            </w:pPr>
          </w:p>
        </w:tc>
        <w:tc>
          <w:tcPr>
            <w:tcW w:w="21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2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List of Guarantor Subsidiaries.</w:t>
            </w:r>
          </w:p>
        </w:tc>
        <w:tc>
          <w:tcPr>
            <w:tcW w:w="20" w:type="dxa"/>
            <w:vAlign w:val="bottom"/>
            <w:tcBorders>
              <w:bottom w:val="single" w:sz="8" w:color="0000EE"/>
            </w:tcBorders>
          </w:tcPr>
          <w:p>
            <w:pPr>
              <w:spacing w:after="0"/>
              <w:rPr>
                <w:sz w:val="24"/>
                <w:szCs w:val="24"/>
                <w:color w:val="auto"/>
              </w:rPr>
            </w:pPr>
          </w:p>
        </w:tc>
        <w:tc>
          <w:tcPr>
            <w:tcW w:w="7800" w:type="dxa"/>
            <w:vAlign w:val="bottom"/>
            <w:gridSpan w:val="12"/>
          </w:tcPr>
          <w:p>
            <w:pPr>
              <w:spacing w:after="0"/>
              <w:rPr>
                <w:sz w:val="24"/>
                <w:szCs w:val="24"/>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660" w:type="dxa"/>
            <w:vAlign w:val="bottom"/>
            <w:gridSpan w:val="8"/>
          </w:tcPr>
          <w:p>
            <w:pPr>
              <w:spacing w:after="0"/>
              <w:rPr>
                <w:sz w:val="24"/>
                <w:szCs w:val="24"/>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Securities and Exchange Act Rules 13a-14(a) and 15d-14(a), as</w:t>
            </w:r>
          </w:p>
        </w:tc>
      </w:tr>
      <w:tr>
        <w:trPr>
          <w:trHeight w:val="196"/>
        </w:trPr>
        <w:tc>
          <w:tcPr>
            <w:tcW w:w="1200" w:type="dxa"/>
            <w:vAlign w:val="bottom"/>
          </w:tcPr>
          <w:p>
            <w:pPr>
              <w:spacing w:after="0"/>
              <w:rPr>
                <w:sz w:val="17"/>
                <w:szCs w:val="17"/>
                <w:color w:val="auto"/>
              </w:rPr>
            </w:pPr>
          </w:p>
        </w:tc>
        <w:tc>
          <w:tcPr>
            <w:tcW w:w="49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00" w:type="dxa"/>
            <w:vAlign w:val="bottom"/>
            <w:gridSpan w:val="5"/>
          </w:tcPr>
          <w:p>
            <w:pPr>
              <w:spacing w:after="0"/>
              <w:rPr>
                <w:sz w:val="17"/>
                <w:szCs w:val="17"/>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 pursuant to Securities and Exchange Act Rules 13a-14(a) and 15d-14(a), as adopted</w:t>
            </w:r>
          </w:p>
        </w:tc>
      </w:tr>
      <w:tr>
        <w:trPr>
          <w:trHeight w:val="196"/>
        </w:trPr>
        <w:tc>
          <w:tcPr>
            <w:tcW w:w="1200" w:type="dxa"/>
            <w:vAlign w:val="bottom"/>
          </w:tcPr>
          <w:p>
            <w:pPr>
              <w:spacing w:after="0"/>
              <w:rPr>
                <w:sz w:val="17"/>
                <w:szCs w:val="17"/>
                <w:color w:val="auto"/>
              </w:rPr>
            </w:pPr>
          </w:p>
        </w:tc>
        <w:tc>
          <w:tcPr>
            <w:tcW w:w="100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EE"/>
            </w:tcBorders>
            <w:gridSpan w:val="4"/>
            <w:shd w:val="clear" w:color="auto" w:fill="0000FF"/>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18 U.S.C. Section 1350, as adopted pursuant to Section 906 of the</w:t>
            </w:r>
          </w:p>
        </w:tc>
      </w:tr>
      <w:tr>
        <w:trPr>
          <w:trHeight w:val="196"/>
        </w:trPr>
        <w:tc>
          <w:tcPr>
            <w:tcW w:w="120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920" w:type="dxa"/>
            <w:vAlign w:val="bottom"/>
            <w:gridSpan w:val="14"/>
          </w:tcPr>
          <w:p>
            <w:pPr>
              <w:spacing w:after="0"/>
              <w:rPr>
                <w:sz w:val="17"/>
                <w:szCs w:val="17"/>
                <w:color w:val="auto"/>
              </w:rPr>
            </w:pPr>
          </w:p>
        </w:tc>
      </w:tr>
      <w:tr>
        <w:trPr>
          <w:trHeight w:val="31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18 U.S.C. Section 1350, as adopted pursuant to Section 906 of the</w:t>
            </w:r>
          </w:p>
        </w:tc>
      </w:tr>
      <w:tr>
        <w:trPr>
          <w:trHeight w:val="196"/>
        </w:trPr>
        <w:tc>
          <w:tcPr>
            <w:tcW w:w="120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920" w:type="dxa"/>
            <w:vAlign w:val="bottom"/>
            <w:gridSpan w:val="14"/>
          </w:tcPr>
          <w:p>
            <w:pPr>
              <w:spacing w:after="0"/>
              <w:rPr>
                <w:sz w:val="17"/>
                <w:szCs w:val="17"/>
                <w:color w:val="auto"/>
              </w:rPr>
            </w:pPr>
          </w:p>
        </w:tc>
      </w:tr>
    </w:tbl>
    <w:p>
      <w:pPr>
        <w:spacing w:after="0" w:line="346" w:lineRule="exact"/>
        <w:rPr>
          <w:sz w:val="20"/>
          <w:szCs w:val="20"/>
          <w:color w:val="auto"/>
        </w:rPr>
      </w:pPr>
    </w:p>
    <w:p>
      <w:pPr>
        <w:jc w:val="both"/>
        <w:ind w:left="1200" w:hanging="1192"/>
        <w:spacing w:after="0" w:line="282" w:lineRule="auto"/>
        <w:tabs>
          <w:tab w:leader="none" w:pos="1200" w:val="left"/>
        </w:tabs>
        <w:numPr>
          <w:ilvl w:val="0"/>
          <w:numId w:val="37"/>
        </w:numPr>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u w:val="single" w:color="auto"/>
            <w:color w:val="0000FF"/>
          </w:rPr>
          <w:t>CoreCivic, Inc. NYSE Executive Compensation Recoupment Policy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97 to the Company's Current Report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10-K (Commission File no. 001-16109), filed with the Commission on February 20, 2024 and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-185420</wp:posOffset>
            </wp:positionV>
            <wp:extent cx="31800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940" w:type="dxa"/>
            <w:vAlign w:val="bottom"/>
          </w:tcPr>
          <w:p>
            <w:pPr>
              <w:spacing w:after="0"/>
              <w:rPr>
                <w:sz w:val="20"/>
                <w:szCs w:val="20"/>
                <w:color w:val="auto"/>
              </w:rPr>
            </w:pPr>
          </w:p>
        </w:tc>
        <w:tc>
          <w:tcPr>
            <w:tcW w:w="10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770"/>
        </w:trPr>
        <w:tc>
          <w:tcPr>
            <w:tcW w:w="940" w:type="dxa"/>
            <w:vAlign w:val="bottom"/>
          </w:tcPr>
          <w:p>
            <w:pPr>
              <w:spacing w:after="0"/>
              <w:rPr>
                <w:sz w:val="24"/>
                <w:szCs w:val="24"/>
                <w:color w:val="auto"/>
              </w:rPr>
            </w:pPr>
          </w:p>
        </w:tc>
        <w:tc>
          <w:tcPr>
            <w:tcW w:w="103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96</w:t>
            </w:r>
          </w:p>
        </w:tc>
      </w:tr>
      <w:tr>
        <w:trPr>
          <w:trHeight w:val="763"/>
        </w:trPr>
        <w:tc>
          <w:tcPr>
            <w:tcW w:w="94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fiscal year ended December 31, 2025, formatted in Inline XBRL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Exhibit 101).</w:t>
      </w:r>
    </w:p>
    <w:p>
      <w:pPr>
        <w:spacing w:after="0" w:line="200" w:lineRule="exact"/>
        <w:rPr>
          <w:sz w:val="20"/>
          <w:szCs w:val="20"/>
          <w:color w:val="auto"/>
        </w:rPr>
      </w:pPr>
    </w:p>
    <w:p>
      <w:pPr>
        <w:sectPr>
          <w:pgSz w:w="11900" w:h="16838" w:orient="portrait"/>
          <w:cols w:equalWidth="0" w:num="2">
            <w:col w:w="780" w:space="420"/>
            <w:col w:w="10020"/>
          </w:cols>
          <w:pgMar w:left="320" w:top="1417" w:right="359" w:bottom="1440" w:gutter="0" w:footer="0" w:header="0"/>
        </w:sectPr>
      </w:pPr>
    </w:p>
    <w:p>
      <w:pPr>
        <w:spacing w:after="0" w:line="2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CORECIVIC,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77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Patrick D. Swindle</w:t>
            </w:r>
          </w:p>
        </w:tc>
      </w:tr>
      <w:tr>
        <w:trPr>
          <w:trHeight w:val="228"/>
        </w:trPr>
        <w:tc>
          <w:tcPr>
            <w:tcW w:w="3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Patrick D. Swindle, President and Chief Executive Officer</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D. Swindle</w:t>
            </w:r>
          </w:p>
        </w:tc>
        <w:tc>
          <w:tcPr>
            <w:tcW w:w="1740" w:type="dxa"/>
            <w:vAlign w:val="bottom"/>
            <w:tcBorders>
              <w:bottom w:val="single" w:sz="8" w:color="auto"/>
            </w:tcBorders>
          </w:tcPr>
          <w:p>
            <w:pPr>
              <w:spacing w:after="0"/>
              <w:rPr>
                <w:sz w:val="20"/>
                <w:szCs w:val="20"/>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191"/>
        </w:trPr>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D. Swindle, President and Chief Executive Officer</w:t>
            </w:r>
          </w:p>
        </w:tc>
        <w:tc>
          <w:tcPr>
            <w:tcW w:w="174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7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Garfinkle</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191"/>
        </w:trPr>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Garfinkle, Executive Vice President and Chief Financial Officer</w:t>
            </w:r>
          </w:p>
        </w:tc>
        <w:tc>
          <w:tcPr>
            <w:tcW w:w="174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A. Emkes</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Mark A. Emkes, Chairman of the Board of Directors</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R. Fischer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Alexander R. Fischer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Hernandez-Blades</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Catherine Hernandez-Blades</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Stacia A. Hylton</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Stacia A. Hylton,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Harley G. Lappin</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Harley G. Lappin,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Thurgood Marshall, Jr.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Thurgood Marshall, Jr.,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Devin I. Murphy</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Devin I. Murphy,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R. Prann, Jr.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John R. Prann, Jr.,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 Dawn Smith</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Dawn Smith,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M. Tank</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Stacey M. Tank,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Nina A. Tran</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Nina A. Tran,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846"/>
        </w:trPr>
        <w:tc>
          <w:tcPr>
            <w:tcW w:w="5460" w:type="dxa"/>
            <w:vAlign w:val="bottom"/>
          </w:tcPr>
          <w:p>
            <w:pPr>
              <w:spacing w:after="0"/>
              <w:rPr>
                <w:sz w:val="24"/>
                <w:szCs w:val="24"/>
                <w:color w:val="auto"/>
              </w:rPr>
            </w:pPr>
          </w:p>
        </w:tc>
        <w:tc>
          <w:tcPr>
            <w:tcW w:w="17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98</w:t>
            </w:r>
          </w:p>
        </w:tc>
        <w:tc>
          <w:tcPr>
            <w:tcW w:w="404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w:t>
            </w:r>
          </w:p>
        </w:tc>
        <w:tc>
          <w:tcPr>
            <w:tcW w:w="1840" w:type="dxa"/>
            <w:vAlign w:val="bottom"/>
          </w:tcPr>
          <w:p>
            <w:pPr>
              <w:spacing w:after="0"/>
              <w:rPr>
                <w:sz w:val="20"/>
                <w:szCs w:val="20"/>
                <w:color w:val="auto"/>
              </w:rPr>
            </w:pPr>
          </w:p>
        </w:tc>
      </w:tr>
      <w:tr>
        <w:trPr>
          <w:trHeight w:val="432"/>
        </w:trPr>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CoreCivic, Inc. and Subsidiaries</w:t>
            </w:r>
          </w:p>
        </w:tc>
        <w:tc>
          <w:tcPr>
            <w:tcW w:w="1840" w:type="dxa"/>
            <w:vAlign w:val="bottom"/>
          </w:tcPr>
          <w:p>
            <w:pPr>
              <w:spacing w:after="0"/>
              <w:rPr>
                <w:sz w:val="24"/>
                <w:szCs w:val="24"/>
                <w:color w:val="auto"/>
              </w:rPr>
            </w:pPr>
          </w:p>
        </w:tc>
      </w:tr>
      <w:tr>
        <w:trPr>
          <w:trHeight w:val="297"/>
        </w:trPr>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CC"/>
              </w:rPr>
              <w:t>(PCAOB ID 00042)</w:t>
            </w:r>
          </w:p>
        </w:tc>
        <w:tc>
          <w:tcPr>
            <w:tcW w:w="18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9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4420" w:type="dxa"/>
            <w:vAlign w:val="bottom"/>
            <w:gridSpan w:val="4"/>
          </w:tcPr>
          <w:p>
            <w:pPr>
              <w:spacing w:after="0"/>
              <w:rPr>
                <w:sz w:val="17"/>
                <w:szCs w:val="17"/>
                <w:color w:val="auto"/>
              </w:rPr>
            </w:pP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6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220" w:type="dxa"/>
            <w:vAlign w:val="bottom"/>
            <w:gridSpan w:val="3"/>
          </w:tcPr>
          <w:p>
            <w:pPr>
              <w:spacing w:after="0"/>
              <w:rPr>
                <w:sz w:val="17"/>
                <w:szCs w:val="17"/>
                <w:color w:val="auto"/>
              </w:rPr>
            </w:pP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6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2160" w:type="dxa"/>
            <w:vAlign w:val="bottom"/>
            <w:gridSpan w:val="2"/>
          </w:tcPr>
          <w:p>
            <w:pPr>
              <w:spacing w:after="0"/>
              <w:rPr>
                <w:sz w:val="17"/>
                <w:szCs w:val="17"/>
                <w:color w:val="auto"/>
              </w:rPr>
            </w:pP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3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400" w:type="dxa"/>
            <w:vAlign w:val="bottom"/>
            <w:tcBorders>
              <w:top w:val="single" w:sz="8" w:color="0000EE"/>
            </w:tcBorders>
            <w:gridSpan w:val="5"/>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Schedule III</w:t>
            </w:r>
          </w:p>
        </w:tc>
        <w:tc>
          <w:tcPr>
            <w:tcW w:w="8180" w:type="dxa"/>
            <w:vAlign w:val="bottom"/>
            <w:gridSpan w:val="7"/>
          </w:tcPr>
          <w:p>
            <w:pPr>
              <w:spacing w:after="0"/>
              <w:rPr>
                <w:sz w:val="17"/>
                <w:szCs w:val="17"/>
                <w:color w:val="auto"/>
              </w:rPr>
            </w:pPr>
          </w:p>
        </w:tc>
        <w:tc>
          <w:tcPr>
            <w:tcW w:w="184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3"/>
              </w:rPr>
              <w:t>F-38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3" w:right="6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CoreCivic,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CoreCivic, Inc. and subsidiaries (the Company) as of December 31, 2025 and 2024, the related consolidated statements of operations, stockholders' equity, and cash flows for each of the three years in the period ended December 31, 2025,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1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i w:val="1"/>
          <w:iCs w:val="1"/>
          <w:color w:val="auto"/>
        </w:rPr>
        <w:t>Impairment of Idle Facilities</w:t>
      </w:r>
    </w:p>
    <w:p>
      <w:pPr>
        <w:sectPr>
          <w:pgSz w:w="11900" w:h="16838" w:orient="portrait"/>
          <w:cols w:equalWidth="0" w:num="1">
            <w:col w:w="11220"/>
          </w:cols>
          <w:pgMar w:left="320" w:top="1440"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the Company’s property and equipment, net of accumulated depreciation, was $2.1 billion, which includes $149.7 million related to five idle correctional facilities. As discussed in Note 2 and Note 5 to the consolidated financial statements, long-lived assets are reviewed for impairment when circumstances indicate the carrying value of an asset may not be recoverable. The Company estimates undiscounted cash flows for each asset group (i.e., facility) with an impairment indicator, including the idle facilities described above. When the estimated undiscounted cash flows associated with the asset or group of assets are less than their carrying value, an impairment is recognized as the difference between the carrying value of the asset and its fair value.</w:t>
      </w:r>
    </w:p>
    <w:p>
      <w:pPr>
        <w:spacing w:after="0" w:line="189" w:lineRule="exact"/>
        <w:rPr>
          <w:sz w:val="20"/>
          <w:szCs w:val="20"/>
          <w:color w:val="auto"/>
        </w:rPr>
      </w:pPr>
    </w:p>
    <w:p>
      <w:pPr>
        <w:sectPr>
          <w:pgSz w:w="11900" w:h="16838" w:orient="portrait"/>
          <w:cols w:equalWidth="0" w:num="2">
            <w:col w:w="2000" w:space="720"/>
            <w:col w:w="8500"/>
          </w:cols>
          <w:pgMar w:left="320" w:top="1440" w:right="359" w:bottom="1440" w:gutter="0" w:footer="0" w:header="0"/>
          <w:type w:val="continuous"/>
        </w:sectPr>
      </w:pPr>
    </w:p>
    <w:p>
      <w:pPr>
        <w:jc w:val="both"/>
        <w:ind w:left="2720"/>
        <w:spacing w:after="0" w:line="258" w:lineRule="auto"/>
        <w:rPr>
          <w:sz w:val="20"/>
          <w:szCs w:val="20"/>
          <w:color w:val="auto"/>
        </w:rPr>
      </w:pPr>
      <w:r>
        <w:rPr>
          <w:rFonts w:ascii="Times New Roman" w:cs="Times New Roman" w:eastAsia="Times New Roman" w:hAnsi="Times New Roman"/>
          <w:sz w:val="18"/>
          <w:szCs w:val="18"/>
          <w:color w:val="auto"/>
        </w:rPr>
        <w:t>Auditing management’s evaluation of idle facilities for impairment was subjective due to the estimation uncertainty in determining the future undiscounted cash flows of the idle facilities, including whether and when the Company will obtain contracts to utilize these facilities in the future. These assumptions can be affected by expectations about market conditions as well as management’s intent to hold and operate each facility over the term and in the manner assumed in the analysis.</w:t>
      </w:r>
    </w:p>
    <w:p>
      <w:pPr>
        <w:sectPr>
          <w:pgSz w:w="11900" w:h="16838" w:orient="portrait"/>
          <w:cols w:equalWidth="0" w:num="1">
            <w:col w:w="11220"/>
          </w:cols>
          <w:pgMar w:left="320" w:top="1440" w:right="359" w:bottom="1440" w:gutter="0" w:footer="0" w:header="0"/>
          <w:type w:val="continuous"/>
        </w:sectPr>
      </w:pPr>
    </w:p>
    <w:p>
      <w:pPr>
        <w:spacing w:after="0" w:line="181"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long-lived asset impairment review process over idle facilities, including controls over management’s review of assumptions supporting the projected utilization of idle facilities and the estimated undiscounted cash flows for each facility.</w:t>
      </w:r>
    </w:p>
    <w:p>
      <w:pPr>
        <w:spacing w:after="0" w:line="180" w:lineRule="exact"/>
        <w:rPr>
          <w:sz w:val="20"/>
          <w:szCs w:val="20"/>
          <w:color w:val="auto"/>
        </w:rPr>
      </w:pPr>
    </w:p>
    <w:p>
      <w:pPr>
        <w:sectPr>
          <w:pgSz w:w="11900" w:h="16838" w:orient="portrait"/>
          <w:cols w:equalWidth="0" w:num="2">
            <w:col w:w="2420" w:space="300"/>
            <w:col w:w="8500"/>
          </w:cols>
          <w:pgMar w:left="320" w:top="1440" w:right="359" w:bottom="1440" w:gutter="0" w:footer="0" w:header="0"/>
          <w:type w:val="continuous"/>
        </w:sectPr>
      </w:pPr>
    </w:p>
    <w:p>
      <w:pPr>
        <w:jc w:val="both"/>
        <w:ind w:left="2720"/>
        <w:spacing w:after="0" w:line="261" w:lineRule="auto"/>
        <w:rPr>
          <w:sz w:val="20"/>
          <w:szCs w:val="20"/>
          <w:color w:val="auto"/>
        </w:rPr>
      </w:pPr>
      <w:r>
        <w:rPr>
          <w:rFonts w:ascii="Times New Roman" w:cs="Times New Roman" w:eastAsia="Times New Roman" w:hAnsi="Times New Roman"/>
          <w:sz w:val="18"/>
          <w:szCs w:val="18"/>
          <w:color w:val="auto"/>
        </w:rPr>
        <w:t>To test the Company’s long-lived asset impairment analysis, we performed audit procedures that included, among others, evaluating evidence supporting the projected utilization of idle facilities and the recoverability of net book values based on anticipated cash flows. We also performed sensitivity analyses to evaluate the impact of changes in assumptions on estimated undiscounted cash flows of idle facilities.</w:t>
      </w:r>
    </w:p>
    <w:p>
      <w:pPr>
        <w:sectPr>
          <w:pgSz w:w="11900" w:h="16838" w:orient="portrait"/>
          <w:cols w:equalWidth="0" w:num="1">
            <w:col w:w="11220"/>
          </w:cols>
          <w:pgMar w:left="320" w:top="1440" w:right="359" w:bottom="1440" w:gutter="0" w:footer="0" w:header="0"/>
          <w:type w:val="continuous"/>
        </w:sect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97,929</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credit loss reserve of $4,506 and $4,471,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446,224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611,087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$2,012,353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2,132,206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$1,905,508, respectively</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real estate assets</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182,479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322,420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3,256,743</w:t>
            </w:r>
          </w:p>
        </w:tc>
        <w:tc>
          <w:tcPr>
            <w:tcW w:w="18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tcBorders>
              <w:bottom w:val="single" w:sz="8" w:color="auto"/>
            </w:tcBorders>
            <w:shd w:val="clear" w:color="auto" w:fill="CFF0FC"/>
          </w:tcPr>
          <w:p>
            <w:pPr>
              <w:ind w:left="1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353,173</w:t>
            </w:r>
          </w:p>
        </w:tc>
        <w:tc>
          <w:tcPr>
            <w:tcW w:w="18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15,701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1,205,037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98,364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1,851,494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1,438,540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50,000 shares authorized; none issued</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2024</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300,000 shares authorized;</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100,051 and 109,861 shares issued and outstanding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1,527,724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(123,476)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(239,979)</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1,405,249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3,256,743</w:t>
            </w:r>
          </w:p>
        </w:tc>
        <w:tc>
          <w:tcPr>
            <w:tcW w:w="18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-3822700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-2853690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-2545080</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-2262505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2,211,182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1,961,646</w:t>
            </w:r>
          </w:p>
        </w:tc>
        <w:tc>
          <w:tcPr>
            <w:tcW w:w="1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1,692,528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169,580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128,905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1,992,495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1,776,557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1,728,540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(62,229)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(67,415)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(72,960)</w:t>
            </w:r>
          </w:p>
        </w:tc>
        <w:tc>
          <w:tcPr>
            <w:tcW w:w="0" w:type="dxa"/>
            <w:vAlign w:val="bottom"/>
          </w:tcPr>
          <w:p>
            <w:pPr>
              <w:spacing w:after="0"/>
              <w:rPr>
                <w:sz w:val="1"/>
                <w:szCs w:val="1"/>
                <w:color w:val="auto"/>
              </w:rPr>
            </w:pPr>
          </w:p>
        </w:tc>
      </w:tr>
      <w:tr>
        <w:trPr>
          <w:trHeight w:val="198"/>
        </w:trPr>
        <w:tc>
          <w:tcPr>
            <w:tcW w:w="6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28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2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157,176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(40,673)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(28,233)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40" w:type="dxa"/>
            <w:vAlign w:val="bottom"/>
          </w:tcPr>
          <w:p>
            <w:pPr>
              <w:spacing w:after="0"/>
              <w:rPr>
                <w:sz w:val="17"/>
                <w:szCs w:val="17"/>
                <w:color w:val="auto"/>
              </w:rPr>
            </w:pPr>
          </w:p>
        </w:tc>
        <w:tc>
          <w:tcPr>
            <w:tcW w:w="560" w:type="dxa"/>
            <w:vAlign w:val="bottom"/>
            <w:gridSpan w:val="2"/>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-2451100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-2451100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-1610995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-1610995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-350520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-334010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ind w:right="64"/>
              <w:spacing w:after="0" w:line="171" w:lineRule="exact"/>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116,503</w:t>
            </w:r>
          </w:p>
        </w:tc>
        <w:tc>
          <w:tcPr>
            <w:tcW w:w="160" w:type="dxa"/>
            <w:vAlign w:val="bottom"/>
          </w:tcPr>
          <w:p>
            <w:pPr>
              <w:spacing w:after="0"/>
              <w:rPr>
                <w:sz w:val="14"/>
                <w:szCs w:val="14"/>
                <w:color w:val="auto"/>
              </w:rPr>
            </w:pPr>
          </w:p>
        </w:tc>
        <w:tc>
          <w:tcPr>
            <w:tcW w:w="3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68,868</w:t>
            </w:r>
          </w:p>
        </w:tc>
        <w:tc>
          <w:tcPr>
            <w:tcW w:w="220" w:type="dxa"/>
            <w:vAlign w:val="bottom"/>
          </w:tcPr>
          <w:p>
            <w:pPr>
              <w:spacing w:after="0"/>
              <w:rPr>
                <w:sz w:val="14"/>
                <w:szCs w:val="14"/>
                <w:color w:val="auto"/>
              </w:rPr>
            </w:pP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67,590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40" w:type="dxa"/>
            <w:vAlign w:val="bottom"/>
            <w:shd w:val="clear" w:color="auto" w:fill="CFF0FC"/>
          </w:tcPr>
          <w:p>
            <w:pPr>
              <w:ind w:left="120"/>
              <w:spacing w:after="0" w:line="145"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operating activities: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128,905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128,011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Asset impairments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1,482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3,108</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 and other non-cash interest</w:t>
            </w: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3,559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3,672</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Expenses associated with acquisitions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3,016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6640" w:type="dxa"/>
            <w:vAlign w:val="bottom"/>
          </w:tcPr>
          <w:p>
            <w:pPr>
              <w:ind w:left="240"/>
              <w:spacing w:after="0" w:line="145" w:lineRule="exact"/>
              <w:rPr>
                <w:sz w:val="20"/>
                <w:szCs w:val="20"/>
                <w:color w:val="auto"/>
              </w:rPr>
            </w:pPr>
            <w:r>
              <w:rPr>
                <w:rFonts w:ascii="Times New Roman" w:cs="Times New Roman" w:eastAsia="Times New Roman" w:hAnsi="Times New Roman"/>
                <w:sz w:val="15"/>
                <w:szCs w:val="15"/>
                <w:color w:val="auto"/>
              </w:rPr>
              <w:t>Expenses associated with debt repayments and refinancing</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transactions</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31,316</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9,157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(7,708)</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(2,703)</w:t>
            </w: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Gain on sale of real estate assets, net</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(1,007)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(3,262)</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(798)</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Other expenses and non-cash items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9,356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659</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Non-cash revenue and other income</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(387)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(7,601)</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(2,783)</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Non-cash equity compensation</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27,672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25,681</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20,760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 net: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Accounts receivable, prepaid expenses and other assets</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(145,046)</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15,022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41,385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11,387</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shd w:val="clear" w:color="auto" w:fill="CFF0FC"/>
          </w:tcPr>
          <w:p>
            <w:pPr>
              <w:ind w:left="48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194,595</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269,153</w:t>
            </w: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231,901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Expenditures for facility development and expansions</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(7,297)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(8,747)</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Expenditures for other capital improvements</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(133,331)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(62,424)</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(65,369)</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Acquisitions, net of cash acquired</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(73,538)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Net proceeds from sale of assets</w:t>
            </w: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4,903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13,738</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Borders>
              <w:bottom w:val="single" w:sz="8" w:color="CFF0FC"/>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investing activities</w:t>
            </w: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3,187</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3,609</w:t>
            </w: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Pr>
          <w:p>
            <w:pPr>
              <w:ind w:left="48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Pr>
          <w:p>
            <w:pPr>
              <w:spacing w:after="0"/>
              <w:rPr>
                <w:sz w:val="13"/>
                <w:szCs w:val="13"/>
                <w:color w:val="auto"/>
              </w:rPr>
            </w:pPr>
          </w:p>
        </w:tc>
        <w:tc>
          <w:tcPr>
            <w:tcW w:w="12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(206,076)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(53,824)</w:t>
            </w:r>
          </w:p>
        </w:tc>
        <w:tc>
          <w:tcPr>
            <w:tcW w:w="380" w:type="dxa"/>
            <w:vAlign w:val="bottom"/>
          </w:tcPr>
          <w:p>
            <w:pPr>
              <w:spacing w:after="0"/>
              <w:rPr>
                <w:sz w:val="13"/>
                <w:szCs w:val="13"/>
                <w:color w:val="auto"/>
              </w:rPr>
            </w:pPr>
          </w:p>
        </w:tc>
        <w:tc>
          <w:tcPr>
            <w:tcW w:w="10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(58,874)</w:t>
            </w: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issuance of debt and borrowings from credit facility</w:t>
            </w: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435,000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547,000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Scheduled principal repayments</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(12,073)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(11,598)</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(9,895)</w:t>
            </w: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Principal repayments of credit facility</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(190,000)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(47,000)</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(125,000)</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repayments of debt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(597,713)</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(272,936)</w:t>
            </w:r>
          </w:p>
        </w:tc>
        <w:tc>
          <w:tcPr>
            <w:tcW w:w="0" w:type="dxa"/>
            <w:vAlign w:val="bottom"/>
          </w:tcPr>
          <w:p>
            <w:pPr>
              <w:spacing w:after="0"/>
              <w:rPr>
                <w:sz w:val="1"/>
                <w:szCs w:val="1"/>
                <w:color w:val="auto"/>
              </w:rPr>
            </w:pPr>
          </w:p>
        </w:tc>
      </w:tr>
      <w:tr>
        <w:trPr>
          <w:trHeight w:val="145"/>
        </w:trPr>
        <w:tc>
          <w:tcPr>
            <w:tcW w:w="6640" w:type="dxa"/>
            <w:vAlign w:val="bottom"/>
          </w:tcPr>
          <w:p>
            <w:pPr>
              <w:ind w:left="120"/>
              <w:spacing w:after="0" w:line="145" w:lineRule="exact"/>
              <w:rPr>
                <w:sz w:val="20"/>
                <w:szCs w:val="20"/>
                <w:color w:val="auto"/>
              </w:rPr>
            </w:pPr>
            <w:r>
              <w:rPr>
                <w:rFonts w:ascii="Times New Roman" w:cs="Times New Roman" w:eastAsia="Times New Roman" w:hAnsi="Times New Roman"/>
                <w:sz w:val="15"/>
                <w:szCs w:val="15"/>
                <w:color w:val="auto"/>
              </w:rPr>
              <w:t>Payment of debt defeasance, issuance and other refinancing and</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(1,449)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related costs</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(34,944)</w:t>
            </w:r>
          </w:p>
        </w:tc>
        <w:tc>
          <w:tcPr>
            <w:tcW w:w="3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(4,632)</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Payment of lease obligations for financing leases</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(629)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(613)</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0" w:type="dxa"/>
            <w:vAlign w:val="bottom"/>
          </w:tcPr>
          <w:p>
            <w:pPr>
              <w:spacing w:after="0"/>
              <w:rPr>
                <w:sz w:val="1"/>
                <w:szCs w:val="1"/>
                <w:color w:val="auto"/>
              </w:rPr>
            </w:pPr>
          </w:p>
        </w:tc>
      </w:tr>
      <w:tr>
        <w:trPr>
          <w:trHeight w:val="162"/>
        </w:trPr>
        <w:tc>
          <w:tcPr>
            <w:tcW w:w="66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Purchase and retirement of common stock</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(228,987)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(77,171)</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(43,047)</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Dividends paid on restricted stock units</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(45)</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tcPr>
          <w:p>
            <w:pPr>
              <w:ind w:left="48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0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(222,175)</w:t>
            </w:r>
          </w:p>
        </w:tc>
        <w:tc>
          <w:tcPr>
            <w:tcW w:w="380" w:type="dxa"/>
            <w:vAlign w:val="bottom"/>
          </w:tcPr>
          <w:p>
            <w:pPr>
              <w:spacing w:after="0"/>
              <w:rPr>
                <w:sz w:val="13"/>
                <w:szCs w:val="13"/>
                <w:color w:val="auto"/>
              </w:rPr>
            </w:pPr>
          </w:p>
        </w:tc>
        <w:tc>
          <w:tcPr>
            <w:tcW w:w="10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(206,236)</w:t>
            </w:r>
          </w:p>
        </w:tc>
        <w:tc>
          <w:tcPr>
            <w:tcW w:w="0" w:type="dxa"/>
            <w:vAlign w:val="bottom"/>
          </w:tcPr>
          <w:p>
            <w:pPr>
              <w:spacing w:after="0"/>
              <w:rPr>
                <w:sz w:val="1"/>
                <w:szCs w:val="1"/>
                <w:color w:val="auto"/>
              </w:rPr>
            </w:pPr>
          </w:p>
        </w:tc>
      </w:tr>
      <w:tr>
        <w:trPr>
          <w:trHeight w:val="134"/>
        </w:trPr>
        <w:tc>
          <w:tcPr>
            <w:tcW w:w="66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NET DECREASE IN CASH, CASH EQUIVALENTS</w:t>
            </w:r>
          </w:p>
        </w:tc>
        <w:tc>
          <w:tcPr>
            <w:tcW w:w="3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b w:val="1"/>
                <w:bCs w:val="1"/>
                <w:color w:val="auto"/>
              </w:rPr>
              <w:t>AND RESTRICTED CASH</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(9,664)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(6,846)</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(33,209)</w:t>
            </w:r>
          </w:p>
        </w:tc>
        <w:tc>
          <w:tcPr>
            <w:tcW w:w="0" w:type="dxa"/>
            <w:vAlign w:val="bottom"/>
          </w:tcPr>
          <w:p>
            <w:pPr>
              <w:spacing w:after="0"/>
              <w:rPr>
                <w:sz w:val="1"/>
                <w:szCs w:val="1"/>
                <w:color w:val="auto"/>
              </w:rPr>
            </w:pPr>
          </w:p>
        </w:tc>
      </w:tr>
      <w:tr>
        <w:trPr>
          <w:trHeight w:val="141"/>
        </w:trPr>
        <w:tc>
          <w:tcPr>
            <w:tcW w:w="664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122,110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128,956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240"/>
              <w:spacing w:after="0" w:line="170" w:lineRule="exact"/>
              <w:rPr>
                <w:sz w:val="20"/>
                <w:szCs w:val="20"/>
                <w:color w:val="auto"/>
              </w:rPr>
            </w:pPr>
            <w:r>
              <w:rPr>
                <w:rFonts w:ascii="Times New Roman" w:cs="Times New Roman" w:eastAsia="Times New Roman" w:hAnsi="Times New Roman"/>
                <w:sz w:val="15"/>
                <w:szCs w:val="15"/>
                <w:b w:val="1"/>
                <w:bCs w:val="1"/>
                <w:color w:val="auto"/>
              </w:rPr>
              <w:t>beginning of period</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0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112,446</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122,110</w:t>
            </w:r>
          </w:p>
        </w:tc>
        <w:tc>
          <w:tcPr>
            <w:tcW w:w="22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128,956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FF0FC"/>
            </w:tcBorders>
            <w:shd w:val="clear" w:color="auto" w:fill="CFF0FC"/>
          </w:tcPr>
          <w:p>
            <w:pPr>
              <w:ind w:left="240"/>
              <w:spacing w:after="0" w:line="136" w:lineRule="exact"/>
              <w:rPr>
                <w:sz w:val="20"/>
                <w:szCs w:val="20"/>
                <w:color w:val="auto"/>
              </w:rPr>
            </w:pPr>
            <w:r>
              <w:rPr>
                <w:rFonts w:ascii="Times New Roman" w:cs="Times New Roman" w:eastAsia="Times New Roman" w:hAnsi="Times New Roman"/>
                <w:sz w:val="15"/>
                <w:szCs w:val="15"/>
                <w:b w:val="1"/>
                <w:bCs w:val="1"/>
                <w:color w:val="auto"/>
              </w:rPr>
              <w:t>end of period</w:t>
            </w: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4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Net establishment (lease modification) of right of use assets and lease</w:t>
            </w:r>
          </w:p>
        </w:tc>
        <w:tc>
          <w:tcPr>
            <w:tcW w:w="30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118,363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(56,804)</w:t>
            </w:r>
          </w:p>
        </w:tc>
        <w:tc>
          <w:tcPr>
            <w:tcW w:w="2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tcBorders>
              <w:bottom w:val="single" w:sz="8" w:color="CFF0FC"/>
            </w:tcBorders>
            <w:shd w:val="clear" w:color="auto" w:fill="CFF0FC"/>
          </w:tcPr>
          <w:p>
            <w:pPr>
              <w:ind w:left="400"/>
              <w:spacing w:after="0" w:line="133" w:lineRule="exact"/>
              <w:rPr>
                <w:sz w:val="20"/>
                <w:szCs w:val="20"/>
                <w:color w:val="auto"/>
              </w:rPr>
            </w:pPr>
            <w:r>
              <w:rPr>
                <w:rFonts w:ascii="Times New Roman" w:cs="Times New Roman" w:eastAsia="Times New Roman" w:hAnsi="Times New Roman"/>
                <w:sz w:val="15"/>
                <w:szCs w:val="15"/>
                <w:color w:val="auto"/>
              </w:rPr>
              <w:t>liabilities</w:t>
            </w: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64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Interest (net of amounts capitalized of $0.5 million in 2025)</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71,914</w:t>
            </w:r>
          </w:p>
        </w:tc>
        <w:tc>
          <w:tcPr>
            <w:tcW w:w="160" w:type="dxa"/>
            <w:vAlign w:val="bottom"/>
          </w:tcPr>
          <w:p>
            <w:pPr>
              <w:spacing w:after="0"/>
              <w:rPr>
                <w:sz w:val="14"/>
                <w:szCs w:val="14"/>
                <w:color w:val="auto"/>
              </w:rPr>
            </w:pPr>
          </w:p>
        </w:tc>
        <w:tc>
          <w:tcPr>
            <w:tcW w:w="3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77,725</w:t>
            </w:r>
          </w:p>
        </w:tc>
        <w:tc>
          <w:tcPr>
            <w:tcW w:w="220" w:type="dxa"/>
            <w:vAlign w:val="bottom"/>
          </w:tcPr>
          <w:p>
            <w:pPr>
              <w:spacing w:after="0"/>
              <w:rPr>
                <w:sz w:val="14"/>
                <w:szCs w:val="14"/>
                <w:color w:val="auto"/>
              </w:rPr>
            </w:pP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81,765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40" w:type="dxa"/>
            <w:vAlign w:val="bottom"/>
            <w:shd w:val="clear" w:color="auto" w:fill="CFF0FC"/>
          </w:tcPr>
          <w:p>
            <w:pPr>
              <w:ind w:left="240"/>
              <w:spacing w:after="0" w:line="143" w:lineRule="exact"/>
              <w:rPr>
                <w:sz w:val="20"/>
                <w:szCs w:val="20"/>
                <w:color w:val="auto"/>
              </w:rPr>
            </w:pPr>
            <w:r>
              <w:rPr>
                <w:rFonts w:ascii="Times New Roman" w:cs="Times New Roman" w:eastAsia="Times New Roman" w:hAnsi="Times New Roman"/>
                <w:sz w:val="15"/>
                <w:szCs w:val="15"/>
                <w:color w:val="auto"/>
              </w:rPr>
              <w:t>Income taxes paid</w:t>
            </w:r>
          </w:p>
        </w:tc>
        <w:tc>
          <w:tcPr>
            <w:tcW w:w="300" w:type="dxa"/>
            <w:vAlign w:val="bottom"/>
            <w:shd w:val="clear" w:color="auto" w:fill="CFF0FC"/>
          </w:tcPr>
          <w:p>
            <w:pPr>
              <w:jc w:val="right"/>
              <w:ind w:right="144"/>
              <w:spacing w:after="0" w:line="143"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37,022</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37,108</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25,888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-3282315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-3282315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-2656840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-2656840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-1508125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-1508125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-796290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-779145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-796290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-779145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-487680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-470535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-470535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5160" w:type="dxa"/>
            <w:vAlign w:val="bottom"/>
          </w:tcPr>
          <w:p>
            <w:pPr>
              <w:spacing w:after="0"/>
              <w:rPr>
                <w:sz w:val="24"/>
                <w:szCs w:val="2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1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Par</w:t>
            </w: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(376,431)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(3,936)</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(43,186)</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on RSUs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forfeitures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1,785,286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(308,847)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(78,764)</w:t>
            </w: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forfeitures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109,861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1,732,231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(239,979)</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116,503</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(11,861)</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(232,159)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(232,277)</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forfeitures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100,051</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1,527,724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(123,476)</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-1851025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-1851025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-1851025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-1851025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-1851025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-864870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-864870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-864870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-864870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374"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Inc. (together with its subsidiaries, the "Company" or "CoreCivic") is the nation's largest owner of partnership correctional, detention, and residential reentry facilities and one of the largest operators of such facilities in the United States ("U.S.").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December 31, 2025, through its CoreCivic Safety segment, the Company operated 44 correctional and detention facilities, 40 of which the Company owned or controlled via a long-term lease, with a total design capacity of approximately 68,000 beds. Through its CoreCivic Community segment, the Company operated 20 residential reentry centers, which it owned or controlled via a long-term lease, with a total design capacity of approximately 4,000 beds. In addition, through its CoreCivic Properties segment, the Company owned five properties, with a total design capacity of approximately 8,000 beds.</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79" w:lineRule="exact"/>
        <w:rPr>
          <w:rFonts w:ascii="Times New Roman" w:cs="Times New Roman" w:eastAsia="Times New Roman" w:hAnsi="Times New Roman"/>
          <w:sz w:val="18"/>
          <w:szCs w:val="18"/>
          <w:b w:val="1"/>
          <w:bCs w:val="1"/>
          <w:color w:val="auto"/>
        </w:rPr>
      </w:pPr>
    </w:p>
    <w:p>
      <w:pPr>
        <w:ind w:left="520" w:right="6020" w:hanging="512"/>
        <w:spacing w:after="0" w:line="378" w:lineRule="auto"/>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 in consolidation.</w:t>
      </w:r>
    </w:p>
    <w:p>
      <w:pPr>
        <w:spacing w:after="0" w:line="1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considers all liquid deposits and investments with a maturity of three months or less at the time of purchase to be cash equivalents.</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at December 31, 2025 and 2024 included deposit accounts that are restricted in use totaling $14.5 million and $14.6 million, respectively, and related primarily to the Lansing Correctional Facility to ensure the timely payment of certain operating expenses, capital expenditures and debt service, as further discussed in Note 9. The restricted cash accounts are required under the terms of the indebtedness securing such property. Restricted cash also includes inmate trust funds used for commissary transactions pursuant to customer contracts. The following table provides a reconciliation of cash, cash equivalents and restricted cash reported on the consolidated balance sheets that sum to the total of the same such amounts shown in the consolidated statements of cash flows.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97,929</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14,517</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w:t>
            </w:r>
          </w:p>
        </w:tc>
        <w:tc>
          <w:tcPr>
            <w:tcW w:w="1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112,446</w:t>
            </w:r>
          </w:p>
        </w:tc>
        <w:tc>
          <w:tcPr>
            <w:tcW w:w="5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122,110</w:t>
            </w:r>
          </w:p>
        </w:tc>
        <w:tc>
          <w:tcPr>
            <w:tcW w:w="10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the consolidated statement of cash flows</w:t>
            </w:r>
          </w:p>
        </w:tc>
        <w:tc>
          <w:tcPr>
            <w:tcW w:w="1800" w:type="dxa"/>
            <w:vAlign w:val="bottom"/>
            <w:gridSpan w:val="2"/>
            <w:vMerge w:val="continue"/>
            <w:shd w:val="clear" w:color="auto" w:fill="CFF0FC"/>
          </w:tcPr>
          <w:p>
            <w:pPr>
              <w:spacing w:after="0"/>
              <w:rPr>
                <w:sz w:val="20"/>
                <w:szCs w:val="20"/>
                <w:color w:val="auto"/>
              </w:rPr>
            </w:pPr>
          </w:p>
        </w:tc>
        <w:tc>
          <w:tcPr>
            <w:tcW w:w="1560" w:type="dxa"/>
            <w:vAlign w:val="bottom"/>
            <w:vMerge w:val="continue"/>
            <w:shd w:val="clear" w:color="auto" w:fill="CFF0FC"/>
          </w:tcPr>
          <w:p>
            <w:pPr>
              <w:spacing w:after="0"/>
              <w:rPr>
                <w:sz w:val="20"/>
                <w:szCs w:val="20"/>
                <w:color w:val="auto"/>
              </w:rPr>
            </w:pPr>
          </w:p>
        </w:tc>
        <w:tc>
          <w:tcPr>
            <w:tcW w:w="580" w:type="dxa"/>
            <w:vAlign w:val="bottom"/>
            <w:gridSpan w:val="2"/>
            <w:vMerge w:val="continue"/>
            <w:shd w:val="clear" w:color="auto" w:fill="CFF0FC"/>
          </w:tcPr>
          <w:p>
            <w:pPr>
              <w:spacing w:after="0"/>
              <w:rPr>
                <w:sz w:val="20"/>
                <w:szCs w:val="20"/>
                <w:color w:val="auto"/>
              </w:rPr>
            </w:pPr>
          </w:p>
        </w:tc>
        <w:tc>
          <w:tcPr>
            <w:tcW w:w="15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580" w:type="dxa"/>
            <w:vAlign w:val="bottom"/>
          </w:tcPr>
          <w:p>
            <w:pPr>
              <w:spacing w:after="0"/>
              <w:rPr>
                <w:sz w:val="24"/>
                <w:szCs w:val="24"/>
                <w:color w:val="auto"/>
              </w:rPr>
            </w:pPr>
          </w:p>
        </w:tc>
        <w:tc>
          <w:tcPr>
            <w:tcW w:w="450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F-8</w:t>
            </w: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-1070610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-1053465</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Credit Loss Reserve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accounts receivable of $446.2 million and $288.7 million, respectively, were net of credit loss reserve totaling $4.5 million in both years. Accounts receivable consist primarily of amounts due from federal, state, and local government agencies for the utilization of CoreCivic's properties, including amounts due for operating and managing the Company's correctional, detention, and residential reentry facilities, as well as its electronic monitoring and case management services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 which is the amount expected to be collected. Credit loss reserves are maintained for customers using an expected loss model based on a variety of factors, including the nature of the accounts receivable, risks of loss, length of time receivables are past due, and historical experience. If circumstances related to customers change, estimates of the recoverability of receivables would be further adjusted.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carried at cost. Assets acquired by CoreCivic in conjunction with acquisitions are recorded at estimated fair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9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20 years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50 years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real estate assets are accounted for in accordance with Accounting Standards Codification ("ASC") 853, "Service Concession Arrangements".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from Contracts with Customers” (“ASC 606”), in 2018. Revenue recognized related to the construction of the facilities for which cash has not yet been received is recorded as a contract asset and is amortized and evaluated for impairment on an on-going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7" w:name="page108"/>
    <w:bookmarkEnd w:id="10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Impairment of Long-Lived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 circumstances indicate the carrying value of an asset may not be recoverable. The Company estimates undiscounted cash flows for each asset or asset group (i.e., facility) with an impairment indicator. An impairment is recognized when the estimated undiscounted cash flows associated with the asset or group of assets are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net assets of businesses acquired and goodwill is tested for impairment at least annually. Goodwill was $8.6 million and $4.8 million as of December 31, 2025 and 2024, respectively, all of which was related to the Company's CoreCivic Safety segment. CoreCivic performs its impairment tests during the fourth quarter in connection with its annual budgeting process, and whenever circumstances indicate the carrying value of goodwill may not be recoverable.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a quantitative impairment test. The Company will record an impairment charge based on the excess of a reporting unit’s carrying amount over its fair value. There were no goodwill impairments recorded during the periods presented.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Debt issuance costs, excluding those costs incurred related to CoreCivic's revolving credit facility, are presented as a direct deduction from the face amount of the related liability on the consolidated balance sheets. Debt issuance costs related to the Company's revolving credit facility are included in other assets on the consolidated balance sheets. Generally, debt issuance costs are capitalized and amortized into interest expense using the interest method, or on a straight-line basis over the term of the related debt, if not materially different than the interest method. Certain debt issuance costs incurred in connection with debt refinancings are charged to expense in accordance with ASC 470-50, "Modifications and Extinguishments".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CoreCivic Safety and CoreCivic Community, revenue is recognized over time when control of the promised service is transferred to CoreCivic's customers, in an amount that reflects consideration CoreCivic expects to be entitled for those services which is typically in the form of a fixed rate. These services are considered to be a single performance obligation and are generally satisfied in one to thirty days depending on the performance obligation. 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200" w:lineRule="exact"/>
        <w:rPr>
          <w:sz w:val="20"/>
          <w:szCs w:val="20"/>
          <w:color w:val="auto"/>
        </w:rPr>
      </w:pPr>
    </w:p>
    <w:p>
      <w:pPr>
        <w:spacing w:after="0" w:line="2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8" w:name="page109"/>
    <w:bookmarkEnd w:id="10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that are required to be returned to the customer are considered to be variable consideration and are classified as reductions to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CoreCivic Properties, lease revenue is recognized in accordance with ASC 842, "Leases". In accordance with ASC 842, minimum lease revenue is recognized on a straight-line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consists primarily of revenues associated with the Company's electronic monitoring and case management services, as well as ancillary revenues associated with operating correctional, detention and residential reentry facilities in our CoreCivic Safety and CoreCivic Community segments. Other revenue is also generated from prisoner transportation services for governmental agencies. Revenue is recorded at a point in time when goods are provided or over time when services are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Self-Funded Insurance and Litigation Reserves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is self-insured for employee health, workers' compensation, automobile liability claims, and general liability claims. As such, CoreCivic's insurance expense is largely dependent on claims experience and CoreCivic's ability to control its claims experience. CoreCivic accrues the estimated liability for employee health insurance based on its history of claims experience and time lag between the incident date and the date the cost is paid by CoreCivic. CoreCivic accrues the estimated liability for workers' compensation claims based on an actuarially determined liability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CoreCivic records its best estimate of the probable costs for the resolution of certain claims and legal proceedings in which it is involved, if estimable. In addition, the Company is subject to current and potential future claims and legal proceedings for which little or no accrual has been reflected because the Company's current assessment of the potential exposure is nominal, or because the Company cannot reasonably estimate the amount of loss or range of loss, if any, that may result. These estimates have been developed in consultation with CoreCivic's General Counsel's office and, as appropriate, outside counsel handling these matters, and are based upon an analysis of potential results, assuming a combination of litigation and settlement strategies. These estimates could change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consolidated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200" w:lineRule="exact"/>
        <w:rPr>
          <w:sz w:val="20"/>
          <w:szCs w:val="20"/>
          <w:color w:val="auto"/>
        </w:rPr>
      </w:pPr>
    </w:p>
    <w:p>
      <w:pPr>
        <w:spacing w:after="0" w:line="20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9" w:name="page110"/>
    <w:bookmarkEnd w:id="109"/>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CoreCivic's deferred tax assets and liabilities are classified as non-current on the consolidated balance sheets. See Note 11 for further discussion of the significant components of CoreCivic's deferred tax assets and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with observable Level 1 inputs for publicly traded debt, or discounted cash flow techniques with Level 2 inputs for all other financial instruments, as defined in ASC 820, "Fair Value Measurement". At December 31, 2025 and 2024, there were no material differences between the carrying amounts and the estimated fair values of CoreCivic's financial instruments, other than as follows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6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680"/>
              <w:spacing w:after="0" w:line="188"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(1,230,307)</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(1,245,724)</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(997,380)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(1,005,425)</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Preparation of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CoreCivic's credit risks relate primarily to cash and cash equivalents, restricted cash, and accounts receivable. Cash and cash equivalents and restricted cash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0" w:name="page111"/>
    <w:bookmarkEnd w:id="11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derives its revenues primarily from amounts earned under federal, state, and local government contracts. For each of the years ended December 31, 2025, 2024, and 2023, federal correctional and detention authorities represented 54%, 51%, and 52%, respectively, of CoreCivic's total revenue. Federal correctional and detention authorities consist primarily of U.S. Immigration and Customs Enforcement ("ICE") and the United States Marshals Service ("USMS"). ICE accounted for 35%, 29%, and 30% of total revenue for 2025, 2024, and 2023, respectively, all in the Company's CoreCivic Safety segment. The USMS accounted for 18%, 21%, and 21% of total revenue for 2025, 2024, and 2023, respectively, all in the Company's CoreCivic Safety segment. State revenues from contracts at correctional, detention, and residential reentry facilities that CoreCivic operates represented 37%, 40%, and 39% of total revenue during the years ended December 31, 2025, 2024, and 2023, respectively. With the exception of the state of Tennessee, which generated 10% of CoreCivic's total revenue in 2024 and 2023, all in the Company's CoreCivic Safety segment, no other state customer generated 10% or more of our total revenue in 2025, 2024, or 2023. Although the revenue generated from each of these agencies is derived from numerous management contracts and various types of properties (i.e., correctional, detention, and reentry) the loss or substantial reduction in value of one or more of such contracts could have a material impact on CoreCivic's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CoreCivic accounts for restricted stock-based compensation under the recognition and measurement principles of ASC 718, "Compensation-Stock Compensation". CoreCivic estimates the fair value of restricted stock units ("RSUs") and amortizes the fair value as of the grant date of RSU awards over the vesting period using the straight-line method. For time-based RSUs, the Company uses its closing price on the grant date of award to calculate fair value. For performance-based RSUs, the Company uses the Monte Carlo simulation method to estimate fair value. The fair value of performance-based RSUs is amortized over the vesting period as long as CoreCivic considers it probable that it will meet the performance criteria. To the extent performance-based RSUs are expected to increase or decrease based on revised estimates of performance, the related expense is adjusted accordingly.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Leases are accounted for under the provisions of Accounting Standards Update ("ASU") 2016-02, "Leases (Topic 842)" and ASU 2018-11, "Targeted Improvements – Leases (Topic 842)", cumulatively "ASC 842". For finance leases and operating leases, CoreCivic recognizes on the balance sheet a liability to make lease payments and a right-of-use ("ROU") asset representing its right to use the underlying asset for the lease term, with each initially measured at the present value of the lease payments. The Company also applies the "short-term lease exception" permitted by ASC 842 for all classes of underlying assets. With the exception of the Dilley Immigration Processing Center ("the Dilley Facility") lease, as further described in Note 4, the Company accounts for each separate lease component of a contract and its associated non-lease components as a single lease component. All rental payments associated with the Dilley Facility lease were classified as operating expenses.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those operating leases that contain renewal options, the Company includes the renewal period in the lease terms, and the related payments are reflected in the ROU asset and lease liability, when it is reasonably certain that a renewal option will be exercised. The ROU asset is included in other assets on the consolidated balance sheets, while the current portion of the lease liability is included in accounts payable and accrued expenses, and the long-term portion of the liability is included in other liabilities on the consolidated balance sheets. Because CoreCivic does not generally have access to the interest rates implicit in its leases, the Company utilizes its incremental borrowing rate, based upon the terms and tenure of each base lease, as the discount rate when calculating the present value of future minimum lease payments for each lease arrangement.</w:t>
      </w:r>
    </w:p>
    <w:p>
      <w:pPr>
        <w:spacing w:after="0" w:line="3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1" w:name="page112"/>
    <w:bookmarkEnd w:id="11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leases where the Company is the lessor, the Company applies the practical expedient provided by ASC 842 to not 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has concluded that the timing and pattern of transfer for non-lease components and the associated lease component are the same. The Company has also determined that the predominant component is the lease component and as such its leases qualify as operating leases. The Company accounts for and presents the lease component and the non-lease component as a single component in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"Improvements to Income Tax Disclosures (Topic 740)" ("ASU 2023-09"). ASU 2023-09 requires disaggregated information about a reporting entity's effective tax rate reconciliation as well as additional information on income taxes paid. ASU 2023-09 is effective for annual periods beginning after December 15, 2024. The Company adopted ASU 2023-09 retrospectively for each period presented in the fourth quarter of 2025. See Note 11 for the required additional disclosures.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This ASU is effective for annual reporting periods beginning after December 15, 2026 and interim reporting periods beginning after December 15, 2027, with early adoption permitted. An entity may apply the disclosure requirements prospectively for reporting periods after the effective date or retrospectively to any or all prior periods presented in the financial statements. While this ASU will impact only the Company's disclosures and not its financial condition and results of operations, the Company is currently evaluating the effects of ASU 2025-06 upon adoption on our financial statements.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("ASU 2025-06") that clarifies and modernizes the accounting and disclosure requirements for costs related to internal-use software outlined in ASC 350-40, "Intangibles – Goodwill and Other – Internal-Use Software". Among other amendments, ASU 2025-06 removes all references to project stages throughout ASC 350-40 and clarifies the threshold entities apply to begin capitalizing costs. ASU 2025-06 is effective for all entities for fiscal years beginning after December 15, 2027 and may be applied using a prospective, retrospective or modified transition approach. The Company is currently evaluating when it will adopt ASU 2025-06.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applicable to financial statements beginning January 1, 2025 or later did not, or are not expected to, have a material effect on the Company's results of operations or financial position.</w:t>
      </w:r>
    </w:p>
    <w:p>
      <w:pPr>
        <w:spacing w:after="0" w:line="3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2" w:name="page113"/>
    <w:bookmarkEnd w:id="112"/>
    <w:p>
      <w:pPr>
        <w:spacing w:after="0" w:line="190"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AND RELATED ASSETS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CoreCivic owned or controlled via long-term leases 65 correctional, detention, and residential reentry real estate properties, including five correctional properties in the Company's CoreCivic Properties segment. At December 31, 2025, CoreCivic also managed four correctional and detention facilities owned by governmental agencies.</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at cost, consists of the following (in thousands):</w:t>
      </w:r>
    </w:p>
    <w:p>
      <w:pPr>
        <w:spacing w:after="0" w:line="228"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4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9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2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244,346</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240,050</w:t>
            </w:r>
          </w:p>
        </w:tc>
        <w:tc>
          <w:tcPr>
            <w:tcW w:w="8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3,327,578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3,210,239</w:t>
            </w:r>
          </w:p>
        </w:tc>
        <w:tc>
          <w:tcPr>
            <w:tcW w:w="80" w:type="dxa"/>
            <w:vAlign w:val="bottom"/>
          </w:tcPr>
          <w:p>
            <w:pPr>
              <w:spacing w:after="0"/>
              <w:rPr>
                <w:sz w:val="17"/>
                <w:szCs w:val="17"/>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Equipment and software</w:t>
            </w:r>
          </w:p>
        </w:tc>
        <w:tc>
          <w:tcPr>
            <w:tcW w:w="1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534,139</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478,134</w:t>
            </w:r>
          </w:p>
        </w:tc>
        <w:tc>
          <w:tcPr>
            <w:tcW w:w="8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1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38,496</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80" w:type="dxa"/>
            <w:vAlign w:val="bottom"/>
          </w:tcPr>
          <w:p>
            <w:pPr>
              <w:spacing w:after="0"/>
              <w:rPr>
                <w:sz w:val="17"/>
                <w:szCs w:val="17"/>
                <w:color w:val="auto"/>
              </w:rPr>
            </w:pPr>
          </w:p>
        </w:tc>
      </w:tr>
      <w:tr>
        <w:trPr>
          <w:trHeight w:val="196"/>
        </w:trPr>
        <w:tc>
          <w:tcPr>
            <w:tcW w:w="40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4,144,559</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3,965,532</w:t>
            </w:r>
          </w:p>
        </w:tc>
        <w:tc>
          <w:tcPr>
            <w:tcW w:w="8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(2,012,353)</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(1,905,508)</w:t>
            </w:r>
          </w:p>
        </w:tc>
      </w:tr>
      <w:tr>
        <w:trPr>
          <w:trHeight w:val="20"/>
        </w:trPr>
        <w:tc>
          <w:tcPr>
            <w:tcW w:w="4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2,132,206</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2,060,024</w:t>
            </w:r>
          </w:p>
        </w:tc>
        <w:tc>
          <w:tcPr>
            <w:tcW w:w="80" w:type="dxa"/>
            <w:vAlign w:val="bottom"/>
            <w:shd w:val="clear" w:color="auto" w:fill="CFF0FC"/>
          </w:tcPr>
          <w:p>
            <w:pPr>
              <w:spacing w:after="0"/>
              <w:rPr>
                <w:sz w:val="18"/>
                <w:szCs w:val="18"/>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$128.1 million, $127.6 million, and $126.8 million for the years ended December 31, 2025, 2024, and 2023, respectively.</w:t>
      </w:r>
    </w:p>
    <w:p>
      <w:pPr>
        <w:spacing w:after="0" w:line="225"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Nine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on the consolidated balance sheets, as further described in Note 2. As of December 31, 2025 and 2024, CoreCivic had $182.5 million and $193.1 million, respectively, in other real estate assets, including $127.8 million and $132.5 million, respectively, accounted for as a contract cost and $54.7 million and $60.6 million, respectively, accounted for as costs of fulfilling the related service contract.</w:t>
      </w:r>
    </w:p>
    <w:p>
      <w:pPr>
        <w:spacing w:after="0" w:line="183" w:lineRule="exact"/>
        <w:rPr>
          <w:sz w:val="20"/>
          <w:szCs w:val="20"/>
          <w:color w:val="auto"/>
        </w:rPr>
      </w:pPr>
    </w:p>
    <w:p>
      <w:pPr>
        <w:ind w:left="520" w:right="10040" w:hanging="512"/>
        <w:spacing w:after="0" w:line="400" w:lineRule="auto"/>
        <w:tabs>
          <w:tab w:leader="none" w:pos="52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Lessee</w:t>
      </w:r>
    </w:p>
    <w:p>
      <w:pPr>
        <w:jc w:val="both"/>
        <w:ind w:left="5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further described in Note 2, CoreCivic accounts for leases in accordance with ASC 842. CoreCivic leases land and buildings from third-party lessors for multiple properties under operating leases that expire over varying dates through 2032. The ROU asset related to these leases amounted to $137.0 million and $42.4 million at December 31, 2025 and 2024, respectively, while the current portion of the lease liability amounted to $23.8 million and $3.3 million and the long-term portion of the liability amounted to $100.1 million and $17.7 million at December 31, 2025 and 2024, respectively. As of December 31, 2025, the weighted-average lease term of the operating leases was 4.3 years, and the weighted average discount rate associated with the operating leases was 6.8%.</w:t>
      </w:r>
    </w:p>
    <w:p>
      <w:pPr>
        <w:spacing w:after="0" w:line="178" w:lineRule="exact"/>
        <w:rPr>
          <w:rFonts w:ascii="Times New Roman" w:cs="Times New Roman" w:eastAsia="Times New Roman" w:hAnsi="Times New Roman"/>
          <w:sz w:val="17"/>
          <w:szCs w:val="17"/>
          <w:b w:val="1"/>
          <w:bCs w:val="1"/>
          <w:color w:val="auto"/>
        </w:rPr>
      </w:pPr>
    </w:p>
    <w:p>
      <w:pPr>
        <w:jc w:val="both"/>
        <w:ind w:left="5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received notification from ICE of its intent to terminate an intergovernmental service agreement ("IGSA") for services at the 2,400-bed Dilley Facility in Dilley, Texas effective August 9, 2024, after nearly ten years of operation. CoreCivic leased the Dilley Facility and the site upon which it was constructed from a third-party lessor. CoreCivic's lease agreement with the third-party lessor was over a base period concurrent with the IGSA with ICE and provided CoreCivic with the ability to terminate the lease with a notification period of at least 60 days if ICE terminated the IGSA. Upon being notified by ICE of its intent to terminate funding of the IGSA at the Dilley Facility, CoreCivic provided notice to the third-party lessor of its intent to terminate the lease agreement effective August 9, 2024. In accordance with ASC 842, in the second quarter of 2024, CoreCivic remeasured the lease liability and recorded a corresponding adjustment of $57.0 million to the associated right of use asset to reflect the reduction to the lease term. Given the lease termination, as of December 31, 2024, there were no balances remaining associated with a ROU asset or lease liability for the Dilley Facility site.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March 5, 2025, CoreCivic announced that it had agreed under an amendment to the IGSA discussed above to resume operations and care for up to 2,400 individuals at the Dilley Facility. The amended IGSA expires in March 2030 and may be further extended through bilateral modification. The agreement provides for a fixed monthly payment in accordance with a graduated schedule during the first six months, subject to acceleration, to correlate with the activation of the five neighborhoods within the facility, each designed to accommodate up to 480 individuals. ICE's termination rights permit ICE to terminate the amended IGSA for convenience or non-appropriation of funds without penalty by providing CoreCivic with at least a 60-day prior notice. Simultaneously, the Company entered into a new operating lease agreement with the same third-party lessor over a period co-terminus with the term of the IGSA. The new lease also contains a graduated lease rate over the first six months consistent with the IGSA to correlate with the activation of the five neighborhoods within the facility. As a result, in the first quarter of 2025, CoreCivic recorded the establishment of a ROU asset and liability in accordance with ASC 842 amounting to $116.9 million to reflect the new lease associated with the Dilley Facility, which is included in other assets in the accompanying consolidated balance sheet as of December 31, 2025. The new lease agreement provides CoreCivic with the ability to terminate the lease if ICE terminates the amended IGSA associated with the Dilley Facility upon at least a 60-day prior notice.</w:t>
      </w:r>
    </w:p>
    <w:p>
      <w:pPr>
        <w:spacing w:after="0" w:line="190"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expense incurred for all operating leases, inclusive of short-term and variable leases, but exclusive of the non-lease food services component of the Dilley lease, was $28.8 million, $20.9 million, and $34.2 million for the years ended December 31, 2025, 2024, and 2023, respectively. The cash payments for operating leases are reflected as cash flows from operating activities on the accompanying consolidated statements of cash flows and cash payments for financing leases are reflected as cash flows from financing activities. Future minimum lease payments as of December 31, 2025 for the Company's operating lease liabilities are as follows (in thousands):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w:t>
            </w:r>
          </w:p>
        </w:tc>
        <w:tc>
          <w:tcPr>
            <w:tcW w:w="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80" w:type="dxa"/>
            <w:vAlign w:val="bottom"/>
          </w:tcPr>
          <w:p>
            <w:pPr>
              <w:spacing w:after="0"/>
              <w:rPr>
                <w:sz w:val="18"/>
                <w:szCs w:val="18"/>
                <w:color w:val="auto"/>
              </w:rPr>
            </w:pPr>
          </w:p>
        </w:tc>
      </w:tr>
      <w:tr>
        <w:trPr>
          <w:trHeight w:val="210"/>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143,015</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(19,077)</w:t>
            </w:r>
          </w:p>
        </w:tc>
      </w:tr>
      <w:tr>
        <w:trPr>
          <w:trHeight w:val="20"/>
        </w:trPr>
        <w:tc>
          <w:tcPr>
            <w:tcW w:w="4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present value of minimum lease payments</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123,938</w:t>
            </w:r>
          </w:p>
        </w:tc>
        <w:tc>
          <w:tcPr>
            <w:tcW w:w="8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Through its CoreCivic Properties segment, as of December 31, 2025, the Company owned $161.7 million in property and equipment at five properties, four of which are currently leased to government agencies under operating and finance leases that expire over varying dates through 2040 and some of which contain renewal options. In accordance with ASC 842, minimum lease revenue is recognized on a straight-line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 Future minimum lease payments to be received from third-party lessees as of December 31, 2025 for the Company's operating leases are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16,213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12,004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10,279</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120" w:type="dxa"/>
            <w:vAlign w:val="bottom"/>
          </w:tcPr>
          <w:p>
            <w:pPr>
              <w:spacing w:after="0"/>
              <w:rPr>
                <w:sz w:val="20"/>
                <w:szCs w:val="20"/>
                <w:color w:val="auto"/>
              </w:rPr>
            </w:pPr>
          </w:p>
        </w:tc>
      </w:tr>
      <w:tr>
        <w:trPr>
          <w:trHeight w:val="846"/>
        </w:trPr>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F-16</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Financing Leasing Transactions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January 24, 2018, CoreCivic entered into a 20-year lease agreement with the Kansas Department of Corrections ("KDOC") for a 2,432-bed correctional facility to be constructed by the Company in Lansing, Kansas. The new facility, reported in the Company's CoreCivic Properties segment, replaced the Lansing Correctional Facility, Kansas' largest correctional complex for adult male inmates, originally constructed in 1863. CoreCivic will be responsible for facility maintenance throughout the 20-year term of the lease, at which time ownership will revert to the state of Kansas. Construction of the facility commenced in the first quarter of 2018, and construction was completed in January 2020, at which time the lease commenced. CoreCivic accounts for the lease with the KDOC partially as a financing receivable under ASC 842, with the remaining portion of the lease payments attributable to maintenance services and capital expenditures as revenue streams under ASC 606. As of December 31, 2025 and 2024, the financing receivable was $131.2 million and $135.3 million, respectively, included in Other Assets on the consolidated balance sheets. For the years ended December 31, 2025, 2024 and 2023, the Lansing Correctional Facility generated $2.6 million, $2.7 million, and $2.6 million, respectively, of revenue associated with the non-lease services components of the arrangement, and $8.1 million, $8.3 million, and $8.5 million of interest income, respectively. Future minimum lease payments to be received from the third-party lessee as of December 31, 2025 for the Company's finance lease is as follows (in thousands):</w:t>
      </w: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 to be received</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(67,831)</w:t>
            </w:r>
          </w:p>
        </w:tc>
        <w:tc>
          <w:tcPr>
            <w:tcW w:w="0" w:type="dxa"/>
            <w:vAlign w:val="bottom"/>
          </w:tcPr>
          <w:p>
            <w:pPr>
              <w:spacing w:after="0"/>
              <w:rPr>
                <w:sz w:val="1"/>
                <w:szCs w:val="1"/>
                <w:color w:val="auto"/>
              </w:rPr>
            </w:pPr>
          </w:p>
        </w:tc>
      </w:tr>
      <w:tr>
        <w:trPr>
          <w:trHeight w:val="198"/>
        </w:trPr>
        <w:tc>
          <w:tcPr>
            <w:tcW w:w="738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amount representing maintenance services</w:t>
            </w:r>
          </w:p>
        </w:tc>
        <w:tc>
          <w:tcPr>
            <w:tcW w:w="50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(70,122)</w:t>
            </w:r>
          </w:p>
        </w:tc>
        <w:tc>
          <w:tcPr>
            <w:tcW w:w="0" w:type="dxa"/>
            <w:vAlign w:val="bottom"/>
          </w:tcPr>
          <w:p>
            <w:pPr>
              <w:spacing w:after="0"/>
              <w:rPr>
                <w:sz w:val="1"/>
                <w:szCs w:val="1"/>
                <w:color w:val="auto"/>
              </w:rPr>
            </w:pPr>
          </w:p>
        </w:tc>
      </w:tr>
      <w:tr>
        <w:trPr>
          <w:trHeight w:val="221"/>
        </w:trPr>
        <w:tc>
          <w:tcPr>
            <w:tcW w:w="73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and capital expenditures</w:t>
            </w:r>
          </w:p>
        </w:tc>
        <w:tc>
          <w:tcPr>
            <w:tcW w:w="50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present value of minimum lease payments to be received</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ind w:left="520" w:right="7820" w:hanging="512"/>
        <w:spacing w:after="0" w:line="378" w:lineRule="auto"/>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TRANSACTIONS Assets Held For Sale and Dispositions</w:t>
      </w: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30, 2025, CoreCivic completed the sale of an idled 60-bed facility in Colorado that was reported in its CoreCivic Community segment. The sale generated net sales proceeds of $3.7 million, resulting in a net gain on sale of real estate assets of $2.5 million reported in other income in the consolidated statement of operations for the third quarter of 2025.</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third quarter of 2025, the Company and Boulder County, Colorado entered into a short-term extension through January 2026 of the contract at the Company's Longmont Community Treatment Center in Longmont, Colorado, a facility in the Company's Community segment. Upon expiration of the contract, Boulder County transferred the residential population to a new sentencing facility it constructed. The Company has engaged a broker and is committed to a process to sell the Longmont facility resulting in the need to test the facility for impairment. As a result, an impairment charge of $1.5 million was recognized during the third quarter of 2025 to reduce the net book value of the facility to its estimated fair value, less cost to sell based on a comparable market analysis. The Longmont Facility was classified as held for sale as of December 31, 2025.</w:t>
      </w:r>
    </w:p>
    <w:p>
      <w:pPr>
        <w:spacing w:after="0" w:line="187"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 2024, CoreCivic entered into a purchase and sale agreement for the sale of an idled non-core facility in Live Oak, California that was reported in CoreCivic's Safety segment. The sale had been extended several times and during the fourth quarter of 2025, CoreCivic agreed to sell the facility for a sales price of $1.2 million. The sale was completed in the fourth quarter of 2025, which resulted in a loss on sale of real estate assets of $1.5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CoreCivic incurred an asset impairment charge of $3.1 million in the third quarter of 2024 associated with property and equipment at the Dilley Facility based on a cash flow method for determining fair value. See Note 4 for further detail regarding the IGSA and lease agreements associated with the Dilley Facility. The Dilley Facility is reported in the Company's CoreCivic Safety segment.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2024, CoreCivic completed the sales of two facilities reported in CoreCivic's Community segment and two vacant parcels of land. The sales of these four assets generated aggregate net sales proceeds of $13.3 million, resulting in an aggregate net gain on sale of $3.3 million after transaction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CoreCivic completed the sales of three community corrections facilities leased to government agencies that were reported in CoreCivic's Properties segment and one vacant parcel of land. The sales of these four assets generated aggregate net sales proceeds of $10.8 million, resulting in an aggregate net gain on sale of $0.8 million after transaction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Idle Facilities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new contracts with ICE, during 2025, CoreCivic activated four previously idled facilities with a collective net carrying value of $175.6 million at December 31, 2024, reducing the number of idle facilities to five as of December 31, 2025. These remaining five idle facilities are operated with a core staffing complement to remain currently available and are being actively marketed as solutions to meet the correctional or detention needs of potential customers. The following table summarizes each of the idled facilities and their respective net carrying values, excluding equipment and other assets that could generally be transferred and used at other facilities CoreCivic owns without significant cost (dollars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Net Carrying Values at</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gridSpan w:val="2"/>
            <w:vMerge w:val="restart"/>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43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21,590</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13,546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9,575</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Fork Correctional Facility</w:t>
            </w:r>
          </w:p>
        </w:tc>
        <w:tc>
          <w:tcPr>
            <w:tcW w:w="3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57,636</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4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149,745</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-170815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-170815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CoreCivic incurred aggregate operating expenses at these five idled facilities of approximately $8.5 million, $7.6 million, and $6.9 million during the period they were idle for the years ended December 31, 2025, 2024, and 2023,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evaluates, on a quarterly basis, market developments for the potential utilization of each of its idle facilities in order to identify events that may cause CoreCivic to reconsider its assumptions with respect to the recoverability of book values as compared to undiscounted cash flows. CoreCivic considers the cancellation of a contract in its Safety or Community segment or an expiration and non-renewal of a lease agreement in its CoreCivic Properties segment as indicators of impairment and tests each of the idled facilities for impairment when it is notified by the respective customers or tenants that they would no longer be utilizing such facility.</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6" w:name="page117"/>
    <w:bookmarkEnd w:id="116"/>
    <w:p>
      <w:pPr>
        <w:spacing w:after="0" w:line="194" w:lineRule="exact"/>
        <w:rPr>
          <w:sz w:val="20"/>
          <w:szCs w:val="20"/>
          <w:color w:val="auto"/>
        </w:rPr>
      </w:pPr>
    </w:p>
    <w:p>
      <w:pPr>
        <w:jc w:val="both"/>
        <w:ind w:left="512"/>
        <w:spacing w:after="0" w:line="254" w:lineRule="auto"/>
        <w:rPr>
          <w:sz w:val="20"/>
          <w:szCs w:val="20"/>
          <w:color w:val="auto"/>
        </w:rPr>
      </w:pPr>
      <w:r>
        <w:rPr>
          <w:rFonts w:ascii="Times New Roman" w:cs="Times New Roman" w:eastAsia="Times New Roman" w:hAnsi="Times New Roman"/>
          <w:sz w:val="18"/>
          <w:szCs w:val="18"/>
          <w:color w:val="auto"/>
        </w:rPr>
        <w:t>During the third quarter of 2025, the Company and Boulder County, Colorado entered into a short-term extension through January 2026 of the contract at the Company's Longmont Community Treatment Center. Upon expiration of the contract, Boulder County transferred the residential population to a new sentencing facility it constructed. The Company has engaged a broker and is committed to a process to sell the Longmont facility resulting in the need to test the facility for impairment. As a result, the Company tested the facility for impairment, and reported an impairment charge of $1.5 million during the third quarter of 2025. The Longmont facility notwithstanding, as of December 31, 2025 and 2024, the Company estimated undiscounted cash flows for each facility with an impairment indicator and concluded no impairments had occurred. The Company's estimated undiscounted cash flows reflected the Company’s most recent expectations around potential utilization and/or sale of the facilities and projected cash flows based on historical cash flows, cash flows of comparable facilities, and recent contract negotiations for utilization, as applicable.</w:t>
      </w:r>
    </w:p>
    <w:p>
      <w:pPr>
        <w:spacing w:after="0" w:line="184" w:lineRule="exact"/>
        <w:rPr>
          <w:sz w:val="20"/>
          <w:szCs w:val="20"/>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rFonts w:ascii="Times New Roman" w:cs="Times New Roman" w:eastAsia="Times New Roman" w:hAnsi="Times New Roman"/>
          <w:sz w:val="18"/>
          <w:szCs w:val="18"/>
          <w:b w:val="1"/>
          <w:bCs w:val="1"/>
          <w:color w:val="auto"/>
        </w:rPr>
      </w:pPr>
    </w:p>
    <w:p>
      <w:pPr>
        <w:jc w:val="both"/>
        <w:ind w:left="51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 2025, the acquisition date, CoreCivic acquired the Farmville Detention Center, a 736-bed facility located in Farmville, Virginia. The Farmville Detention Center provides transportation, care, and civil detention services for adult male non-citizens through an IGSA with ICE, which expires in March 2029. The acquisition of the Farmville Detention Center was consummated through the acquisition of 100% of the membership interests in entities that owned and operated the facility. The aggregate purchase price was $71.4 million, including the acquisition of working capital accounts, but excluding $1.9 million of transaction-related expenses. The transaction-related expenses for this business combination were recognized as incurred and are reported in general and administrative expenses in the consolidated statement of operations for the year ended December 31, 2025. The acquisition was funded using cash on hand and borrowings under the Company's Revolving Credit Facility.</w:t>
      </w:r>
    </w:p>
    <w:p>
      <w:pPr>
        <w:spacing w:after="0" w:line="188"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allocating the purchase price for the transaction, CoreCivic recorded at fair value as of the acquisition date the following (in thousands):</w:t>
      </w:r>
    </w:p>
    <w:p>
      <w:pPr>
        <w:spacing w:after="0" w:line="351"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 (land, buildings and improvements)</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54,745</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Personal property</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net</w:t>
            </w: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Contract-related intangible asset</w:t>
            </w: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8"/>
                <w:szCs w:val="18"/>
                <w:color w:val="auto"/>
              </w:rPr>
            </w:pPr>
          </w:p>
        </w:tc>
      </w:tr>
      <w:tr>
        <w:trPr>
          <w:trHeight w:val="250"/>
        </w:trPr>
        <w:tc>
          <w:tcPr>
            <w:tcW w:w="8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ind w:left="512"/>
        <w:spacing w:after="0" w:line="255" w:lineRule="auto"/>
        <w:rPr>
          <w:sz w:val="20"/>
          <w:szCs w:val="20"/>
          <w:color w:val="auto"/>
        </w:rPr>
      </w:pPr>
      <w:r>
        <w:rPr>
          <w:rFonts w:ascii="Times New Roman" w:cs="Times New Roman" w:eastAsia="Times New Roman" w:hAnsi="Times New Roman"/>
          <w:sz w:val="18"/>
          <w:szCs w:val="18"/>
          <w:color w:val="auto"/>
        </w:rPr>
        <w:t>The initial accounting for the Farmville acquisition is provisional and subject to adjustment as additional information becomes available and further analyses are completed, including final settlement of working capital accounts. CoreCivic acquired land, buildings and improvements of the Farmville Detention Center. The Company determined the fair value of the real property using a combination of cost and market approaches. In determining the fair value using the cost approach, we estimated the reproduction cost by applying inflation trending indices to the historical capitalized costs. In applying the market approach, we relied on comparable market sales information. The working capital amounts acquired consisted primarily of accounts receivable of $11.2 million, and other insignificant balances including customary prepaid expenses, trade accounts payable and other accrued expenses.</w:t>
      </w:r>
    </w:p>
    <w:p>
      <w:pPr>
        <w:spacing w:after="0" w:line="189"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The contract-related intangible asset was valued based on the present value of the incremental after-tax cash flows attributable to the contract which has a term that expires in March 2029, or 3.75 years estimated useful life. The fair value for the contract-related intangible asset is based on a valuation method prepared using Level 3 inputs and assumptions in accordance with ASC 820.</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17" w:name="page118"/>
    <w:bookmarkEnd w:id="117"/>
    <w:p>
      <w:pPr>
        <w:spacing w:after="0" w:line="19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Several factors gave rise to the goodwill recorded in the acquisition of the Farmville Detention Center, such as the expected benefit from acquiring a business with an assembled workforce, which expands the detention solutions the Company provides. The results of operations for this business combination have been included in the Company's consolidated financial statements from the date of the acquisition and are reported in the CoreCivic Safety segment.</w:t>
      </w:r>
    </w:p>
    <w:p>
      <w:pPr>
        <w:spacing w:after="0" w:line="17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consist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Intangible assets, less accumulated amortization</w:t>
            </w:r>
          </w:p>
        </w:tc>
        <w:tc>
          <w:tcPr>
            <w:tcW w:w="200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8,258</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$3,521 and $2,761, respectively</w:t>
            </w:r>
          </w:p>
        </w:tc>
        <w:tc>
          <w:tcPr>
            <w:tcW w:w="2000" w:type="dxa"/>
            <w:vAlign w:val="bottom"/>
            <w:gridSpan w:val="2"/>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 - Kansas lease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lease assets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136,990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Debt issuance costs for revolving credit facility,</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 of $1,789 and</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3,384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$962, respectively</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equivalents and cash surrender value of life</w:t>
            </w:r>
          </w:p>
        </w:tc>
        <w:tc>
          <w:tcPr>
            <w:tcW w:w="1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16,957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insurance held in rabbi trust</w:t>
            </w:r>
          </w:p>
        </w:tc>
        <w:tc>
          <w:tcPr>
            <w:tcW w:w="1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21,640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2,637</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322,420</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The gross carrying amount of intangible assets amounted to $11.8 million and $9.5 million at December 31, 2025 and 2024, respectively. Amortization expense related to intangible assets was $0.8 million, $0.5 million, and $0.5 million for 2025, 2024, and 2023, respectively, and was reported as depreciation and amortization in the accompanying consolidated statements of operations for the respective periods.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estimated amortization expense related to intangible assets for each of the next five years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2026</w:t>
            </w:r>
          </w:p>
        </w:tc>
        <w:tc>
          <w:tcPr>
            <w:tcW w:w="41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2027</w:t>
            </w:r>
          </w:p>
        </w:tc>
        <w:tc>
          <w:tcPr>
            <w:tcW w:w="4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2028</w:t>
            </w:r>
          </w:p>
        </w:tc>
        <w:tc>
          <w:tcPr>
            <w:tcW w:w="4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2029</w:t>
            </w:r>
          </w:p>
        </w:tc>
        <w:tc>
          <w:tcPr>
            <w:tcW w:w="4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2030</w:t>
            </w:r>
          </w:p>
        </w:tc>
        <w:tc>
          <w:tcPr>
            <w:tcW w:w="4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864"/>
        </w:trPr>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F-20</w:t>
            </w: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2" w:lineRule="exact"/>
        <w:rPr>
          <w:sz w:val="20"/>
          <w:szCs w:val="20"/>
          <w:color w:val="auto"/>
        </w:rPr>
      </w:pPr>
    </w:p>
    <w:p>
      <w:pPr>
        <w:ind w:left="520" w:right="3380" w:hanging="512"/>
        <w:spacing w:after="0" w:line="412" w:lineRule="auto"/>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ACCRUED EXPENSES AND OTHER LONG-TERM LIABILITIES </w:t>
      </w:r>
      <w:r>
        <w:rPr>
          <w:rFonts w:ascii="Times New Roman" w:cs="Times New Roman" w:eastAsia="Times New Roman" w:hAnsi="Times New Roman"/>
          <w:sz w:val="18"/>
          <w:szCs w:val="18"/>
          <w:color w:val="auto"/>
        </w:rPr>
        <w:t>Accounts payable and accrued expenses consist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9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82,277</w:t>
            </w:r>
          </w:p>
        </w:tc>
        <w:tc>
          <w:tcPr>
            <w:tcW w:w="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Commissary and related resident payables</w:t>
            </w: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workers' compensation and auto liability</w:t>
            </w: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litigation</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medical insurance</w:t>
            </w: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16,881</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payable</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11,842</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353,173</w:t>
            </w:r>
          </w:p>
        </w:tc>
        <w:tc>
          <w:tcPr>
            <w:tcW w:w="2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6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contract liability</w:t>
            </w:r>
          </w:p>
        </w:tc>
        <w:tc>
          <w:tcPr>
            <w:tcW w:w="1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3,096</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Accrued workers' compensation</w:t>
            </w: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41,976</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34,765</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deferred compensation</w:t>
            </w: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16,504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Lease financing obligation</w:t>
            </w: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6,474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100,079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17,731</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2,371</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170,500</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78,064</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F-21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-2973705</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-1070610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-1053465</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outstanding consists of the following (in thousands):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Revolving Credit Facility maturing October 2028.</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payable periodically at variable interest rates.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 rate at December 31, 2025 was 7.3%.</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245,000</w:t>
            </w:r>
          </w:p>
        </w:tc>
        <w:tc>
          <w:tcPr>
            <w:tcW w:w="1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maturing October 2028. Interest payable periodically</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variable interest rates. The rate at December 31, 2025 and 2024</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6.8% and 7.2%, respectively. Unamortized debt issuance costs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amounted to $0.9 million and $1.1 million at December 31, 2025</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4.75% Senior Notes maturing October 2027. Unamortized debt</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costs amounted to $0.7 million and $1.1 million at</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238,468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238,468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8.25% Senior Notes maturing April 2029. Unamortized debt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amounted to $5.7 million and $7.5 million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4.43% Lansing Correctional Center Non-Recourse Mortgage Note</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maturing January 2040. Unamortized debt issuance costs amounted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 $2.3 million and $2.5 million at December 31, 2025</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134,339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1,230,307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1,205,037</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-590550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October 11, 2023, CoreCivic entered into a Fourth Amended and Restated Credit Agreement (referred to herein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Credit Facility") in an aggregate principal amount of $400.0 million, consisting of a $125.0 million term loan (the "Term Loan") and a revolving credit facility with a borrowing capacity of $275.0 million (the "Revolving Credit Facility"). The Bank Credit Facility has a maturity of October 2028. On December 1, 2025, the Company amended its Bank Credit Facility to, among other things, increase the size of the accordion feature that provides for uncommitted incremental extensions of credit from the greater of $200.0 million or 50% of Consolidated EBITDA for the period of four fiscal quarters most recently ended to the greater of $300.0 million or 50% of Consolidated EBITDA for the period of four quarters most recently ended, and to exercise the accordion feature by expanding the capacity under its revolving credit facility from $275.0 million to $575.0 million. At CoreCivic's option, interest on outstanding borrowings under the Bank Credit Facility is based on either a base rate plus a margin ranging from 1.75% to 3.5% based upon the Company’s then-current total leverage ratio, or at Term SOFR (as defined in the Bank Credit Facility), which is a forward-looking term rate based on the Secured Overnight Financing Rate ("SOFR") plus a margin ranging from 2.75% to 4.5% based on the Company’s then-current total leverage ratio. The Revolving Credit Facility includes a $25.0 million sublimit for swing line loans that enables CoreCivic to borrow at the base rate plus the applicable margin from the Administrative Agent (as defined in the Bank Credit Facility) on same-day notice.</w:t>
      </w:r>
    </w:p>
    <w:p>
      <w:pPr>
        <w:spacing w:after="0" w:line="18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Based on the Company's total leverage ratio, as of December 31, 2025, interest on loans under the Bank Credit Facility was at a base rate plus a margin of 1.75% or at the Term SOFR plus a margin of 2.75%, and a commitment fee equal to 0.35% of the unfunded balance of the Revolving Credit Facility. The Revolving Credit Facility also has a $100.0 million sublimit for the issuance of standby letters of credit. As of December 31, 2025, CoreCivic had $245.0 million outstanding under the Revolving Credit Facility. As of December 31, 2025, CoreCivic had $18.6 million in letters of credit outstanding, resulting in $311.4 million available under the Revolving Credit Facility. The Term Loan, which had an outstanding principal balance of $112.5 million as of December 31, 2025, requires scheduled quarterly principal payments through October 2028, and is pre-payable without penalty.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Credit Facility requires CoreCivic to meet certain financial covenants, including, without limitation, a total leverage ratio of not more than 4.50 to 1.00, a secured leverage ratio of not more than 2.50 to 1.00, and a fixed charge coverage ratio of not less than 1.75 to 1.00. As of December 31, 2025, CoreCivic was in compliance with all such covenants. The Bank Credit Facility is secured by a pledge of all of the capital stock (or other ownership interests) of CoreCivic's domestic restricted subsidiaries, 65% of the capital stock (or other ownership interests) of CoreCivic's "first-tier" foreign subsidiaries, all of the accounts receivable of the Company and its domestic restricted subsidiaries, and substantially all of the deposit accounts of the Company and its domestic restricted subsidiaries. In the event that (a) the consolidated total leverage equals or exceeds 4.25 to 1.00 or (b) the Company incurs certain debt above a specified threshold, each known as a "springing lien" event, certain intangible assets and unencumbered real estate assets that meet a 50% loan-to-value requirement are required to be added as collateral. In addition, the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and in each case subject to customary carveouts. The Bank Credit Facility is subject to cross-default provisions with respect to the terms of certain of CoreCivic's other material indebtedness and is subject to acceleration upon the occurrence of a change of control.</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Interest on the $238.5 million remaining aggregate principal amount of CoreCivic's 4.75% senior unsecured notes issued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with an original principal amount of $250.0 million (the "4.75% Senior Notes") accrues at the stated rate and is payable in April and October of each year. The 4.75% Senior Notes are scheduled to mature on October 15, 2027. During 2024 and 2023, the Company purchased $11.5 million principal amount of the 4.75% Senior Notes through open market purchases, reducing the outstanding balance of the 4.75% Senior Notes to $238.5 million. Interest on the aggregate principal amount of CoreCivic's 8.25% senior unsecured notes issued in March 2024 with a principal amount of $500.0 million (the "8.25% Senior Notes") accrues at the stated rate and is payable in April and October of each year. The 8.25% Senior Notes are scheduled to mature on April 15, 2029. During 2024, CoreCivic recorded charges totaling $31.3 million associated with the cash tender offer and redemption of senior notes with an outstanding balance of $593.1 million, including the non-cash write-off of unamortized loan issuance costs and original issue premium, that were originally scheduled to mature in April 2026.</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4.75% Senior Notes and the 8.25% Senior Notes (collectively, the "Senior Notes") are senior unsecured obligations of the Company and are guaranteed by all of the Company's existing and future subsidiaries that guarantee the Bank Credit Facility. CoreCivic may redeem all or part of the 4.75% Senior Notes at any time prior to three months before their maturity date at a "make-whole" redemption price, plus accrued and unpaid interest thereon to, but not including, the redemption date. Thereafter, the 4.75% Senior Notes are redeemable at CoreCivic's option, in whole or in part, at a redemption price equal to 100% of the aggregate principal amount of the notes to be redeemed plus accrued and unpaid interest thereon to, but not including, the redemption date. The Company may redeem all or part of the 8.25% Senior Notes at any time prior to April 15, 2026, in whole or in part, at a "make-whole" redemption price, plus accrued and unpaid interest thereon to, but not including, the redemption date. Thereafter, the 8.25% Senior Notes are redeemable at CoreCivic's option, in whole or in part, at a redemption price expressed as a percentage of the principal amount thereof, which percentage is 104.125% beginning on April 15, 2026, 102.063% beginning on April 15, 2027, and 100% beginning on April 15, 2028, plus, in each such case, accrued and unpaid interest thereon to, but not including, the redemption date.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indentures governing the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any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the 8.25% Senior Notes additionally limits CoreCivic's ability to incur indebtedness, make restricted payments and investments and prepay certain indebtedness. The Senior Notes are also subject to cross-default provisions with certain of CoreCivic's other indebtedness, which includes the Bank Credit Facility.</w:t>
      </w: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1" w:name="page122"/>
    <w:bookmarkEnd w:id="121"/>
    <w:p>
      <w:pPr>
        <w:spacing w:after="0" w:line="192"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Lansing Correctional Facility Non-Recourse Mortgage Note. </w:t>
      </w:r>
      <w:r>
        <w:rPr>
          <w:rFonts w:ascii="Times New Roman" w:cs="Times New Roman" w:eastAsia="Times New Roman" w:hAnsi="Times New Roman"/>
          <w:sz w:val="18"/>
          <w:szCs w:val="18"/>
          <w:color w:val="auto"/>
        </w:rPr>
        <w:t>On April 20, 2018, CoreCivic of Kansas, LLC (the "Issuer"),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subsidiary of the Company, priced $159.5 million in aggregate principal amount of non-recourse senior secured notes of the Issuer (the "Kansas Notes"), in a private placement pursuant to Section 4(a)(2) of the Securities Act of 1933, as amended. The Kansas Notes have a yield to maturity of 4.43% and are scheduled to mature in January 2040, 20 years following completion of the project, which occurred in January 2020. Principal and interest on the Kansas Notes are payable in quarterly payments, which began in July 2020 and continue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Because the Issuer has been designated as an unrestricted subsidiary of the Company under terms of the Bank Credit Facility, the issuance and service of the Kansas Notes, and the revenues and expenses associated with the facility lease, do not impact the financial covenants associated with the Bank Credit Facility. As of December 31, 2025, the outstanding balance of the Kansas Notes was $134.3 million.</w:t>
      </w:r>
    </w:p>
    <w:p>
      <w:pPr>
        <w:spacing w:after="0" w:line="185"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Guarantees and Covenants. </w:t>
      </w:r>
      <w:r>
        <w:rPr>
          <w:rFonts w:ascii="Times New Roman" w:cs="Times New Roman" w:eastAsia="Times New Roman" w:hAnsi="Times New Roman"/>
          <w:sz w:val="18"/>
          <w:szCs w:val="18"/>
          <w:color w:val="auto"/>
        </w:rPr>
        <w:t>All of the restricted domestic subsidiaries of CoreCivic (as the parent corporation) have provided full and unconditional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 of the Senior Notes. All of CoreCivic's subsidiaries guaranteeing the Senior Notes are 100% owned subsidiaries of CoreCivic; and the subsidiary guarantees are full and unconditional and are joint and several obligations of the guarantors.</w:t>
      </w:r>
    </w:p>
    <w:p>
      <w:pPr>
        <w:spacing w:after="0" w:line="1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2025, neither CoreCivic nor any of its subsidiary guarantors had any material or significant restrictions on CoreCivic's ability to obtain funds from its subsidiaries by dividend or loan or to transfer assets from such subsidiaries.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Debt Transactions</w:t>
      </w:r>
    </w:p>
    <w:p>
      <w:pPr>
        <w:spacing w:after="0" w:line="119"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At December 31, 2025 and 2024, CoreCivic had $18.6 million and $18.0 million, respectively, in outstanding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letters of credit were issued primarily to secure CoreCivic's workers' compensation and general liability insurance policies, performance bonds, and for a debt service reserve requirement under terms of the Kansas Notes.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Scheduled principal payments as of December 31, 2025 for the next five years and thereafter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342,995</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507,985</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97,730</w:t>
            </w:r>
          </w:p>
        </w:tc>
        <w:tc>
          <w:tcPr>
            <w:tcW w:w="2240" w:type="dxa"/>
            <w:vAlign w:val="bottom"/>
          </w:tcPr>
          <w:p>
            <w:pPr>
              <w:spacing w:after="0"/>
              <w:rPr>
                <w:sz w:val="18"/>
                <w:szCs w:val="18"/>
                <w:color w:val="auto"/>
              </w:rPr>
            </w:pPr>
          </w:p>
        </w:tc>
      </w:tr>
      <w:tr>
        <w:trPr>
          <w:trHeight w:val="249"/>
        </w:trPr>
        <w:tc>
          <w:tcPr>
            <w:tcW w:w="2260" w:type="dxa"/>
            <w:vAlign w:val="bottom"/>
          </w:tcPr>
          <w:p>
            <w:pPr>
              <w:spacing w:after="0"/>
              <w:rPr>
                <w:sz w:val="21"/>
                <w:szCs w:val="21"/>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3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1,230,307</w:t>
            </w:r>
          </w:p>
        </w:tc>
        <w:tc>
          <w:tcPr>
            <w:tcW w:w="2240" w:type="dxa"/>
            <w:vAlign w:val="bottom"/>
          </w:tcPr>
          <w:p>
            <w:pPr>
              <w:spacing w:after="0"/>
              <w:rPr>
                <w:sz w:val="21"/>
                <w:szCs w:val="21"/>
                <w:color w:val="auto"/>
              </w:rPr>
            </w:pPr>
          </w:p>
        </w:tc>
      </w:tr>
      <w:tr>
        <w:trPr>
          <w:trHeight w:val="845"/>
        </w:trPr>
        <w:tc>
          <w:tcPr>
            <w:tcW w:w="2260" w:type="dxa"/>
            <w:vAlign w:val="bottom"/>
          </w:tcPr>
          <w:p>
            <w:pPr>
              <w:spacing w:after="0"/>
              <w:rPr>
                <w:sz w:val="24"/>
                <w:szCs w:val="24"/>
                <w:color w:val="auto"/>
              </w:rPr>
            </w:pPr>
          </w:p>
        </w:tc>
        <w:tc>
          <w:tcPr>
            <w:tcW w:w="1960" w:type="dxa"/>
            <w:vAlign w:val="bottom"/>
            <w:tcBorders>
              <w:top w:val="single" w:sz="8" w:color="CFF0FC"/>
            </w:tcBorders>
          </w:tcPr>
          <w:p>
            <w:pPr>
              <w:spacing w:after="0"/>
              <w:rPr>
                <w:sz w:val="24"/>
                <w:szCs w:val="24"/>
                <w:color w:val="auto"/>
              </w:rPr>
            </w:pPr>
          </w:p>
        </w:tc>
        <w:tc>
          <w:tcPr>
            <w:tcW w:w="3540" w:type="dxa"/>
            <w:vAlign w:val="bottom"/>
            <w:tcBorders>
              <w:top w:val="single" w:sz="8" w:color="CFF0FC"/>
            </w:tcBorders>
          </w:tcPr>
          <w:p>
            <w:pPr>
              <w:ind w:left="1240"/>
              <w:spacing w:after="0"/>
              <w:rPr>
                <w:sz w:val="20"/>
                <w:szCs w:val="20"/>
                <w:color w:val="auto"/>
              </w:rPr>
            </w:pPr>
            <w:r>
              <w:rPr>
                <w:rFonts w:ascii="Times New Roman" w:cs="Times New Roman" w:eastAsia="Times New Roman" w:hAnsi="Times New Roman"/>
                <w:sz w:val="18"/>
                <w:szCs w:val="18"/>
                <w:color w:val="auto"/>
              </w:rPr>
              <w:t>F-24</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-1071245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-1053465</wp:posOffset>
            </wp:positionV>
            <wp:extent cx="342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Cross-Default Provisions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provisions of CoreCivic's debt agreements relating to the Bank Credit Facility and the Senior Notes contain certain cross-default provisions. Any events of default under the Bank Credit Facility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Bank Credit Facility.</w:t>
      </w:r>
    </w:p>
    <w:p>
      <w:pPr>
        <w:spacing w:after="0" w:line="18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If CoreCivic were to be in default under the Bank Credit Facility, and if the lenders under the Bank Credit Facility elected to exercise their rights to accelerate CoreCivic's obligations under the Bank Credit Facility, such events could result in the acceleration of all or a portion of CoreCivic's Senior Notes, which would have a material impact on CoreCivic's liquidity and financial position. CoreCivic does not have sufficient working capital to satisfy its debt obligations in the event of an acceleration of all or a substantial portion of CoreCivic's outstanding indebtedness.</w:t>
      </w:r>
    </w:p>
    <w:p>
      <w:pPr>
        <w:spacing w:after="0" w:line="176"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contracts that require up-front payments from customers resulting in deferred revenue balances over the expected contract terms. As of December 31, 2025 and 2024, the current portion of deferred revenue amounting to $16.9 million and $12.2 million, respectively, was reported in accounts payable and accrued expenses and the long-term portion of deferred revenue was $8.7 million and $12.4 million, respectively, on the accompanying consolidated balance sheets.</w:t>
      </w:r>
    </w:p>
    <w:p>
      <w:pPr>
        <w:spacing w:after="0" w:line="17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recorded an income tax expense of $40.7 million, $23.1 million, and $28.2 million for the years ended December 31, 2025, 2024 and 2023, respectively. Income tax expense is comprised of the following components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25,031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31,516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40,673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140" w:type="dxa"/>
            <w:vAlign w:val="bottom"/>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F-25</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-1928495</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-1928495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-1928495</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-1362710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-1362710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-1362710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-1071245</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-1053465</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-1071245</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-1053465</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CoreCivic's deferred tax assets and liabilities as of December 31, 2025 and 2024, are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assets: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reserves and liabilities not yet deductible for tax</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14,243</w:t>
            </w:r>
          </w:p>
        </w:tc>
        <w:tc>
          <w:tcPr>
            <w:tcW w:w="18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not yet deductible for tax</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Accrued workers compensation liabilities not</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yet deductible for tax</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lease assets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Losses and tax credit carryforwards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(1,066)</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9"/>
        </w:trPr>
        <w:tc>
          <w:tcPr>
            <w:tcW w:w="50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9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100,268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76,724</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liabilities: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(153,958)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(150,481)</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(33,089)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liabilities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(4,641)</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(198,632)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(165,931)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total noncurrent deferred tax liabilities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(98,364)</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(89,207)</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-1439545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-1439545</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-1156335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-1156335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-316865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 reconciliation in both percentages and U.S. dollars of the income tax provision at the statutory income tax rate and the effective tax rate as a percentage of income from continuing operations before income taxes for the years ended December 31, 2025, 2024, and 2023 is as follows (amounts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6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State and local income taxes,</w:t>
            </w: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federal tax benefit*</w:t>
            </w: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Disallowed executive</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4,662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Disallowed meals and</w:t>
            </w: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entertainment</w:t>
            </w: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Changes in unrecognized tax</w:t>
            </w: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gridSpan w:val="3"/>
            <w:vMerge w:val="restart"/>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vMerge w:val="restart"/>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12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gridSpan w:val="3"/>
            <w:vMerge w:val="continue"/>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4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20" w:type="dxa"/>
            <w:vAlign w:val="bottom"/>
            <w:gridSpan w:val="2"/>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2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Income tax benefit of equity</w:t>
            </w: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(2,538)</w:t>
            </w:r>
          </w:p>
        </w:tc>
        <w:tc>
          <w:tcPr>
            <w:tcW w:w="44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(2,288)</w:t>
            </w:r>
          </w:p>
        </w:tc>
        <w:tc>
          <w:tcPr>
            <w:tcW w:w="4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4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Revaluation of deferred tax items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Prior year return to provision</w:t>
            </w: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(942)</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items, net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(989)</w:t>
            </w:r>
          </w:p>
        </w:tc>
        <w:tc>
          <w:tcPr>
            <w:tcW w:w="440" w:type="dxa"/>
            <w:vAlign w:val="bottom"/>
          </w:tcPr>
          <w:p>
            <w:pPr>
              <w:spacing w:after="0"/>
              <w:rPr>
                <w:sz w:val="18"/>
                <w:szCs w:val="18"/>
                <w:color w:val="auto"/>
              </w:rPr>
            </w:pP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(0.6)</w:t>
            </w:r>
          </w:p>
        </w:tc>
        <w:tc>
          <w:tcPr>
            <w:tcW w:w="3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c>
          <w:tcPr>
            <w:tcW w:w="4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w:t>
            </w:r>
          </w:p>
        </w:tc>
        <w:tc>
          <w:tcPr>
            <w:tcW w:w="4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40,673</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844"/>
        </w:trPr>
        <w:tc>
          <w:tcPr>
            <w:tcW w:w="312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F-26</w:t>
            </w:r>
          </w:p>
        </w:tc>
        <w:tc>
          <w:tcPr>
            <w:tcW w:w="4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-1070610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-1053465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-1070610</wp:posOffset>
            </wp:positionV>
            <wp:extent cx="1289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-1053465</wp:posOffset>
            </wp:positionV>
            <wp:extent cx="1289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-1070610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-1053465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-1070610</wp:posOffset>
            </wp:positionV>
            <wp:extent cx="1111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-1053465</wp:posOffset>
            </wp:positionV>
            <wp:extent cx="1111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-1070610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-1053465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-1070610</wp:posOffset>
            </wp:positionV>
            <wp:extent cx="1117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-1053465</wp:posOffset>
            </wp:positionV>
            <wp:extent cx="1117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taxes in Arizona and Texas made up the majority (greater than 50%) of the tax effect in this category for the years ended December 31, 2025, 2024 and 2023.</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10"/>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Expected income tax expense</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33,007</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 disaggregation threshold</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 threshold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28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-453390</wp:posOffset>
            </wp:positionV>
            <wp:extent cx="1289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-453390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-453390</wp:posOffset>
            </wp:positionV>
            <wp:extent cx="1111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1289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Annual income taxes paid, net of refunds received and disaggregated by jurisdiction, for the years ended December 31, 2025, 2024, and 2023 are as follows (in thousands):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8"/>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31,666</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of Arizona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of Texas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other states (individually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5% of total)</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taxes paid</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37,022</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One Big Beautiful Bill Act ("OBBBA") was passed by the U.S. Congress in 2025 and signed into law by President Trump on July 4, 2025. The OBBBA includes a broad range of tax reform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adopted the tax provisions in the current period when the provisions were signed into law.</w:t>
      </w:r>
    </w:p>
    <w:p>
      <w:pPr>
        <w:spacing w:after="0" w:line="183" w:lineRule="exact"/>
        <w:rPr>
          <w:sz w:val="20"/>
          <w:szCs w:val="20"/>
          <w:color w:val="auto"/>
        </w:rPr>
      </w:pPr>
    </w:p>
    <w:p>
      <w:pPr>
        <w:jc w:val="both"/>
        <w:ind w:left="520"/>
        <w:spacing w:after="0" w:line="281" w:lineRule="auto"/>
        <w:rPr>
          <w:sz w:val="20"/>
          <w:szCs w:val="20"/>
          <w:color w:val="auto"/>
        </w:rPr>
      </w:pPr>
      <w:r>
        <w:rPr>
          <w:rFonts w:ascii="Times New Roman" w:cs="Times New Roman" w:eastAsia="Times New Roman" w:hAnsi="Times New Roman"/>
          <w:sz w:val="18"/>
          <w:szCs w:val="18"/>
          <w:color w:val="auto"/>
        </w:rPr>
        <w:t>CoreCivic had no liabilities for uncertain tax positions as of December 31, 2025 and 2024.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6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CoreCivic's U.S. federal income tax returns for tax years 2022 through 2024 remain subject to examination by the Internal Revenue Service ("IRS"). The majority of states in which CoreCivic files income tax returns follow the same statute of limitations as the federal government. Certain states in which CoreCivic files income tax returns have statutes that remain open from 2021.</w:t>
      </w:r>
    </w:p>
    <w:p>
      <w:pPr>
        <w:spacing w:after="0" w:line="172" w:lineRule="exact"/>
        <w:rPr>
          <w:sz w:val="20"/>
          <w:szCs w:val="20"/>
          <w:color w:val="auto"/>
        </w:rPr>
      </w:pPr>
    </w:p>
    <w:p>
      <w:pPr>
        <w:ind w:left="520" w:right="8400" w:hanging="512"/>
        <w:spacing w:after="0" w:line="412" w:lineRule="auto"/>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Dividends on Common Stock</w:t>
      </w:r>
    </w:p>
    <w:p>
      <w:pPr>
        <w:spacing w:after="0" w:line="49"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5, 2020, the Board of Directors ("BOD") voted unanimously to approve a plan to revoke the Company’s real estate investment trust ("REIT") election and become a taxable C Corporation, effective January 1, 2021; the BOD also voted unanimously to discontinue the then-current quarterly dividend and prioritize allocating the Company's free cash flow to reduce debt levels.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On May 12, 2022, having achieved targeted debt levels, the BOD approved a share repurchase program to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$150.0 million of the Company's common stock. This original authorization, along with the dates and amounts of subsequent increases to the authorization by the BOD to the share repurchase program, are as follows (in thousands):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8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12, 2022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16, 2024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authorization</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700,000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-170815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subject to restricted payment limitations in our debt agreements. The share repurchase program has no time limit and does not obligate the Company to purchase any particular amount of its common stock. The authorization for the share repurchase program may be terminated, suspended, increased or decreased by the BOD in its discretion at any time. During 2025, the Company repurchased 11.2 million shares of its common stock at a total cost of $218.4 million, or $19.48 per share, excluding costs associated with the share repurchase program. As of December 31, 2025, the Company had repurchased a total of 25.7 million common shares at an aggregate cost of approximately $399.5 million, or $15.52 per share, and had approximately $300.5 million of repurchase authorization available under the share repurchase program.</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During 2025, CoreCivic issued approximately 1.2 million RSUs to certain of its employees and non-employee directors,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value of $23.9 million, including 1.1 million RSUs to employees and non-employee directors whose compensation is charged to general and administrative expense and 0.1 million RSUs to employees whose compensation is charged to operating expense. During 2024, CoreCivic issued approximately 1.6 million RSUs to certain of its employees and non-employee directors, with an aggregate value of $23.5 million, including 1.5 million RSUs to employees and non-employee directors whose compensation is charged to general and administrative expense and 0.1 million RSUs to employees whose compensation is charged to operating expense.</w:t>
      </w:r>
    </w:p>
    <w:p>
      <w:pPr>
        <w:spacing w:after="0" w:line="40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6" w:name="page127"/>
    <w:bookmarkEnd w:id="126"/>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CoreCivic has established performance-based vesting conditions on a portion of the RSUs awarded to its officers and executive officers that, unless earlier vested under the terms of the agreements, are subject to vesting over a three-year period based upon the satisfaction of certain annual performance criteria. The RSUs awarded to officers and executive officers in 2023, 2024 and 2025 consist of a combination of awards with performance-based conditions and time-based conditions. Unless earlier vested under the terms of the RSU agreements, the RSUs with time-based vesting conditions vest in equal amounts over three years on the later of (i) the anniversary date of the grant or (ii) the delivery of the audited financial statements by the Company's independent registered public accountant for the applicable fiscal year. The RSUs with performance-based vesting conditions are divided into one-third increments, each of which is subject to vesting based upon satisfaction of certain annual performance criteria established at the beginning of the fiscal years ending December 31, 2023, 2024, and 2025 for the 2023 awards, December 31, 2024, 2025, and 2026 for the 2024 awards, and December 31, 2025, 2026, and 2027 for the 2025 awards, and which can be increased up to 150% or decreased to 0% based on performance relative to the annual performance criteria, and further increased or decreased using a modifier of 80% to 120% based on CoreCivic's total shareholder return relative to a peer group. Based on performance achieved for 2025, the RSUs subject to performance-based vesting criteria were increased by 150%; and were further increased by a 114.9% modifier based on CoreCivic's total shareholder return relative to the peer group. Because the performance criteria for the fiscal years ending December 31, 2026 and 2027 have not yet been established, the values of the third RSU increment of the 2024 awards and of the second and third increments of the 2025 awards for financial reporting purposes will not be determined until such criteria are established. A portion of the RSU award granted to CoreCivic's Chief Executive Officer ("CEO") in 2024 contains a single performance-based vesting condition that results in full vesting on the later of (i) the second anniversary of the award or (ii) the delivery of the audited financial statements by the Company's independent registered public accountant for the fiscal year ending December 31, 2025, if the performance criteria is met for the year ending December 31, 2025, or no vesting if the performance criteria is not met for such year. The performance-based vesting condition for this award was met resulting in full vesting of the award. Time-based RSUs issued to other employees, unless earlier vested under the terms of the agreements, generally vest in equal amounts over three years on the later of (i) the anniversary date of the grant or (ii) the delivery of the audited financial statements by the Company's independent registered public accountant for the applicable fiscal year. RSUs issued to non-employee directors generally vest one year from the date of award.</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Nonvested RSU transactions as of December 31, 2025 and activity for the year then ended are summarized below (in thousands, except per share amounts).</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5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15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at December 31, 2025</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5392420</wp:posOffset>
            </wp:positionH>
            <wp:positionV relativeFrom="paragraph">
              <wp:posOffset>-24765</wp:posOffset>
            </wp:positionV>
            <wp:extent cx="1028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-7620</wp:posOffset>
            </wp:positionV>
            <wp:extent cx="1028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2024, and 2023, CoreCivic expensed $27.7 million ($1.1 million of which was recorded in operating expenses and $26.6 million of which was recorded in general and administrative expenses), $25.7 million ($1.6 million of which was recorded in operating expenses and $24.1 million of which was recorded in general and administrative expenses), and $20.8 million ($1.6 million of which was recorded in operating expenses and $19.2 million of which was recorded in general and administrative expenses), net of forfeitures, relating to RSUs, respectively. As of December 31, 2025, CoreCivic had $17.6 million of total unrecognized compensation cost related to RSUs that is expected to be recognized over a remaining weighted-average period of 1.5 years. The total fair value of RSUs that vested during 2025, 2024, and 2023 was $37.1 million, $32.1 million, and $17.8 million, respectively.</w:t>
      </w:r>
    </w:p>
    <w:p>
      <w:pPr>
        <w:spacing w:after="0" w:line="200" w:lineRule="exact"/>
        <w:rPr>
          <w:sz w:val="20"/>
          <w:szCs w:val="20"/>
          <w:color w:val="auto"/>
        </w:rPr>
      </w:pPr>
    </w:p>
    <w:p>
      <w:pPr>
        <w:spacing w:after="0" w:line="20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7" w:name="page128"/>
    <w:bookmarkEnd w:id="127"/>
    <w:p>
      <w:pPr>
        <w:spacing w:after="0" w:line="19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CoreCivic's 2022 annual meeting of stockholders held in May 2022, CoreCivic's stockholders approved the CoreCivic, Inc. Amended and Restated 2020 Stock Incentive Plan that authorized the issuance of new awards to an aggregate of up to 5.9 million shares, plus remaining shares that were available for grant under the CoreCivic, Inc. 2020 Stock Incentive Plan. As of December 31, 2025, CoreCivic had 4.4 million shares available for issuance under the Amended and Restated 2020 Stock Incentive Plan.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CoreCivic has the authority to issue 50.0 million shares of $0.01 par value per share preferred stock (the "Preferred Stock"). The Preferred Stock may be issued from time to time upon authorization by the BOD, in such series and with such preferences, conversion or other rights, voting powers, restrictions, limitations as to dividends, qualifications or other provisions as may be fixed by CoreCivic's BOD.</w:t>
      </w:r>
    </w:p>
    <w:p>
      <w:pPr>
        <w:spacing w:after="0" w:line="172"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w:t>
      </w:r>
    </w:p>
    <w:p>
      <w:pPr>
        <w:spacing w:after="0" w:line="183"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116,503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9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116,503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107,028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stock-based awards</w:t>
            </w: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Weighted average shares and assumed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107,768</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Borders>
              <w:bottom w:val="single" w:sz="8" w:color="CFF0FC"/>
            </w:tcBorders>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conversions</w:t>
            </w:r>
          </w:p>
        </w:tc>
        <w:tc>
          <w:tcPr>
            <w:tcW w:w="9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1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1.09</w:t>
            </w:r>
          </w:p>
        </w:tc>
        <w:tc>
          <w:tcPr>
            <w:tcW w:w="4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4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1.08</w:t>
            </w:r>
          </w:p>
        </w:tc>
        <w:tc>
          <w:tcPr>
            <w:tcW w:w="4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4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-1919605</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-1902460</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-1919605</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-1902460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-1919605</wp:posOffset>
            </wp:positionV>
            <wp:extent cx="596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-1902460</wp:posOffset>
            </wp:positionV>
            <wp:extent cx="59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-1619250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-1602105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-1619250</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-1602105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-1619250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-1602105</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-350520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-333375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-350520</wp:posOffset>
            </wp:positionV>
            <wp:extent cx="59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-333375</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ind w:left="520" w:right="7280" w:hanging="512"/>
        <w:spacing w:after="0" w:line="378" w:lineRule="auto"/>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self-insurance risk.</w:t>
      </w:r>
    </w:p>
    <w:p>
      <w:pPr>
        <w:spacing w:after="0" w:line="19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consolidated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and expenses those items as incurred.</w:t>
      </w:r>
    </w:p>
    <w:p>
      <w:pPr>
        <w:spacing w:after="0" w:line="294"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ICE Detainee Labor and Related Matters. </w:t>
      </w:r>
      <w:r>
        <w:rPr>
          <w:rFonts w:ascii="Times New Roman" w:cs="Times New Roman" w:eastAsia="Times New Roman" w:hAnsi="Times New Roman"/>
          <w:sz w:val="18"/>
          <w:szCs w:val="18"/>
          <w:color w:val="auto"/>
        </w:rPr>
        <w:t>On May 31, 2017, two former ICE detainees, who were detained at the Company's Otay Mesa Detention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laws.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who participated in an ICE VWP at a CoreCivic facility. It also certified a state law class of former and current detainees who participated in a VWP wherever the Company held ICE detainees in California. The Company has exhausted appeals of the class certification order. On May 6, 2024, the district court stayed the filing of dispositive motions on state law claims under California law pending the outcome of a related case being prosecuted by another private prison company. That case is currently on appeal in the Ninth Circuit Court of Appeals. The claims resulting in certified classes are proceeding in all other respects in the United States District Court for the Southern District of California, where the discovery process has commenced. A second California lawsuit concerning the VWP at OMDC has been stayed pending the outcome of class proceedings in the first California case described above</w:t>
      </w:r>
      <w:r>
        <w:rPr>
          <w:rFonts w:ascii="Times New Roman" w:cs="Times New Roman" w:eastAsia="Times New Roman" w:hAnsi="Times New Roman"/>
          <w:sz w:val="18"/>
          <w:szCs w:val="18"/>
          <w:color w:val="242424"/>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stage of the ongoing proceedings, the Company cannot reasonably predict the outcomes, nor can it estimate the amount of loss or range of loss, if any, that may result. As a result, the Company has not recorded an accrual relating to these matters at this time, as losses are not considered probable or reasonably estimable at this stage of these lawsuits.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City </w:t>
      </w:r>
      <w:r>
        <w:rPr>
          <w:rFonts w:ascii="Times New Roman" w:cs="Times New Roman" w:eastAsia="Times New Roman" w:hAnsi="Times New Roman"/>
          <w:sz w:val="18"/>
          <w:szCs w:val="18"/>
          <w:i w:val="1"/>
          <w:iCs w:val="1"/>
          <w:color w:val="404040"/>
        </w:rPr>
        <w:t>of Leavenworth.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March 7, 2025, CoreCivic entered into a letter agreement with ICE to begin activation efforts at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1,033-bed Midwest Regional Reception Center in Leavenworth, Kansas. On September 29, 2025, CoreCivic announced that it entered into a new two-year contract with ICE effective September 7, 2025. On March 31, 2025, the City of Leavenworth filed a lawsuit in the United States District Court for the District of Kansas alleging that a Special Use Permit ("SUP") must be obtained to operate the facility. The City's initial lawsuit was dismissed in federal court. The City subsequently re-filed its lawsuit in the District Court of Leavenworth County, Kansas, where the Court granted a temporary restraining order barring CoreCivic from housing detainees at the Midwest Regional Reception Center without first obtaining an SUP. CoreCivic plans to continue vigorously defending this matter on the basis that an SUP is not applicable under existing statute, and has filed an appeal in the Court of Appeals of the State of Kansas. On August 8, 2025, the Company filed a lawsuit in the United States District Court for the District of Kansas alleging that the City’s conduct constitutes ongoing violations of the United States Constitution and other federal rights. On September 23, 2025, the U.S. Department of Justice ("DOJ") filed a Statement of Interest in support of CoreCivic in that case arguing that the City's actions violate the Constitution's Supremacy Clause and urging the court to enjoin the City from further unlawful interference. In December 2025, the federal court dismissed the Company's lawsuit. In December 2025, the Company filed an application for the SUP. The Company can provide no assurance that its legal appeal will be successful, or that the SUP will be approved and therefore, cannot predict if or when the Company will be able to accept detainee populations at this facility.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California City Immigration Processing Center Litigation. </w:t>
      </w:r>
      <w:r>
        <w:rPr>
          <w:rFonts w:ascii="Times New Roman" w:cs="Times New Roman" w:eastAsia="Times New Roman" w:hAnsi="Times New Roman"/>
          <w:sz w:val="18"/>
          <w:szCs w:val="18"/>
          <w:color w:val="auto"/>
        </w:rPr>
        <w:t>Effective April 1, 2025, CoreCivic entered into a letter agreement with ICE to begin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activation efforts at the California City Immigration Processing Center in California City, California. In August 2025, the California City facility began receiving detainees. On September 29, 2025, CoreCivic announced that it entered into a new two-year contract with ICE effective September 1, 2025. On September 16, 2025, a non-governmental organization and a detainee filed a lawsuit alleging that a business license must be obtained to operate the facility and seeks injunctive relief that would include operational interruption at the facility. CoreCivic removed the case to federal district court for the Eastern District of California and plans to vigorously defend this matter on numerous grounds. Plaintiff filed a motion for temporary injunctive relief, and the judge denied the motion. The Company can provide no assurance that it will obtain a favorable ruling in this matter or predict when this matter will be resolved. If Plaintiff continues to pursue injunctive relief and the court orders such relief as requested, the Court could require cessation of new intakes or closure of the facility until such time the Company meets any requirements established by the Court, which would negatively impact the financial performance of the facility.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12, 2025, a separate putative class action case was filed by seven ICE detainees against ICE, seeking injunctive relief related to operation of the California City facility. The case was filed by attorneys affiliated with three non-governmental organizations. The Company is not a party to the lawsuit, but the injunctive relief sought by Plaintiffs could impact operation of the California City facility. On February 6, 2026, the Court provisionally granted class certification for at least 120 days, and ordered ICE to ensure access to medical care, disability accommodations, and recreation opportunities to detainees housed at the California City facility. If Plaintiffs continue to pursue injunctive relief and the Court orders such relief as requested, such relief could negatively impact the financial performance of the facility.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Inmate Litigation Matter. </w:t>
      </w:r>
      <w:r>
        <w:rPr>
          <w:rFonts w:ascii="Times New Roman" w:cs="Times New Roman" w:eastAsia="Times New Roman" w:hAnsi="Times New Roman"/>
          <w:sz w:val="18"/>
          <w:szCs w:val="18"/>
          <w:color w:val="auto"/>
        </w:rPr>
        <w:t>On April 24, 2025, a jury returned a verdict in favor of a plaintiff against CoreCivic in the amount of $27.8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substantially covered by the Company's insurance. The plaintiff was an inmate at the Crossroads Correctional Center in Shelby, Montana, in 2018 when he was assaulted by another inmate. The jury determined that the plaintiff proved that the Company violated his civil rights by not adequately protecting him from the inmate-on-inmate assault. The Company appealed this decision to the Ninth Circuit Court of Appeals. While the case was on appeal, in January 2026, the parties settled this matter. The Company has recorded a receivable for the amount expected to be covered by insurance. The settlement of this matter is not expected to have a material impact on the Company's consolidated financial statements.</w:t>
      </w:r>
    </w:p>
    <w:p>
      <w:pPr>
        <w:spacing w:after="0" w:line="40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0" w:name="page131"/>
    <w:bookmarkEnd w:id="1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Department of Justice Investigation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state of Tennessee was notified by letter that the DOJ was commencing an investigation under the Civil Rights of Institutionalized Persons Act of conditions in the Company-owned and operated Trousdale Turner Correctional Center, which the Company manages on behalf of the Tennessee Department of Corrections. The Company is cooperating with the investigation.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employees of CoreCivic are eligible to participate in the CoreCivic 401(k) Savings and Retirement Plan (the "Plan") upon reaching age 18 and completing six months of qualified service. Eligible employees may contribute up to 90% of their eligible compensation, subject to IRS limitations. For the years ended December 31, 2025, 2024, and 2023, CoreCivic provided a discretionary matching contribution equal to 100% of the employee's contributions up to 5% of the employee's eligible compensation to employees with at least 500 hours of employment in the plan year. Employer matching contributions paid into the Plan each pay period vest immediately pursuant to safe harbor provisions adopted by the Plan. During 2025, 2024, and 2023, CoreCivic's discretionary contributions and expense to the Plan were $15.0 million, $14.0 million, and $14.4 million,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2025, 2024, and 2023,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200" w:lineRule="exact"/>
        <w:rPr>
          <w:sz w:val="20"/>
          <w:szCs w:val="20"/>
          <w:color w:val="auto"/>
        </w:rPr>
      </w:pPr>
    </w:p>
    <w:p>
      <w:pPr>
        <w:spacing w:after="0" w:line="2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1" w:name="page132"/>
    <w:bookmarkEnd w:id="131"/>
    <w:p>
      <w:pPr>
        <w:spacing w:after="0" w:line="194"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During 2025, 2024, and 2023, CoreCivic provided a fixed return of 5.5%, 5.2%, and 5.0%, respectively,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2025, 2024, and 2023, CoreCivic recorded $0.6 million, $0.3 million, and $0.3 million, respectively, of matching contributions as general and administrative expense associated with the Deferred Compensation Plans. Assets in the Rabbi Trust were $17.0 million and $16.7 million as of December 31, 2025 and 2024, respectively, and were reflected in other assets on the accompanying consolidated balance sheets. As of December 31, 2025 and 2024, CoreCivic's liability related to the Deferred Compensation Plans was $17.2 million and $16.1 million, respectively, which was reflected in accounts payable and accrued expenses and other liabilities on the accompanying consolidated balance sheets.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CoreCivic currently has an executive severance and change in control plan, which provides for the payment of certain severance amounts upon termination of employment under certain circumstances or a change of control, as defined in the plan.</w:t>
      </w:r>
    </w:p>
    <w:p>
      <w:pPr>
        <w:spacing w:after="0" w:line="158"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President and CEO of the Company is identified as the CODM as defined by ASU 2023-07. The CODM routinely reviews segment net operating income compared to budget and prior periods to assess performance and allocate resources within reportable segments. As of December 31, 2025, CoreCivic operated 44 correctional and detention facilities, 40 of which the Company owned or controlled via a long-term lease. In addition, CoreCivic operated 20 residential reentry centers, which it owned or controlled via a long-term lease, and owned five properties held for lease to government agencies. All revenues are attributed to CoreCivic's operations and long-lived assets located in the U.S. Management views CoreCivic's operating results in three operating segments, CoreCivic Safety, CoreCivic Community, and CoreCivic Properties, each of which is a reportable segment.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held for lease to government agencies. The operating performance of the three segments can be measured based on their net operating income. CoreCivic defines facility net operating income as a facility's revenues less operating expenses.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revenue and facility net operating income for each of the three segments and a reconciliation to CoreCivic's income before income taxes is as follows for the three years ended December 31, 2025, 2024, and 2023 (in thousands):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2,069,494</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1,816,850</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122,842</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118,656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2,211,051</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1,961,591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1,586,707</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1,382,520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9,621</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1,692,455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net operating income: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482,787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26,715</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facility net operating income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518,596</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468,316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(169,580)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(152,081)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(128,905)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(128,011)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(62,229)</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220" w:type="dxa"/>
            <w:vAlign w:val="bottom"/>
            <w:shd w:val="clear" w:color="auto" w:fill="CFF0FC"/>
          </w:tcPr>
          <w:p>
            <w:pPr>
              <w:spacing w:after="0"/>
              <w:rPr>
                <w:sz w:val="20"/>
                <w:szCs w:val="20"/>
                <w:color w:val="auto"/>
              </w:rPr>
            </w:pPr>
          </w:p>
        </w:tc>
        <w:tc>
          <w:tcPr>
            <w:tcW w:w="1040" w:type="dxa"/>
            <w:vAlign w:val="bottom"/>
            <w:tcBorders>
              <w:right w:val="single" w:sz="8" w:color="CFF0FC"/>
            </w:tcBorders>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(31,316)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(289)</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157,176</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91,963</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-3093720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-3093720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-3093720</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-2536825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-2536825</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-2536825</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-1687830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-1687830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-1687830</wp:posOffset>
            </wp:positionV>
            <wp:extent cx="596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-170815</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-170815</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-170815</wp:posOffset>
            </wp:positionV>
            <wp:extent cx="596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jc w:val="both"/>
        <w:ind w:left="460" w:firstLine="1"/>
        <w:spacing w:after="0" w:line="277" w:lineRule="auto"/>
        <w:tabs>
          <w:tab w:leader="none" w:pos="631"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Salaries and benefits expense is the only significant reportable segment expense regularly reviewed by the CODM for both the Safety and Community segments and represents the majority of segment-level operating expenses given that substantial staff are required to operate the facilities and is the primary factor that drives operating expenses and profitability. Conversely, the Properties segment does not have a significant segment expense given the fact that those properties are operated by government agencies. The following table summarizes the significant segment expense, along with other segment operating expenses to reconcile to total segment operating expenses for both the Safety and Community segments for the years ended December 31, 2025, 2024 and 2023 (in thousands):</w:t>
      </w:r>
    </w:p>
    <w:p>
      <w:pPr>
        <w:spacing w:after="0" w:line="38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3" w:name="page134"/>
    <w:bookmarkEnd w:id="133"/>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0"/>
        </w:trPr>
        <w:tc>
          <w:tcPr>
            <w:tcW w:w="5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Safety: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4"/>
        </w:trPr>
        <w:tc>
          <w:tcPr>
            <w:tcW w:w="530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994,215</w:t>
            </w:r>
          </w:p>
        </w:tc>
        <w:tc>
          <w:tcPr>
            <w:tcW w:w="38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876,954</w:t>
            </w:r>
          </w:p>
        </w:tc>
        <w:tc>
          <w:tcPr>
            <w:tcW w:w="40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830,418</w:t>
            </w:r>
          </w:p>
        </w:tc>
        <w:tc>
          <w:tcPr>
            <w:tcW w:w="100" w:type="dxa"/>
            <w:vAlign w:val="bottom"/>
          </w:tcPr>
          <w:p>
            <w:pPr>
              <w:spacing w:after="0"/>
              <w:rPr>
                <w:sz w:val="14"/>
                <w:szCs w:val="14"/>
                <w:color w:val="auto"/>
              </w:rPr>
            </w:pPr>
          </w:p>
        </w:tc>
      </w:tr>
      <w:tr>
        <w:trPr>
          <w:trHeight w:val="268"/>
        </w:trPr>
        <w:tc>
          <w:tcPr>
            <w:tcW w:w="530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Other segment operating expenses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592,492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505,566</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526,078</w:t>
            </w:r>
          </w:p>
        </w:tc>
        <w:tc>
          <w:tcPr>
            <w:tcW w:w="100" w:type="dxa"/>
            <w:vAlign w:val="bottom"/>
          </w:tcPr>
          <w:p>
            <w:pPr>
              <w:spacing w:after="0"/>
              <w:rPr>
                <w:sz w:val="23"/>
                <w:szCs w:val="23"/>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Safety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1,586,707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1,356,496</w:t>
            </w:r>
          </w:p>
        </w:tc>
        <w:tc>
          <w:tcPr>
            <w:tcW w:w="10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4"/>
        </w:trPr>
        <w:tc>
          <w:tcPr>
            <w:tcW w:w="530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54,061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53,521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48,971</w:t>
            </w:r>
          </w:p>
        </w:tc>
        <w:tc>
          <w:tcPr>
            <w:tcW w:w="100" w:type="dxa"/>
            <w:vAlign w:val="bottom"/>
          </w:tcPr>
          <w:p>
            <w:pPr>
              <w:spacing w:after="0"/>
              <w:rPr>
                <w:sz w:val="14"/>
                <w:szCs w:val="14"/>
                <w:color w:val="auto"/>
              </w:rPr>
            </w:pPr>
          </w:p>
        </w:tc>
      </w:tr>
      <w:tr>
        <w:trPr>
          <w:trHeight w:val="268"/>
        </w:trPr>
        <w:tc>
          <w:tcPr>
            <w:tcW w:w="530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Other segment operating expenses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42,066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tcPr>
          <w:p>
            <w:pPr>
              <w:spacing w:after="0"/>
              <w:rPr>
                <w:sz w:val="23"/>
                <w:szCs w:val="23"/>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Community 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96,127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-856615</wp:posOffset>
            </wp:positionV>
            <wp:extent cx="5700395"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146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59" w:lineRule="exact"/>
        <w:rPr>
          <w:sz w:val="20"/>
          <w:szCs w:val="20"/>
          <w:color w:val="auto"/>
        </w:rPr>
      </w:pPr>
    </w:p>
    <w:p>
      <w:pPr>
        <w:ind w:left="980" w:firstLine="1"/>
        <w:spacing w:after="0" w:line="223" w:lineRule="auto"/>
        <w:tabs>
          <w:tab w:leader="none" w:pos="1192"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operating expenses for each reportable segment include, but are not limited to, utilities, property taxes, repairs and maintenance, food, medical, travel, vocational and educational programming, personal care and other resident supplies.</w:t>
      </w:r>
    </w:p>
    <w:p>
      <w:pPr>
        <w:spacing w:after="0" w:line="267"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capital expenditures including accrued amounts for the years ended December 31, 2025, 2024, and 2023 (in thousands):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125,094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7,135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7,309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141,809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total assets are as follows (in thousands):</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72"/>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Safety</w:t>
            </w:r>
          </w:p>
        </w:tc>
        <w:tc>
          <w:tcPr>
            <w:tcW w:w="2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2,556,748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2,147,369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Community</w:t>
            </w:r>
          </w:p>
        </w:tc>
        <w:tc>
          <w:tcPr>
            <w:tcW w:w="2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203,210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301,888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386,913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194,897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192,827</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3,256,743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2,931,891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72"/>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0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F-36</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-1233805</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43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82"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first quarter of 2026 as of the date of this filing, CoreCivic issued approximately 1.3 million RSUs to certain of CoreCivic's employees and non-employee directors, with an aggregate value of $24.8 million. Unless earlier vested under the terms of the RSU agreement, approximately 0.9 million RSUs with time-based vesting conditions vest in equal amounts over three years on the later of (i) the anniversary date of the grant or (ii) the delivery of the audited financial statements by the Company's independent registered public accounting firm for the applicable fiscal year. Approximately 0.3 million RSUs with performance-based vesting conditions issued to officers and executive officers are divided into one-third increments, each of which is subject to vesting based upon satisfaction of certain annual performance criteria for the fiscal years ending December 31, 2026, 2027, and 2028, and which can be increased or decreased based on performance relative to the annual performance criteria, and further increased or decreased based on total shareholder return relative to a peer group. Approximately 0.1 million RSUs issued to non-employee directors vest on the first anniversary of the award. Any RSUs that become vested will be settled in shares of CoreCivic's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w w:val="99"/>
              </w:rPr>
              <w:t>Initial Cost to</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6"/>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Gross Amount at Which Carried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Close of Period</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center"/>
              <w:ind w:right="93"/>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jc w:val="center"/>
              <w:ind w:right="21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Land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1060" w:type="dxa"/>
            <w:vAlign w:val="bottom"/>
          </w:tcPr>
          <w:p>
            <w:pPr>
              <w:spacing w:after="0"/>
              <w:rPr>
                <w:sz w:val="13"/>
                <w:szCs w:val="13"/>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20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Improvements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 (A)</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(B)</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0" w:type="dxa"/>
            <w:vAlign w:val="bottom"/>
          </w:tcPr>
          <w:p>
            <w:pPr>
              <w:spacing w:after="0"/>
              <w:rPr>
                <w:sz w:val="1"/>
                <w:szCs w:val="1"/>
                <w:color w:val="auto"/>
              </w:rPr>
            </w:pPr>
          </w:p>
        </w:tc>
      </w:tr>
      <w:tr>
        <w:trPr>
          <w:trHeight w:val="129"/>
        </w:trPr>
        <w:tc>
          <w:tcPr>
            <w:tcW w:w="17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Adams County Correctional</w:t>
            </w: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Adams County,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Mississippi</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5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126,236</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(43,609)</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Adams Transitional Center</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Denver,</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(596)</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Allen Gamble Correctional</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Holdenville,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Oklahoma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51,332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118,283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(56,047)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1996</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Arapahoe Community</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Englewood,</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Treatment Center</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2,747</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(894)</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Austin Residential Reentry</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 Valle, Texas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Austin Transitional Center</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Del Valle, Texas</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19,488</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6,521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26,047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(2,221)</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Bent County Correctional</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Las Animas,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Facility</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87,115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(39,490)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1992</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CAI Boston Avenue</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San Diego,</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California</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11,440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(5,840)</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2013</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California City Immigration</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California City,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Processing 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149,049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(77,674)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1999</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Centennial Community</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Englewood,</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Transition Center</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(756)</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2016</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Central Arizona Florence</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Florence,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Correctional Complex</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Arizona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194,139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(107,057)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1994/1999</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Cheyenne Transitional</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Cheyenne,</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Wyoming</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(1,335)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Cibola County Corrections</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Milan, New</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Mexico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50,686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52,333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(30,038)</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1994</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Cimarron Correctional</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Cushing,</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Facility</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Oklahoma</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71,303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54,840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125,104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126,393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(59,630)</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Coffee Correctional Facility</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Nicholls,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Georgia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Commerce Transitional</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Commerce City,</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(676)</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Crossroads Correctional</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Shelby, Montana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80,831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(50,417)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1999</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Crowley County</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Correctional</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Olney Springs,</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Colorado</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36,841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81,188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83,897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(40,926)</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2003</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Dallas Transitional 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Hutchins, Texas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6,168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Diamondback Correctional</w:t>
            </w:r>
          </w:p>
        </w:tc>
        <w:tc>
          <w:tcPr>
            <w:tcW w:w="96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rPr>
              <w:t>Watonga,</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Oklahoma</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29,444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69,968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71,329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(38,517)</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74"/>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Eden Detention Center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Eden, Texas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71,921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(36,366)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Initial Cost to</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5"/>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w w:val="96"/>
              </w:rPr>
              <w:t>Gross Amount at Which Carried at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Close of Period</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3"/>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w:t>
            </w:r>
          </w:p>
        </w:tc>
        <w:tc>
          <w:tcPr>
            <w:tcW w:w="2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20" w:type="dxa"/>
            <w:vAlign w:val="bottom"/>
          </w:tcPr>
          <w:p>
            <w:pPr>
              <w:spacing w:after="0"/>
              <w:rPr>
                <w:sz w:val="11"/>
                <w:szCs w:val="11"/>
                <w:color w:val="auto"/>
              </w:rPr>
            </w:pPr>
          </w:p>
        </w:tc>
        <w:tc>
          <w:tcPr>
            <w:tcW w:w="14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2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Land</w:t>
            </w:r>
          </w:p>
        </w:tc>
        <w:tc>
          <w:tcPr>
            <w:tcW w:w="220" w:type="dxa"/>
            <w:vAlign w:val="bottom"/>
          </w:tcPr>
          <w:p>
            <w:pPr>
              <w:spacing w:after="0"/>
              <w:rPr>
                <w:sz w:val="11"/>
                <w:szCs w:val="11"/>
                <w:color w:val="auto"/>
              </w:rPr>
            </w:pPr>
          </w:p>
        </w:tc>
        <w:tc>
          <w:tcPr>
            <w:tcW w:w="14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10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Improvements</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0"/>
              </w:rPr>
              <w:t>Total (A)</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0" w:type="dxa"/>
            <w:vAlign w:val="bottom"/>
          </w:tcPr>
          <w:p>
            <w:pPr>
              <w:spacing w:after="0"/>
              <w:rPr>
                <w:sz w:val="1"/>
                <w:szCs w:val="1"/>
                <w:color w:val="auto"/>
              </w:rPr>
            </w:pPr>
          </w:p>
        </w:tc>
      </w:tr>
      <w:tr>
        <w:trPr>
          <w:trHeight w:val="142"/>
        </w:trPr>
        <w:tc>
          <w:tcPr>
            <w:tcW w:w="17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El Paso Multi-Use Facility</w:t>
            </w:r>
          </w:p>
        </w:tc>
        <w:tc>
          <w:tcPr>
            <w:tcW w:w="1040" w:type="dxa"/>
            <w:vAlign w:val="bottom"/>
            <w:gridSpan w:val="2"/>
            <w:shd w:val="clear" w:color="auto" w:fill="CFF0FC"/>
          </w:tcPr>
          <w:p>
            <w:pPr>
              <w:jc w:val="center"/>
              <w:ind w:right="120"/>
              <w:spacing w:after="0" w:line="142" w:lineRule="exact"/>
              <w:rPr>
                <w:sz w:val="20"/>
                <w:szCs w:val="20"/>
                <w:color w:val="auto"/>
              </w:rPr>
            </w:pPr>
            <w:r>
              <w:rPr>
                <w:rFonts w:ascii="Times New Roman" w:cs="Times New Roman" w:eastAsia="Times New Roman" w:hAnsi="Times New Roman"/>
                <w:sz w:val="13"/>
                <w:szCs w:val="13"/>
                <w:color w:val="auto"/>
              </w:rPr>
              <w:t>El Paso, Texas</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14,936</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4,536</w:t>
            </w:r>
          </w:p>
        </w:tc>
        <w:tc>
          <w:tcPr>
            <w:tcW w:w="1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2,722</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14,973</w:t>
            </w:r>
          </w:p>
        </w:tc>
        <w:tc>
          <w:tcPr>
            <w:tcW w:w="1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7,221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22,194</w:t>
            </w:r>
          </w:p>
        </w:tc>
        <w:tc>
          <w:tcPr>
            <w:tcW w:w="1240" w:type="dxa"/>
            <w:vAlign w:val="bottom"/>
            <w:gridSpan w:val="3"/>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(2,753)</w:t>
            </w:r>
          </w:p>
        </w:tc>
        <w:tc>
          <w:tcPr>
            <w:tcW w:w="9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 Paso Transitional Center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El Paso, Texas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Eloy Detention Center</w:t>
            </w:r>
          </w:p>
        </w:tc>
        <w:tc>
          <w:tcPr>
            <w:tcW w:w="10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Eloy, Arizona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33,308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21,430</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52,857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55,236</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(34,729)</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1995</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Farmville Detention Center</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Farmville,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Virginia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54,745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(910)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Fort Worth Transitional</w:t>
            </w:r>
          </w:p>
        </w:tc>
        <w:tc>
          <w:tcPr>
            <w:tcW w:w="104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Fort Worth,</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Texas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7,028</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Houston Processing Center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Houston, Texas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61,088</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111,255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(56,947)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1984</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Huerfano County</w:t>
            </w:r>
          </w:p>
        </w:tc>
        <w:tc>
          <w:tcPr>
            <w:tcW w:w="104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Walsenburg,</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Correctional Center</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26,358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5,913</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31,279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32,395</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(18,890)</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James River Residential</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Newport News,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Virginia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Jenkins Correctional</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 (C)</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Millen, Georgia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2012</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Kit Carson Correctional</w:t>
            </w:r>
          </w:p>
        </w:tc>
        <w:tc>
          <w:tcPr>
            <w:tcW w:w="10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Burlington,</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45,204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80,563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81,614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(37,124)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La Palma Correctional</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Eloy, Arizona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183,155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22,846</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203,615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206,284</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(77,801)</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2008</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Lake Erie Correctional</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Institution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Conneaut, Ohio</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69,779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76,424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80,904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(25,984)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2011</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Laredo Processing Center</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Laredo, Texas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26,737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30,963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31,949</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(17,847)</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1985</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Lee Adjustment Center</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Beattyville,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Kentucky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21,483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22,498</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(12,476)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Longmont Community (D)</w:t>
            </w:r>
          </w:p>
        </w:tc>
        <w:tc>
          <w:tcPr>
            <w:tcW w:w="104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Longmont,</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Treatment Center</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(320)</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2016</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Marion Adjustment Center</w:t>
            </w:r>
          </w:p>
        </w:tc>
        <w:tc>
          <w:tcPr>
            <w:tcW w:w="104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color w:val="auto"/>
              </w:rPr>
              <w:t>St Mary,</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Kentucky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9,509</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18,828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(10,178)</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Midwest Regional</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Reception</w:t>
            </w:r>
          </w:p>
        </w:tc>
        <w:tc>
          <w:tcPr>
            <w:tcW w:w="10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Leavenworth,</w:t>
            </w: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Kansas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44,970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47,914</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91,945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93,014</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(45,818)</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1992</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Nevada Southern Detention</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Pahrump,</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Nevada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64,362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14,161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77,613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86,071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(28,790)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2010</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North Fork Correctional</w:t>
            </w:r>
          </w:p>
        </w:tc>
        <w:tc>
          <w:tcPr>
            <w:tcW w:w="1040" w:type="dxa"/>
            <w:vAlign w:val="bottom"/>
            <w:gridSpan w:val="2"/>
            <w:shd w:val="clear" w:color="auto" w:fill="CFF0FC"/>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Sayre,</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0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Oklahoma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42,166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67,755</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109,182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109,921</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(52,533)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Northeast Ohio Correctional</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Youngstown,</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Ohio</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39,583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17,338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55,276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57,671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(33,637)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1997</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Northwest New Mexico</w:t>
            </w:r>
          </w:p>
        </w:tc>
        <w:tc>
          <w:tcPr>
            <w:tcW w:w="104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Grants, New</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Correctional Center</w:t>
            </w: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Mexico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15,888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24,693</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39,455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40,723</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(24,914)</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1989</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Oklahoma Reentry</w:t>
            </w:r>
          </w:p>
        </w:tc>
        <w:tc>
          <w:tcPr>
            <w:tcW w:w="104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rPr>
              <w:t>Oklahoma City,</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Opportunity Center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Oklahoma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14,867</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(2,468)</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Otay Mesa Detention Center</w:t>
            </w:r>
          </w:p>
        </w:tc>
        <w:tc>
          <w:tcPr>
            <w:tcW w:w="1040" w:type="dxa"/>
            <w:vAlign w:val="bottom"/>
            <w:gridSpan w:val="2"/>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color w:val="auto"/>
              </w:rPr>
              <w:t>San Diego,</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California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28,845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114,411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48,229</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37,104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154,381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191,485</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(31,710)</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2015/2019</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Prairie Correctional Facility</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Appleton,</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Minnesota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22,306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11,799</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33,137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34,205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(22,597)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3"/>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Initial Cost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Gross Amount at Which Carried at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Close of Period</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center"/>
              <w:ind w:right="94"/>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Land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10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20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Improvements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(A)</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0" w:type="dxa"/>
            <w:vAlign w:val="bottom"/>
          </w:tcPr>
          <w:p>
            <w:pPr>
              <w:spacing w:after="0"/>
              <w:rPr>
                <w:sz w:val="1"/>
                <w:szCs w:val="1"/>
                <w:color w:val="auto"/>
              </w:rPr>
            </w:pPr>
          </w:p>
        </w:tc>
      </w:tr>
      <w:tr>
        <w:trPr>
          <w:trHeight w:val="129"/>
        </w:trPr>
        <w:tc>
          <w:tcPr>
            <w:tcW w:w="170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Recovery Monitoring</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Solutions</w:t>
            </w:r>
          </w:p>
        </w:tc>
        <w:tc>
          <w:tcPr>
            <w:tcW w:w="124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3"/>
                <w:szCs w:val="13"/>
                <w:color w:val="auto"/>
              </w:rPr>
              <w:t>Dallas, Texas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(1,117)</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2018</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Red Rock Correctional</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Center (C)</w:t>
            </w: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Eloy, Arizona</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2006</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Saguaro Correctional</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Facility</w:t>
            </w:r>
          </w:p>
        </w:tc>
        <w:tc>
          <w:tcPr>
            <w:tcW w:w="12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Eloy, Arizona</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98,903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107,054</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(40,722)</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2007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South Raleigh Reentry</w:t>
            </w:r>
          </w:p>
        </w:tc>
        <w:tc>
          <w:tcPr>
            <w:tcW w:w="1240" w:type="dxa"/>
            <w:vAlign w:val="bottom"/>
            <w:gridSpan w:val="3"/>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Raleigh, North</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Carolina</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(263)</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Southeast Kentucky</w:t>
            </w:r>
          </w:p>
        </w:tc>
        <w:tc>
          <w:tcPr>
            <w:tcW w:w="1240" w:type="dxa"/>
            <w:vAlign w:val="bottom"/>
            <w:gridSpan w:val="3"/>
            <w:shd w:val="clear" w:color="auto" w:fill="CFF0FC"/>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Wheelwright,</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Correctional Facility</w:t>
            </w:r>
          </w:p>
        </w:tc>
        <w:tc>
          <w:tcPr>
            <w:tcW w:w="12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Kentucky</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24,487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22,329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47,316</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(23,688)</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Stewart Detention Center</w:t>
            </w:r>
          </w:p>
        </w:tc>
        <w:tc>
          <w:tcPr>
            <w:tcW w:w="1240" w:type="dxa"/>
            <w:vAlign w:val="bottom"/>
            <w:gridSpan w:val="3"/>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Lumpkin,</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Georgia</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70,560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93,686</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(45,177)</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2004</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T. Don Hutto Residential</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Taylor, Texas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13,418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27,356</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(12,465)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1997</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Tallahatchie County</w:t>
            </w:r>
          </w:p>
        </w:tc>
        <w:tc>
          <w:tcPr>
            <w:tcW w:w="1240" w:type="dxa"/>
            <w:vAlign w:val="bottom"/>
            <w:gridSpan w:val="3"/>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Tutwiler,</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Correctional Facility</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Mississippi</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158,062</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(77,248)</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2000</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Torrance County Detention</w:t>
            </w:r>
          </w:p>
        </w:tc>
        <w:tc>
          <w:tcPr>
            <w:tcW w:w="1240" w:type="dxa"/>
            <w:vAlign w:val="bottom"/>
            <w:gridSpan w:val="3"/>
            <w:shd w:val="clear" w:color="auto" w:fill="CFF0FC"/>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Estancia, New</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4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3"/>
                <w:szCs w:val="13"/>
                <w:color w:val="auto"/>
              </w:rPr>
              <w:t>Mexico</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16,366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67,442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69,476</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(38,094)</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1990</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Trousdale Turner</w:t>
            </w:r>
          </w:p>
        </w:tc>
        <w:tc>
          <w:tcPr>
            <w:tcW w:w="1240" w:type="dxa"/>
            <w:vAlign w:val="bottom"/>
            <w:gridSpan w:val="3"/>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Hartsville,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Correctional Center</w:t>
            </w: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Tennessee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135,412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142,766</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(29,564)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Turley Residential Center</w:t>
            </w:r>
          </w:p>
        </w:tc>
        <w:tc>
          <w:tcPr>
            <w:tcW w:w="12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Tulsa, Oklahoma</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(2,082)</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Webb County Detention</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Laredo, Texas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27,989</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(16,741)</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West Tennessee Detention</w:t>
            </w:r>
          </w:p>
        </w:tc>
        <w:tc>
          <w:tcPr>
            <w:tcW w:w="1240" w:type="dxa"/>
            <w:vAlign w:val="bottom"/>
            <w:gridSpan w:val="3"/>
            <w:shd w:val="clear" w:color="auto" w:fill="CFF0FC"/>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Mason,</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Tennessee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31,931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41,834</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(24,478)</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1990</w:t>
            </w:r>
          </w:p>
        </w:tc>
        <w:tc>
          <w:tcPr>
            <w:tcW w:w="0" w:type="dxa"/>
            <w:vAlign w:val="bottom"/>
          </w:tcPr>
          <w:p>
            <w:pPr>
              <w:spacing w:after="0"/>
              <w:rPr>
                <w:sz w:val="1"/>
                <w:szCs w:val="1"/>
                <w:color w:val="auto"/>
              </w:rPr>
            </w:pPr>
          </w:p>
        </w:tc>
      </w:tr>
      <w:tr>
        <w:trPr>
          <w:trHeight w:val="136"/>
        </w:trPr>
        <w:tc>
          <w:tcPr>
            <w:tcW w:w="17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Wheeler Correctional</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 (C)</w:t>
            </w: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Alamo, Georgia</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Whiteville Correctional</w:t>
            </w:r>
          </w:p>
        </w:tc>
        <w:tc>
          <w:tcPr>
            <w:tcW w:w="1240" w:type="dxa"/>
            <w:vAlign w:val="bottom"/>
            <w:gridSpan w:val="3"/>
            <w:shd w:val="clear" w:color="auto" w:fill="CFF0FC"/>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Whiteville,</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51,694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61,405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63,260</w:t>
            </w:r>
          </w:p>
        </w:tc>
        <w:tc>
          <w:tcPr>
            <w:tcW w:w="124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(36,368)</w:t>
            </w: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Facility</w:t>
            </w:r>
          </w:p>
        </w:tc>
        <w:tc>
          <w:tcPr>
            <w:tcW w:w="1240" w:type="dxa"/>
            <w:vAlign w:val="bottom"/>
            <w:gridSpan w:val="3"/>
            <w:shd w:val="clear" w:color="auto" w:fill="CFF0FC"/>
          </w:tcPr>
          <w:p>
            <w:pPr>
              <w:jc w:val="center"/>
              <w:ind w:right="280"/>
              <w:spacing w:after="0" w:line="148" w:lineRule="exact"/>
              <w:rPr>
                <w:sz w:val="20"/>
                <w:szCs w:val="20"/>
                <w:color w:val="auto"/>
              </w:rPr>
            </w:pPr>
            <w:r>
              <w:rPr>
                <w:rFonts w:ascii="Times New Roman" w:cs="Times New Roman" w:eastAsia="Times New Roman" w:hAnsi="Times New Roman"/>
                <w:sz w:val="13"/>
                <w:szCs w:val="13"/>
                <w:color w:val="auto"/>
              </w:rPr>
              <w:t>Tennessee</w:t>
            </w:r>
          </w:p>
        </w:tc>
        <w:tc>
          <w:tcPr>
            <w:tcW w:w="620" w:type="dxa"/>
            <w:vAlign w:val="bottom"/>
            <w:vMerge w:val="continue"/>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240" w:type="dxa"/>
            <w:vAlign w:val="bottom"/>
            <w:gridSpan w:val="3"/>
            <w:vMerge w:val="continue"/>
            <w:shd w:val="clear" w:color="auto" w:fill="CFF0FC"/>
          </w:tcPr>
          <w:p>
            <w:pPr>
              <w:spacing w:after="0"/>
              <w:rPr>
                <w:sz w:val="12"/>
                <w:szCs w:val="12"/>
                <w:color w:val="auto"/>
              </w:rPr>
            </w:pPr>
          </w:p>
        </w:tc>
        <w:tc>
          <w:tcPr>
            <w:tcW w:w="9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3"/>
                <w:szCs w:val="13"/>
                <w:color w:val="auto"/>
                <w:w w:val="99"/>
              </w:rPr>
              <w:t>1998</w:t>
            </w:r>
          </w:p>
        </w:tc>
        <w:tc>
          <w:tcPr>
            <w:tcW w:w="0" w:type="dxa"/>
            <w:vAlign w:val="bottom"/>
          </w:tcPr>
          <w:p>
            <w:pPr>
              <w:spacing w:after="0"/>
              <w:rPr>
                <w:sz w:val="1"/>
                <w:szCs w:val="1"/>
                <w:color w:val="auto"/>
              </w:rPr>
            </w:pPr>
          </w:p>
        </w:tc>
      </w:tr>
      <w:tr>
        <w:trPr>
          <w:trHeight w:val="125"/>
        </w:trPr>
        <w:tc>
          <w:tcPr>
            <w:tcW w:w="1700" w:type="dxa"/>
            <w:vAlign w:val="bottom"/>
            <w:tcBorders>
              <w:top w:val="single" w:sz="8" w:color="CFF0FC"/>
            </w:tcBorders>
            <w:gridSpan w:val="2"/>
          </w:tcPr>
          <w:p>
            <w:pPr>
              <w:spacing w:after="0" w:line="126" w:lineRule="exact"/>
              <w:rPr>
                <w:sz w:val="20"/>
                <w:szCs w:val="20"/>
                <w:color w:val="auto"/>
              </w:rPr>
            </w:pPr>
            <w:r>
              <w:rPr>
                <w:rFonts w:ascii="Times New Roman" w:cs="Times New Roman" w:eastAsia="Times New Roman" w:hAnsi="Times New Roman"/>
                <w:sz w:val="13"/>
                <w:szCs w:val="13"/>
                <w:color w:val="auto"/>
              </w:rPr>
              <w:t>Totals</w:t>
            </w:r>
          </w:p>
        </w:tc>
        <w:tc>
          <w:tcPr>
            <w:tcW w:w="9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3,422,64</w:t>
            </w:r>
          </w:p>
        </w:tc>
        <w:tc>
          <w:tcPr>
            <w:tcW w:w="24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9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154,831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2,120,705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1,148,593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222,697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3,199,950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  (1,484,930)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-222250</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-222250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-222250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-222250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-222250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-222250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-222250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SCHEDULE III - REAL ESTATE ASSETS AND ACCUMULATED DEPRECIATION</w:t>
      </w:r>
    </w:p>
    <w:p>
      <w:pPr>
        <w:spacing w:after="0" w:line="229"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cost of properties for federal income tax purposes is approximately $3.8 billion at December 31, 2025.</w:t>
      </w:r>
    </w:p>
    <w:p>
      <w:pPr>
        <w:spacing w:after="0" w:line="27"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calculated using estimated useful lives of depreciable assets up to 50 years for prison facilities.</w:t>
      </w:r>
    </w:p>
    <w:p>
      <w:pPr>
        <w:spacing w:after="0" w:line="9" w:lineRule="exact"/>
        <w:rPr>
          <w:rFonts w:ascii="Times New Roman" w:cs="Times New Roman" w:eastAsia="Times New Roman" w:hAnsi="Times New Roman"/>
          <w:sz w:val="18"/>
          <w:szCs w:val="18"/>
          <w:b w:val="1"/>
          <w:bCs w:val="1"/>
          <w:color w:val="auto"/>
        </w:rPr>
      </w:pPr>
    </w:p>
    <w:p>
      <w:pPr>
        <w:ind w:left="380" w:hanging="372"/>
        <w:spacing w:after="0" w:line="250" w:lineRule="auto"/>
        <w:tabs>
          <w:tab w:leader="none" w:pos="36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retains title to this asset, which is classified under other real estate assets on the Company's consolidated balance sheets in accordance with ASC 853.</w:t>
      </w:r>
    </w:p>
    <w:p>
      <w:pPr>
        <w:ind w:left="380" w:right="140" w:hanging="372"/>
        <w:spacing w:after="0" w:line="260" w:lineRule="auto"/>
        <w:tabs>
          <w:tab w:leader="none" w:pos="36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Held for sale. CoreCivic recorded a non-cash impairment during the third quarter of 2025 to write down the book value of the Longmont facility to the estimated fair values assuming uses other than correctional or residential reentry facilities.</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39" w:name="page140"/>
    <w:bookmarkEnd w:id="13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III - REAL ESTATE ASSETS AND ACCUMULATED DEPRECIATION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Real Estate: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through capital expenditures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Disposals/Other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Disposals/Other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2713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380"/>
        <w:spacing w:after="0"/>
        <w:tabs>
          <w:tab w:leader="none" w:pos="1620" w:val="left"/>
          <w:tab w:leader="none" w:pos="28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-3175</wp:posOffset>
            </wp:positionV>
            <wp:extent cx="5700395" cy="146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85" w:lineRule="exact"/>
        <w:rPr>
          <w:sz w:val="20"/>
          <w:szCs w:val="20"/>
          <w:color w:val="auto"/>
        </w:rPr>
      </w:pPr>
    </w:p>
    <w:p>
      <w:pPr>
        <w:ind w:left="340" w:hanging="339"/>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3,344,138  $   3,323,411  $   3,288,714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17145</wp:posOffset>
            </wp:positionV>
            <wp:extent cx="5700395" cy="1371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60" w:type="dxa"/>
            <w:vAlign w:val="bottom"/>
          </w:tcPr>
          <w:p>
            <w:pPr>
              <w:spacing w:after="0"/>
              <w:rPr>
                <w:sz w:val="17"/>
                <w:szCs w:val="17"/>
                <w:color w:val="auto"/>
              </w:rPr>
            </w:pPr>
          </w:p>
        </w:tc>
      </w:tr>
      <w:tr>
        <w:trPr>
          <w:trHeight w:val="21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(11,178)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(11,619)</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09"/>
        </w:trPr>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3,422,647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3,344,138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3,323,411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-445135</wp:posOffset>
            </wp:positionV>
            <wp:extent cx="5700395"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-162560</wp:posOffset>
            </wp:positionV>
            <wp:extent cx="5700395" cy="1631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ind w:left="280" w:hanging="279"/>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(1,406,062)  $  (1,324,581)  $  (1,244,044)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-119380</wp:posOffset>
            </wp:positionV>
            <wp:extent cx="5700395"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(85,978)</w:t>
            </w:r>
          </w:p>
        </w:tc>
        <w:tc>
          <w:tcPr>
            <w:tcW w:w="180" w:type="dxa"/>
            <w:vAlign w:val="bottom"/>
          </w:tcPr>
          <w:p>
            <w:pPr>
              <w:spacing w:after="0"/>
              <w:rPr>
                <w:sz w:val="17"/>
                <w:szCs w:val="17"/>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(84,386)</w:t>
            </w:r>
          </w:p>
        </w:tc>
        <w:tc>
          <w:tcPr>
            <w:tcW w:w="1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(82,780)</w:t>
            </w:r>
          </w:p>
        </w:tc>
        <w:tc>
          <w:tcPr>
            <w:tcW w:w="0" w:type="dxa"/>
            <w:vAlign w:val="bottom"/>
          </w:tcPr>
          <w:p>
            <w:pPr>
              <w:spacing w:after="0"/>
              <w:rPr>
                <w:sz w:val="1"/>
                <w:szCs w:val="1"/>
                <w:color w:val="auto"/>
              </w:rPr>
            </w:pPr>
          </w:p>
        </w:tc>
      </w:tr>
      <w:tr>
        <w:trPr>
          <w:trHeight w:val="234"/>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80" w:type="dxa"/>
            <w:vAlign w:val="bottom"/>
            <w:vMerge w:val="restart"/>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(1,484,930</w:t>
            </w:r>
          </w:p>
        </w:tc>
        <w:tc>
          <w:tcPr>
            <w:tcW w:w="1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(1,406,062</w:t>
            </w:r>
          </w:p>
        </w:tc>
        <w:tc>
          <w:tcPr>
            <w:tcW w:w="20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(1,324,581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-307975</wp:posOffset>
            </wp:positionV>
            <wp:extent cx="5700395" cy="1454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3699"/>
          </w:cols>
          <w:pgMar w:left="1440" w:top="1440"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0" w:name="page141"/>
    <w:bookmarkEnd w:id="140"/>
    <w:p>
      <w:pPr>
        <w:ind w:left="1028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Third Amended and Restated Insider Trading Guidelines (the “Guidelines”) Effective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11, 2025</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CoreCivic, Inc., a Maryland corporation, and its subsidiaries (the “Company” or “CoreCivic”) has adopted these Guidelines with respect to insider trading and the disclosure of material nonpublic information concerning CoreCivic and other companies with which CoreCivic does business. These Guidelines supersede any previous Company policy concerning insider trading restrictions applicable to CoreCivic employees, officers and directors.</w:t>
      </w:r>
    </w:p>
    <w:p>
      <w:pPr>
        <w:spacing w:after="0" w:line="176" w:lineRule="exact"/>
        <w:rPr>
          <w:sz w:val="20"/>
          <w:szCs w:val="20"/>
          <w:color w:val="auto"/>
        </w:rPr>
      </w:pPr>
    </w:p>
    <w:p>
      <w:pPr>
        <w:ind w:left="840" w:hanging="757"/>
        <w:spacing w:after="0"/>
        <w:tabs>
          <w:tab w:leader="none" w:pos="8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and Cautionary Statement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These Guidelines are designed to prevent insider trading or allegations of insider trading by CoreCivic employees, officers and directors, and to protect our reputation for integrity and ethical conduct.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Federal and state securities laws prohibit trading in a Company’s securities by persons who are aware of material information that is not generally known to or available to the public. These laws also prohibit persons who are aware of such material nonpublic information from disclosing this information (“tipping”) to others who may trade or advise others to trade. Companies and their controlling persons also are subject to liability if they fail to take reasonable steps to prevent insider trading by company personnel.</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Potential penalties that could apply to you and/or CoreCivic if you engage in insider trading or “tipping” include the following:</w:t>
      </w:r>
    </w:p>
    <w:p>
      <w:pPr>
        <w:spacing w:after="0" w:line="158" w:lineRule="exact"/>
        <w:rPr>
          <w:sz w:val="20"/>
          <w:szCs w:val="20"/>
          <w:color w:val="auto"/>
        </w:rPr>
      </w:pPr>
    </w:p>
    <w:p>
      <w:pPr>
        <w:jc w:val="both"/>
        <w:ind w:left="1140" w:hanging="383"/>
        <w:spacing w:after="0" w:line="282" w:lineRule="auto"/>
        <w:tabs>
          <w:tab w:leader="none" w:pos="11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Civil and Criminal Penalties.</w:t>
      </w:r>
      <w:r>
        <w:rPr>
          <w:rFonts w:ascii="Times New Roman" w:cs="Times New Roman" w:eastAsia="Times New Roman" w:hAnsi="Times New Roman"/>
          <w:sz w:val="21"/>
          <w:szCs w:val="21"/>
          <w:color w:val="auto"/>
        </w:rPr>
        <w:t xml:space="preserve"> Potential penalties for insider trading violations include (i) imprisonment for up to 20 years, (ii) criminal fines of up to $5 million, and (iii) civil fines of up to three times the profit gained or loss avoided.</w:t>
      </w:r>
    </w:p>
    <w:p>
      <w:pPr>
        <w:spacing w:after="0" w:line="134" w:lineRule="exact"/>
        <w:rPr>
          <w:rFonts w:ascii="Times New Roman" w:cs="Times New Roman" w:eastAsia="Times New Roman" w:hAnsi="Times New Roman"/>
          <w:sz w:val="21"/>
          <w:szCs w:val="21"/>
          <w:color w:val="auto"/>
        </w:rPr>
      </w:pPr>
    </w:p>
    <w:p>
      <w:pPr>
        <w:jc w:val="both"/>
        <w:ind w:left="1140" w:hanging="383"/>
        <w:spacing w:after="0" w:line="238" w:lineRule="auto"/>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Controlling Person Liability.</w:t>
      </w:r>
      <w:r>
        <w:rPr>
          <w:rFonts w:ascii="Times New Roman" w:cs="Times New Roman" w:eastAsia="Times New Roman" w:hAnsi="Times New Roman"/>
          <w:sz w:val="22"/>
          <w:szCs w:val="22"/>
          <w:color w:val="auto"/>
        </w:rPr>
        <w:t xml:space="preserve"> If CoreCivic fails to take appropriate steps to prevent illegal insider trading, CoreCivic may have “controlling person” liability for a trading violation, with civil penalties up to a greater of $1 million and three times the profit gained or loss avoided, as well as criminal liability of up to $25 million. The civil penalties can extend personal liability to CoreCivic’s directors, officers and other supervisory personnel if they fail to take appropriate steps to prevent insider trading.</w:t>
      </w:r>
    </w:p>
    <w:p>
      <w:pPr>
        <w:spacing w:after="0" w:line="176" w:lineRule="exact"/>
        <w:rPr>
          <w:rFonts w:ascii="Times New Roman" w:cs="Times New Roman" w:eastAsia="Times New Roman" w:hAnsi="Times New Roman"/>
          <w:sz w:val="22"/>
          <w:szCs w:val="22"/>
          <w:color w:val="auto"/>
        </w:rPr>
      </w:pPr>
    </w:p>
    <w:p>
      <w:pPr>
        <w:jc w:val="both"/>
        <w:ind w:left="1140" w:hanging="383"/>
        <w:spacing w:after="0" w:line="261" w:lineRule="auto"/>
        <w:tabs>
          <w:tab w:leader="none" w:pos="11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Sanctions.</w:t>
      </w:r>
      <w:r>
        <w:rPr>
          <w:rFonts w:ascii="Times New Roman" w:cs="Times New Roman" w:eastAsia="Times New Roman" w:hAnsi="Times New Roman"/>
          <w:sz w:val="21"/>
          <w:szCs w:val="21"/>
          <w:color w:val="auto"/>
        </w:rPr>
        <w:t xml:space="preserve"> Violation of these Guidelines or federal or state insider trading or tipping laws by any individual may, in the case of a director, subject the director to dismissal proceedings and, in the case of an officer or employee, subject the officer or employee to disciplinary action by the Company including termination for cause.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1" w:name="page142"/>
    <w:bookmarkEnd w:id="141"/>
    <w:p>
      <w:pPr>
        <w:spacing w:after="0" w:line="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Remember, ultimately it is </w:t>
      </w:r>
      <w:r>
        <w:rPr>
          <w:rFonts w:ascii="Times New Roman" w:cs="Times New Roman" w:eastAsia="Times New Roman" w:hAnsi="Times New Roman"/>
          <w:sz w:val="22"/>
          <w:szCs w:val="22"/>
          <w:b w:val="1"/>
          <w:bCs w:val="1"/>
          <w:u w:val="single" w:color="auto"/>
          <w:color w:val="auto"/>
        </w:rPr>
        <w:t>your</w:t>
      </w:r>
      <w:r>
        <w:rPr>
          <w:rFonts w:ascii="Times New Roman" w:cs="Times New Roman" w:eastAsia="Times New Roman" w:hAnsi="Times New Roman"/>
          <w:sz w:val="22"/>
          <w:szCs w:val="22"/>
          <w:b w:val="1"/>
          <w:bCs w:val="1"/>
          <w:color w:val="auto"/>
        </w:rPr>
        <w:t xml:space="preserve"> obligation to understand and comply with these Guidelines and the laws and regulations concerning insider trading. You are encouraged to exercise caution. Questions concerning these Guidelines should be directed to the persons identified in Section II below. In addition, you should consult your legal and financial advisors as needed. Any action on the part of the Company, the Compliance Officer (or his or her designee) or any other employee or any director pursuant to this policy (or otherwise) does not constitute legal advice or insulate a person from liability under applicable securities laws.</w:t>
      </w:r>
    </w:p>
    <w:p>
      <w:pPr>
        <w:spacing w:after="0" w:line="175"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Persons Covered.</w:t>
      </w:r>
      <w:r>
        <w:rPr>
          <w:rFonts w:ascii="Times New Roman" w:cs="Times New Roman" w:eastAsia="Times New Roman" w:hAnsi="Times New Roman"/>
          <w:sz w:val="22"/>
          <w:szCs w:val="22"/>
          <w:color w:val="auto"/>
        </w:rPr>
        <w:t xml:space="preserve"> Each provision of these Guidelines applies to:</w:t>
      </w:r>
    </w:p>
    <w:p>
      <w:pPr>
        <w:spacing w:after="0" w:line="206"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officers and directors of the Company;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Parties; and</w:t>
      </w:r>
    </w:p>
    <w:p>
      <w:pPr>
        <w:spacing w:after="0" w:line="206" w:lineRule="exact"/>
        <w:rPr>
          <w:rFonts w:ascii="Times New Roman" w:cs="Times New Roman" w:eastAsia="Times New Roman" w:hAnsi="Times New Roman"/>
          <w:sz w:val="22"/>
          <w:szCs w:val="22"/>
          <w:color w:val="auto"/>
        </w:rPr>
      </w:pPr>
    </w:p>
    <w:p>
      <w:pPr>
        <w:ind w:left="1140" w:right="180" w:hanging="383"/>
        <w:spacing w:after="0" w:line="258"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else designated by the Company, such as contractors or consultants, who have access to material nonpublic information.</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these Guidelines refer to “you”, the Company means you and each of your Related Parties. Related Parties means (i) members of your immediate family with whom you share a household; (ii) other persons with whom you share a household; (iii) family members who do not share a household with you but whose transactions in securities are directed by you or are subject to your influence or control (such as parents or children who consult with you before they trade in securities); and (iv) any entities controlled by you.</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You are responsible for the compliance with this policy by your Related Parties, and as such, you should make sure that each Related Party is aware of the need to confer with the insider before they engage in transactions in “securities” of CoreCivic.</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Securities and Transactions Covered.</w:t>
      </w:r>
      <w:r>
        <w:rPr>
          <w:rFonts w:ascii="Times New Roman" w:cs="Times New Roman" w:eastAsia="Times New Roman" w:hAnsi="Times New Roman"/>
          <w:sz w:val="22"/>
          <w:szCs w:val="22"/>
          <w:color w:val="auto"/>
        </w:rPr>
        <w:t xml:space="preserve"> These Guidelines prohibit certain transactions in the “securities” of CoreCivic. Although it is usually the case that the information you gain will be material with respect to CoreCivic common stock, any securities CoreCivic issues, such as debt securities or preferred stock, also are subject to these Guidelines. The scope of these Guidelines with respect to certain specific types of securities and transactions, including stock options, 401(k) plan transactions, derivative securities and hedging transactions, is discussed further in Section VI below.</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of Other Companies.</w:t>
      </w:r>
      <w:r>
        <w:rPr>
          <w:rFonts w:ascii="Times New Roman" w:cs="Times New Roman" w:eastAsia="Times New Roman" w:hAnsi="Times New Roman"/>
          <w:sz w:val="22"/>
          <w:szCs w:val="22"/>
          <w:color w:val="auto"/>
        </w:rPr>
        <w:t xml:space="preserve"> While these Guidelines focus primarily on trading in CoreCivic securities, it also prohibits trading in securities of any other public company about which you learn material nonpublic information in the course of performing your duties for CoreCivic. While in possession or material nonpublic information about any other public company gained in the course of employment with the Company, you may not (a) trade in the securities of the other public company, (b) “tip” or disclose such material nonpublic information concerning the other public company to anyone, or (c) give trading advice of any kinds to anyone concerning the other public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45"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Groups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these Guidelines, each CoreCivic employee, officer and director will be categorized into one of three groups. Different restrictions apply to each group. You will be notified regarding the group into which you are placed initially and if at any time you are placed into a different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restrictions that apply to each group under these Guidelines: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Group 1</w:t>
      </w:r>
      <w:r>
        <w:rPr>
          <w:rFonts w:ascii="Times New Roman" w:cs="Times New Roman" w:eastAsia="Times New Roman" w:hAnsi="Times New Roman"/>
          <w:sz w:val="22"/>
          <w:szCs w:val="22"/>
          <w:color w:val="auto"/>
        </w:rPr>
        <w:t xml:space="preserve"> -- Most employees are in Group 1. Members of Group 1 are required to comply with the restrictions on (1) trading in securities while in possession of material nonpublic information (“insider trading”), as described in Section IV, and (2) disclosing material nonpublic information to others (“tipping”), as described in Section V.</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Group 2</w:t>
      </w:r>
      <w:r>
        <w:rPr>
          <w:rFonts w:ascii="Times New Roman" w:cs="Times New Roman" w:eastAsia="Times New Roman" w:hAnsi="Times New Roman"/>
          <w:sz w:val="22"/>
          <w:szCs w:val="22"/>
          <w:color w:val="auto"/>
        </w:rPr>
        <w:t xml:space="preserve"> -- Certain of our managers and other employees are in Group 2. In addition to the general prohibitions against insider trading and tipping applicable to Group 1, members of Group 2 may only engage in transactions of CoreCivic securities during designated trading windows and also may be prohibited from trading during certain special “blackout” periods.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Group 3</w:t>
      </w:r>
      <w:r>
        <w:rPr>
          <w:rFonts w:ascii="Times New Roman" w:cs="Times New Roman" w:eastAsia="Times New Roman" w:hAnsi="Times New Roman"/>
          <w:sz w:val="22"/>
          <w:szCs w:val="22"/>
          <w:color w:val="auto"/>
        </w:rPr>
        <w:t xml:space="preserve"> -- Members of our board of directors and our “executive officers” for purposes of Section 16 of the Securities Exchange Act of 1934 (the “Exchange Act”) are in Group 3. Members of Group 3 are subject to the trading window restrictions that apply to Group 2 as well as pre-clearance requirements described in these Guidelines that are designed to ensure compliance with Section 16’s reporting requirements.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Insider Trading Prohibited</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xml:space="preserve"> You may not buy, sell or otherwise transact in (including gifting of) CoreCivic securities, directly or through family members or other persons or entities, while you are in possession of material nonpublic information concerning CoreCivic. Similarly, you may not trade in the securities of any other publicly traded company if you are aware of material nonpublic information about that company that you obtained in the course of your employment with CoreCivic.</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Material Nonpublic Information Defined.</w:t>
      </w:r>
      <w:r>
        <w:rPr>
          <w:rFonts w:ascii="Times New Roman" w:cs="Times New Roman" w:eastAsia="Times New Roman" w:hAnsi="Times New Roman"/>
          <w:sz w:val="22"/>
          <w:szCs w:val="22"/>
          <w:color w:val="auto"/>
        </w:rPr>
        <w:t xml:space="preserve"> Inside information has two important elements: materiality and public availability. Information is “material” if a reasonable investor would consider it important in making a decision on whether to buy, sell or hold the security. Any information that could reasonably be expected to affect the price of the security is material. Information may be material whether it is favorable or unfavorable.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Common examples of material information include but are not limited to:</w:t>
      </w:r>
    </w:p>
    <w:p>
      <w:pPr>
        <w:spacing w:after="0" w:line="206" w:lineRule="exact"/>
        <w:rPr>
          <w:sz w:val="20"/>
          <w:szCs w:val="20"/>
          <w:color w:val="auto"/>
        </w:rPr>
      </w:pPr>
    </w:p>
    <w:p>
      <w:pPr>
        <w:ind w:left="1140" w:right="58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earnings that are inconsistent with the consensus expectations of the market;</w:t>
      </w:r>
    </w:p>
    <w:p>
      <w:pPr>
        <w:spacing w:after="0" w:line="158" w:lineRule="exact"/>
        <w:rPr>
          <w:rFonts w:ascii="Times New Roman" w:cs="Times New Roman" w:eastAsia="Times New Roman" w:hAnsi="Times New Roman"/>
          <w:sz w:val="22"/>
          <w:szCs w:val="22"/>
          <w:color w:val="auto"/>
        </w:rPr>
      </w:pPr>
    </w:p>
    <w:p>
      <w:pPr>
        <w:ind w:left="1140" w:right="4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earnings or significant changes in financial performance or liquidity;</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 merger or acquisition or disposition of significant assets;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49" w:lineRule="exact"/>
        <w:rPr>
          <w:sz w:val="20"/>
          <w:szCs w:val="20"/>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legislation or regulations;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or developments in products or product lines or technologies;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senior management;</w:t>
      </w:r>
    </w:p>
    <w:p>
      <w:pPr>
        <w:spacing w:after="0" w:line="206" w:lineRule="exact"/>
        <w:rPr>
          <w:rFonts w:ascii="Times New Roman" w:cs="Times New Roman" w:eastAsia="Times New Roman" w:hAnsi="Times New Roman"/>
          <w:sz w:val="22"/>
          <w:szCs w:val="22"/>
          <w:color w:val="auto"/>
        </w:rPr>
      </w:pPr>
    </w:p>
    <w:p>
      <w:pPr>
        <w:ind w:left="1140" w:right="340" w:hanging="383"/>
        <w:spacing w:after="0" w:line="258" w:lineRule="auto"/>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accounting developments such as the change in the Company’s auditor or auditor notification that the Company may no longer rely on an auditor report;</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06" w:lineRule="exact"/>
        <w:rPr>
          <w:rFonts w:ascii="Times New Roman" w:cs="Times New Roman" w:eastAsia="Times New Roman" w:hAnsi="Times New Roman"/>
          <w:sz w:val="22"/>
          <w:szCs w:val="22"/>
          <w:color w:val="auto"/>
        </w:rPr>
      </w:pPr>
    </w:p>
    <w:p>
      <w:pPr>
        <w:ind w:left="1140" w:right="500" w:hanging="383"/>
        <w:spacing w:after="0" w:line="258" w:lineRule="auto"/>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events regarding our securities, such as declaration of a dividend, stock split or the offering of additional securities;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breaches of information technology systems or other events impacting cybersecurity;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imminent change in the Company’s credit rating by a rating agency;</w:t>
      </w:r>
    </w:p>
    <w:p>
      <w:pPr>
        <w:spacing w:after="0" w:line="206" w:lineRule="exact"/>
        <w:rPr>
          <w:rFonts w:ascii="Times New Roman" w:cs="Times New Roman" w:eastAsia="Times New Roman" w:hAnsi="Times New Roman"/>
          <w:sz w:val="22"/>
          <w:szCs w:val="22"/>
          <w:color w:val="auto"/>
        </w:rPr>
      </w:pPr>
    </w:p>
    <w:p>
      <w:pPr>
        <w:ind w:left="1140" w:right="860" w:hanging="383"/>
        <w:spacing w:after="0" w:line="258" w:lineRule="auto"/>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bank borrowings or any significant financing transaction (including an offering of stock or debt securities);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compensation policy;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concerns;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forthcoming publications that may affect the market price of the Company’s securities;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orders, suppliers, customers or finance sources, or the loss thereof.</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Because trading that receives scrutiny will be evaluated after the fact with the benefit of hindsight, questions concerning the materiality of particular information should be resolved in favor of materiality and trading should be avoided if there is any question as to the materiality of the information.</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Information is “nonpublic” if it is not generally known or available to the public. Note that information does not lose its nonpublic status immediately upon issuance of a press release or filing with the Securities and Exchange Commission (the “SEC”). Rather, information is considered to be available to the public only after it has been:</w:t>
      </w:r>
    </w:p>
    <w:p>
      <w:pPr>
        <w:spacing w:after="0" w:line="173" w:lineRule="exact"/>
        <w:rPr>
          <w:sz w:val="20"/>
          <w:szCs w:val="20"/>
          <w:color w:val="auto"/>
        </w:rPr>
      </w:pPr>
    </w:p>
    <w:p>
      <w:pPr>
        <w:ind w:left="1140" w:right="160" w:hanging="383"/>
        <w:spacing w:after="0" w:line="258" w:lineRule="auto"/>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published in such a way as to provide broad, non-exclusionary distribution of the information to the public, such as through a press release or SEC filing; and</w:t>
      </w:r>
    </w:p>
    <w:p>
      <w:pPr>
        <w:spacing w:after="0" w:line="158" w:lineRule="exact"/>
        <w:rPr>
          <w:rFonts w:ascii="Times New Roman" w:cs="Times New Roman" w:eastAsia="Times New Roman" w:hAnsi="Times New Roman"/>
          <w:sz w:val="22"/>
          <w:szCs w:val="22"/>
          <w:color w:val="auto"/>
        </w:rPr>
      </w:pPr>
    </w:p>
    <w:p>
      <w:pPr>
        <w:ind w:left="1140" w:right="40" w:hanging="383"/>
        <w:spacing w:after="0" w:line="258" w:lineRule="auto"/>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investing public has had time to absorb the information fully, at which time the information could be expected to be reflected in the price of the related securities.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As a general rule, information is considered nonpublic until the expiration of a period of </w:t>
      </w:r>
      <w:r>
        <w:rPr>
          <w:rFonts w:ascii="Times New Roman" w:cs="Times New Roman" w:eastAsia="Times New Roman" w:hAnsi="Times New Roman"/>
          <w:sz w:val="22"/>
          <w:szCs w:val="22"/>
          <w:u w:val="single" w:color="auto"/>
          <w:color w:val="auto"/>
        </w:rPr>
        <w:t>two (2) full trading days</w:t>
      </w:r>
      <w:r>
        <w:rPr>
          <w:rFonts w:ascii="Times New Roman" w:cs="Times New Roman" w:eastAsia="Times New Roman" w:hAnsi="Times New Roman"/>
          <w:sz w:val="22"/>
          <w:szCs w:val="22"/>
          <w:color w:val="auto"/>
        </w:rPr>
        <w:t xml:space="preserve"> after the information is released to the general public.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45"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If you are unsure whether the information that you possess is material or nonpublic, you should consult the Compliance Officer for guidance before trading in any Company securities.</w:t>
      </w:r>
    </w:p>
    <w:p>
      <w:pPr>
        <w:spacing w:after="0" w:line="150" w:lineRule="exact"/>
        <w:rPr>
          <w:sz w:val="20"/>
          <w:szCs w:val="20"/>
          <w:color w:val="auto"/>
        </w:rPr>
      </w:pPr>
    </w:p>
    <w:p>
      <w:pPr>
        <w:ind w:left="760" w:hanging="752"/>
        <w:spacing w:after="0"/>
        <w:tabs>
          <w:tab w:leader="none" w:pos="7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Unauthorized Disclosure of Material Nonpublic Information Prohibited</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xml:space="preserve"> You may not disclose material nonpublic information about CoreCivic or any company with which CoreCivic deals to anyone outside CoreCivic or recommend to anyone the purchase, sale, or other transaction involving any securities when you are aware of such information.</w:t>
      </w:r>
    </w:p>
    <w:p>
      <w:pPr>
        <w:spacing w:after="0" w:line="173"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xml:space="preserve"> You can be held responsible not only for your own insider trading, but also for providing material nonpublic information to another person who may trade or advise others to trade on the basis of that information, a practice known as “tipping.” Even if those to whom you disclose such information do not trade while aware of the information, you can be responsible for the trades of persons who received material nonpublic information indirectly from you if you are the ultimate source of their information. Tipping is subject to the same civil and criminal penalties that apply to insider trading, even though you did not trade and did not gain any benefit from another’s trading.</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Discussing or Recommending CoreCivic Securities.</w:t>
      </w:r>
      <w:r>
        <w:rPr>
          <w:rFonts w:ascii="Times New Roman" w:cs="Times New Roman" w:eastAsia="Times New Roman" w:hAnsi="Times New Roman"/>
          <w:sz w:val="22"/>
          <w:szCs w:val="22"/>
          <w:color w:val="auto"/>
        </w:rPr>
        <w:t xml:space="preserve"> You should use extreme caution when discussing CoreCivic securities with anyone outside CoreCivic and should not recommend the purchase, sale, or other transaction involving CoreCivic securities. Making recommendations can easily result in accidental disclosure of material nonpublic information or be viewed as tipping. Likewise, recommendations can also result in embarrassing situations for you or CoreCivic if you make a recommendation at a time when there is a pending announcement of material nonpublic information, even if you are unaware of that information.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Dissemination of Information within CoreCivic.</w:t>
      </w:r>
      <w:r>
        <w:rPr>
          <w:rFonts w:ascii="Times New Roman" w:cs="Times New Roman" w:eastAsia="Times New Roman" w:hAnsi="Times New Roman"/>
          <w:sz w:val="22"/>
          <w:szCs w:val="22"/>
          <w:color w:val="auto"/>
        </w:rPr>
        <w:t xml:space="preserve"> Even with respect to others subject to these Guidelines, the dissemination of material nonpublic information should be restricted to those having a need to know in order to serve CoreCivic’s interests.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Authorization to Disclose Material Nonpublic Information.</w:t>
      </w:r>
      <w:r>
        <w:rPr>
          <w:rFonts w:ascii="Times New Roman" w:cs="Times New Roman" w:eastAsia="Times New Roman" w:hAnsi="Times New Roman"/>
          <w:sz w:val="22"/>
          <w:szCs w:val="22"/>
          <w:color w:val="auto"/>
        </w:rPr>
        <w:t xml:space="preserve"> CoreCivic authorizes only certain employees, officers and directors to make disclosures of material nonpublic information. Unless you are authorized to do so by senior management, you may not discuss material nonpublic information with anyone outside CoreCivic.</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Non-Disclosure Agreements.</w:t>
      </w:r>
      <w:r>
        <w:rPr>
          <w:rFonts w:ascii="Times New Roman" w:cs="Times New Roman" w:eastAsia="Times New Roman" w:hAnsi="Times New Roman"/>
          <w:sz w:val="22"/>
          <w:szCs w:val="22"/>
          <w:color w:val="auto"/>
        </w:rPr>
        <w:t xml:space="preserve"> Employees, officers and directors involved in transactions, negotiations and ongoing business relationships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vendors and consultants and other service providers) that may result in disclosure of material nonpublic information to a party outside CoreCivic should ensure that such a party is subject to appropriate nondisclosure obligations. You should confer with the General Counsel whenever a nondisclosure agreement is needed.</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Status of Certain Transactions under these Guidelines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Transactions Generally Not Covered.</w:t>
      </w:r>
      <w:r>
        <w:rPr>
          <w:rFonts w:ascii="Times New Roman" w:cs="Times New Roman" w:eastAsia="Times New Roman" w:hAnsi="Times New Roman"/>
          <w:sz w:val="22"/>
          <w:szCs w:val="22"/>
          <w:color w:val="auto"/>
        </w:rPr>
        <w:t xml:space="preserve"> Certain transactions that involve or relate to CoreCivic securities generally are not subject to these Guidelines, either because they are deemed not to involve a “purchase” or “sale” under applicable securities laws or because they are subject to a “safe harbor” under such laws. Some of the more common types of such transactions are described below. However, Group 3 members may be required to report some of the transactions discussed below and must provide notification of all transactions in CoreCivic securities according to the procedures described in Section VII and Section VIII.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4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401(k) Plan Transactions.</w:t>
      </w:r>
      <w:r>
        <w:rPr>
          <w:rFonts w:ascii="Times New Roman" w:cs="Times New Roman" w:eastAsia="Times New Roman" w:hAnsi="Times New Roman"/>
          <w:sz w:val="22"/>
          <w:szCs w:val="22"/>
          <w:color w:val="auto"/>
        </w:rPr>
        <w:t xml:space="preserve"> The trading restrictions in these Guidelines do not apply to your purchases of CoreCivic stock in the CoreCivic 401(k) plan resulting from your periodic contribution of money to the plan pursuant to your payroll deduction election.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elections you make under the 401(k) plan to (i) increase or decrease the percentage of your periodic contributions that will be allocated to the CoreCivic stock fund, (ii) make an intra-plan transfer of an existing account balance into or out of the CoreCivic stock fund, (iii) borrow money against your 401(k) plan account if the loan will result in a liquidation of some or all of your CoreCivic stock fund balance, and (iv) pre-pay a plan loan if the pre-payment will result in allocation of loan proceeds to the CoreCivic stock fund.</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Stock Options and Restricted Stock.</w:t>
      </w:r>
      <w:r>
        <w:rPr>
          <w:rFonts w:ascii="Times New Roman" w:cs="Times New Roman" w:eastAsia="Times New Roman" w:hAnsi="Times New Roman"/>
          <w:sz w:val="22"/>
          <w:szCs w:val="22"/>
          <w:color w:val="auto"/>
        </w:rPr>
        <w:t xml:space="preserve"> The receipt and vesting of stock options and shares of restricted stock and, generally, the exercise of stock options for cash are not subject to the restrictions in these Guidelines. You also can engage in stock-for-stock exercises or elect stock withholding without violating the Guidelines.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the sale of shares of restricted stock (once the shares have vested and the restrictions have lapsed), the sale of stock acquired on exercise of stock options and the “cashless exercise” of stock options through a broker (as this entails selling a portion of the underlying stock to cover the costs of exercise). In addition, members of Group 3 must pre-clear all stock option exercises and sales of stock acquired upon exercise.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Dividend Reinvestment Plans.</w:t>
      </w:r>
      <w:r>
        <w:rPr>
          <w:rFonts w:ascii="Times New Roman" w:cs="Times New Roman" w:eastAsia="Times New Roman" w:hAnsi="Times New Roman"/>
          <w:sz w:val="22"/>
          <w:szCs w:val="22"/>
          <w:color w:val="auto"/>
        </w:rPr>
        <w:t xml:space="preserve"> The trading restrictions in these Guidelines do not apply to your purchases of CoreCivic stock resulting from automatic reinvestment of dividends paid on CoreCivic stock pursuant to preexisting elections under a dividend reinvestment plan.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changes you make under such plans (including initial elections and changes to elections).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Other Permitted Transactions.</w:t>
      </w:r>
      <w:r>
        <w:rPr>
          <w:rFonts w:ascii="Times New Roman" w:cs="Times New Roman" w:eastAsia="Times New Roman" w:hAnsi="Times New Roman"/>
          <w:sz w:val="22"/>
          <w:szCs w:val="22"/>
          <w:color w:val="auto"/>
        </w:rPr>
        <w:t xml:space="preserve"> Other transactions that generally are not subject to the restrictions set forth in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Guidelines include:</w:t>
      </w:r>
    </w:p>
    <w:p>
      <w:pPr>
        <w:spacing w:after="0" w:line="182" w:lineRule="exact"/>
        <w:rPr>
          <w:sz w:val="20"/>
          <w:szCs w:val="20"/>
          <w:color w:val="auto"/>
        </w:rPr>
      </w:pPr>
    </w:p>
    <w:p>
      <w:pPr>
        <w:ind w:left="1140" w:hanging="383"/>
        <w:spacing w:after="0" w:line="282" w:lineRule="auto"/>
        <w:tabs>
          <w:tab w:leader="none" w:pos="11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grants and vesting events with respect to other stock related rights (such as stock appreciation rights) under one of CoreCivic’s equity incentive compensation plans, </w:t>
      </w:r>
      <w:r>
        <w:rPr>
          <w:rFonts w:ascii="Times New Roman" w:cs="Times New Roman" w:eastAsia="Times New Roman" w:hAnsi="Times New Roman"/>
          <w:sz w:val="21"/>
          <w:szCs w:val="21"/>
          <w:u w:val="single" w:color="auto"/>
          <w:color w:val="auto"/>
        </w:rPr>
        <w:t>but not</w:t>
      </w:r>
      <w:r>
        <w:rPr>
          <w:rFonts w:ascii="Times New Roman" w:cs="Times New Roman" w:eastAsia="Times New Roman" w:hAnsi="Times New Roman"/>
          <w:sz w:val="21"/>
          <w:szCs w:val="21"/>
          <w:color w:val="auto"/>
        </w:rPr>
        <w:t xml:space="preserve"> the sale of any securities received pursuant to such plans;</w:t>
      </w:r>
    </w:p>
    <w:p>
      <w:pPr>
        <w:spacing w:after="0" w:line="134" w:lineRule="exact"/>
        <w:rPr>
          <w:rFonts w:ascii="Times New Roman" w:cs="Times New Roman" w:eastAsia="Times New Roman" w:hAnsi="Times New Roman"/>
          <w:sz w:val="21"/>
          <w:szCs w:val="21"/>
          <w:color w:val="auto"/>
        </w:rPr>
      </w:pPr>
    </w:p>
    <w:p>
      <w:pPr>
        <w:ind w:left="1140" w:hanging="38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election to participate or cease participation in a CoreCivic stock purchase plan, if such a plan is available to you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so long as the securities issued through such a plan are not purchased on the open market;</w:t>
      </w:r>
    </w:p>
    <w:p>
      <w:pPr>
        <w:spacing w:after="0" w:line="158"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shares to an entity that does not involve a change in the beneficial ownership of the shares, for example, to an </w:t>
      </w:r>
      <w:r>
        <w:rPr>
          <w:rFonts w:ascii="Times New Roman" w:cs="Times New Roman" w:eastAsia="Times New Roman" w:hAnsi="Times New Roman"/>
          <w:sz w:val="22"/>
          <w:szCs w:val="22"/>
          <w:i w:val="1"/>
          <w:iCs w:val="1"/>
          <w:color w:val="auto"/>
        </w:rPr>
        <w:t>inter vivos</w:t>
      </w:r>
      <w:r>
        <w:rPr>
          <w:rFonts w:ascii="Times New Roman" w:cs="Times New Roman" w:eastAsia="Times New Roman" w:hAnsi="Times New Roman"/>
          <w:sz w:val="22"/>
          <w:szCs w:val="22"/>
          <w:color w:val="auto"/>
        </w:rPr>
        <w:t xml:space="preserve"> trust of which you are the sole beneficiary during your lifetime;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execution of a transaction pursuant to an approved trading plan that complies with Securities Exchange Act Rule 10b5-1, as further described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transaction designated, consistent with applicable law, as not subject to the restrictions in these Guidelines by CoreCivic’s Board of Directors, an appropriate committee of the Board or the General Counsel.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9"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Restricted Transactions and Additional Guidance.</w:t>
      </w:r>
      <w:r>
        <w:rPr>
          <w:rFonts w:ascii="Times New Roman" w:cs="Times New Roman" w:eastAsia="Times New Roman" w:hAnsi="Times New Roman"/>
          <w:sz w:val="22"/>
          <w:szCs w:val="22"/>
          <w:color w:val="auto"/>
        </w:rPr>
        <w:t xml:space="preserve"> CoreCivic expects your investments in CoreCivic to be long-term investments and expects our employees, officers and directors not to engage in speculative transactions that are designed to result in profit based on short term fluctuations in the price of our securities. When purchasing CoreCivic securities, the Company strongly encourages you to do so with the expectation of owning those securities for an extended period of time -- at a minimum, for six (6) months. Accordingly, your trading in CoreCivic securities is subject to the following additional restrictions and guidance.</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xml:space="preserve"> Short sales of securities (sales of securities that are not then owned), including a “sale against the box” (a sale with delayed delivery), evidence an expectation on the part of the seller that the securities will decline in value and as such may signal a lack of confidence to the market and reduce the seller’s incentive to contribute to the Company’s success. Accordingly, our employees, officers and directors are prohibited from engaging in short sales of CoreCivic securities. Note that Section 16(c) of the Exchange Act prohibits short sales by directors and Section 16 officers (Group 3 members).</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Derivative Securities; Hedging Transactions.</w:t>
      </w:r>
      <w:r>
        <w:rPr>
          <w:rFonts w:ascii="Times New Roman" w:cs="Times New Roman" w:eastAsia="Times New Roman" w:hAnsi="Times New Roman"/>
          <w:sz w:val="22"/>
          <w:szCs w:val="22"/>
          <w:color w:val="auto"/>
        </w:rPr>
        <w:t xml:space="preserve"> Derivative securities are securities whose value varies in relation to the price of CoreCivic securities. For example, derivative securities would include exchange-traded put or call options, as well as individually arranged derivative transactions. Our employees, officers and directors are prohibited from purchasing or selling derivative securities.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Long-term forward sales and other long-term hedging or monetization transactions that are used to hedge your existing ownership positions in CoreCivic securities may also result in option positions. You are prohibited from entering into such transactions.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xml:space="preserve"> 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are prohibited from holding CoreCivic securities in a margin account or pledging CoreCivic securities as collateral for a loan.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Standing and limit orders (excluding standing and limit orders pursuant to the terms of any Rule 10b5-1 plans, as described in these Guidelines) create heightened risks for insider trading violations similar to the use of margin accounts. There is no control over the timing of purchases or sales that result from standing instructions to a broker, and as a result the broker could execute a transaction when the owner is aware of material non-public information. The Company therefore strongly discourages placing standing or limit orders on the Company’s securities. If a person subject to these Guidelines determines that such person must use a standing or limit order with respect to Company securities, the order should be limited to a short duration and any transactions in connection therewith must otherwise comply with these Guidelines.</w:t>
      </w:r>
    </w:p>
    <w:p>
      <w:pPr>
        <w:spacing w:after="0" w:line="180"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Post-Termination Transactions.</w:t>
      </w:r>
      <w:r>
        <w:rPr>
          <w:rFonts w:ascii="Times New Roman" w:cs="Times New Roman" w:eastAsia="Times New Roman" w:hAnsi="Times New Roman"/>
          <w:sz w:val="22"/>
          <w:szCs w:val="22"/>
          <w:color w:val="auto"/>
        </w:rPr>
        <w:t xml:space="preserve"> If you are aware of material nonpublic information when you terminate service as an employee, officer or director of CoreCivic, you may not trade in Company securities until that information has become public or is no longer material. In all other respects, any procedures set forth in these Guidelines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pre-clearance requirements) that apply to you will cease to apply to your transactions in CoreCivic securities upon the expiration of any “blackout” period that is applicable to you at the time of your termination of service.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Rule 10b5-1 Trading Plans.</w:t>
      </w:r>
    </w:p>
    <w:p>
      <w:pPr>
        <w:spacing w:after="0" w:line="21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Rule 10b5-1 presents an opportunity for you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these Guidelines. All Trading Plans adopted by directors, officers and employees of the Company must comply with the Company’s Individual Rule 10b5-1 Trading Plan Guidelines, which are attached hereto as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In addition, Trading Plans must fully comply with Rule 144 of the Securities Act of 1933, as amended (“SEC Rule 144”), including, in the case of affiliates (as defined in Rule 144), the Form 144 filing requirements and the volume limitations for every “rolling” three-month period.</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Additional Restrictions for Section 16 Individuals and Key Employees Covered Persons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Section VIII applies to members of Groups 2 and 3, as described in these Guidelines(together, the “Covered Persons”). Group 2 consists of certain other officers and employees who may routinely have access to material nonpublic information about the Company. Group 3 consists of members of our Board of Directors and the officers designated from time to time by the Board as “executive officers” under Section 16 of the Exchange Act.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names or positions of the Covered Persons subject to this Section VIII are listed on the “</w:t>
      </w:r>
      <w:r>
        <w:rPr>
          <w:rFonts w:ascii="Times New Roman" w:cs="Times New Roman" w:eastAsia="Times New Roman" w:hAnsi="Times New Roman"/>
          <w:sz w:val="22"/>
          <w:szCs w:val="22"/>
          <w:i w:val="1"/>
          <w:iCs w:val="1"/>
          <w:color w:val="auto"/>
        </w:rPr>
        <w:t>Insider Trading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Designation List</w:t>
      </w:r>
      <w:r>
        <w:rPr>
          <w:rFonts w:ascii="Times New Roman" w:cs="Times New Roman" w:eastAsia="Times New Roman" w:hAnsi="Times New Roman"/>
          <w:sz w:val="22"/>
          <w:szCs w:val="22"/>
          <w:color w:val="auto"/>
        </w:rPr>
        <w:t>”, which are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The Company may from time-to-time designate other individuals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positions) as subject to this Section VIII. The Group Designation List will be amended from time to time to reflect such changes, as well as the appointment, resignation or change in status of any individual.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Windows and Blackout Procedures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set forth in the Guidelines, all Covered Persons are subject to the trading windows and special blackouts described below.</w:t>
      </w:r>
    </w:p>
    <w:p>
      <w:pPr>
        <w:spacing w:after="0" w:line="15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Do not</w:t>
      </w:r>
      <w:r>
        <w:rPr>
          <w:rFonts w:ascii="Times New Roman" w:cs="Times New Roman" w:eastAsia="Times New Roman" w:hAnsi="Times New Roman"/>
          <w:sz w:val="22"/>
          <w:szCs w:val="22"/>
          <w:b w:val="1"/>
          <w:bCs w:val="1"/>
          <w:i w:val="1"/>
          <w:iCs w:val="1"/>
          <w:color w:val="auto"/>
        </w:rPr>
        <w:t xml:space="preserve"> confuse the applicability of a trading window or non-existence of a special blackout with the broader prohibition on trading when you are in possession of material nonpublic information described in the Guidelines. Regardless of whether the trading window is open or closed or whether a special blackout applies, you may not trade while in possession of material nonpublic information.</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Quarterly Trading Windows.</w:t>
      </w:r>
      <w:r>
        <w:rPr>
          <w:rFonts w:ascii="Times New Roman" w:cs="Times New Roman" w:eastAsia="Times New Roman" w:hAnsi="Times New Roman"/>
          <w:sz w:val="22"/>
          <w:szCs w:val="22"/>
          <w:color w:val="auto"/>
        </w:rPr>
        <w:t xml:space="preserve"> Our announcement of our quarterly financial results typically has the potential to have a material effect on the market for our securities. Accordingly, in order to avoid even the appearance of trading on the basis of material nonpublic information, you may not trade in CoreCivic securities outside of established quarterly window periods, even if you are not personally aware of any material nonpublic information.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4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CoreCivic will communicate to you when each trading window will open and close. It is expected that the trading window generally will open after the close of trading on the second full trading day after our quarterly earnings press release or after the filing of our 10-K and will close at market close on the 15th calendar day of the third month of the then-current fiscal quarter. However, you should not expect that the window will open on any particular date or remain open for any minimum period of time. Significant corporate developments may require changes to the schedule.</w:t>
      </w:r>
    </w:p>
    <w:p>
      <w:pPr>
        <w:spacing w:after="0" w:line="177"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Special Blackouts.</w:t>
      </w:r>
      <w:r>
        <w:rPr>
          <w:rFonts w:ascii="Times New Roman" w:cs="Times New Roman" w:eastAsia="Times New Roman" w:hAnsi="Times New Roman"/>
          <w:sz w:val="22"/>
          <w:szCs w:val="22"/>
          <w:color w:val="auto"/>
        </w:rPr>
        <w:t xml:space="preserve"> From time to time the Company may become aware of a transaction or event that may be material and that has not been disclosed to the public. As a result, the Compliance Officer may impose a special blackout period that would preclude buying, selling or otherwise effecting transactions involving CoreCivic’s securities even during a trading window.</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you are subject to an event-specific blackout, you will be notified by the Compliance Officer (or his or her designee). However, the existence of an event-specific blackout generally will not be announced other than to those who are aware of the event giving rise to the blackout. Accordingly, if you are notified of a special blackout, you should not disclose the existence of the blackout to others. Further, to avoid unnecessary dissemination of information about the event giving rise to the special blackout, persons subject to pre-clearance (discussed below under the heading </w:t>
      </w:r>
      <w:r>
        <w:rPr>
          <w:rFonts w:ascii="Times New Roman" w:cs="Times New Roman" w:eastAsia="Times New Roman" w:hAnsi="Times New Roman"/>
          <w:sz w:val="22"/>
          <w:szCs w:val="22"/>
          <w:i w:val="1"/>
          <w:iCs w:val="1"/>
          <w:color w:val="auto"/>
        </w:rPr>
        <w:t>“Section VIII - Additional Restrictions for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16 Individuals and Key Employees – Pre-Clearance of Transactions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 request pre-clearance during a special blackout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informed of the existence of the blackout period but not the reason for the blackout.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Members of Group 3 may also be subject to special blackouts pursuant to the SEC’s Regulation Blackout Trading Restriction, which prohibits certain sales and other transfers by members of Group 3 during certain pension plan blackout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of Transactions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In addition to the restrictions set forth in the Guidelines and under the heading </w:t>
      </w:r>
      <w:r>
        <w:rPr>
          <w:rFonts w:ascii="Times New Roman" w:cs="Times New Roman" w:eastAsia="Times New Roman" w:hAnsi="Times New Roman"/>
          <w:sz w:val="21"/>
          <w:szCs w:val="21"/>
          <w:i w:val="1"/>
          <w:iCs w:val="1"/>
          <w:color w:val="auto"/>
        </w:rPr>
        <w:t>“Section VIII - 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Restrictions for Section 16 Individuals and Key Employees – Trading Windows and Blackout Periods</w:t>
      </w:r>
      <w:r>
        <w:rPr>
          <w:rFonts w:ascii="Times New Roman" w:cs="Times New Roman" w:eastAsia="Times New Roman" w:hAnsi="Times New Roman"/>
          <w:sz w:val="21"/>
          <w:szCs w:val="21"/>
          <w:color w:val="auto"/>
        </w:rPr>
        <w:t>”, members of Group 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must obtain clearance prior to trading in CoreCivic securities. This clearance must be obtained before you place the order for, or otherwise initiate, any transaction in CoreCivic securities, </w:t>
      </w:r>
      <w:r>
        <w:rPr>
          <w:rFonts w:ascii="Times New Roman" w:cs="Times New Roman" w:eastAsia="Times New Roman" w:hAnsi="Times New Roman"/>
          <w:sz w:val="21"/>
          <w:szCs w:val="21"/>
          <w:u w:val="single" w:color="auto"/>
          <w:color w:val="auto"/>
        </w:rPr>
        <w:t>even</w:t>
      </w:r>
      <w:r>
        <w:rPr>
          <w:rFonts w:ascii="Times New Roman" w:cs="Times New Roman" w:eastAsia="Times New Roman" w:hAnsi="Times New Roman"/>
          <w:sz w:val="21"/>
          <w:szCs w:val="21"/>
          <w:color w:val="auto"/>
        </w:rPr>
        <w:t xml:space="preserve"> transactions that might otherwise not be subject to the Guidelines (including a stock plan transaction such as an option exercise, or a gift, loan, pledge or hedge, contribution to a trust or any other transfer). The purpose of the preclearance procedures is to avoid inadvertent violations of the securities laws and the appearance of insider trading by our executive officers and directors, and to ensure compliance with the reporting requirements of Exchange Act Section 16(a). Pre-clearance may also assist you in avoiding “short swing” profit liability under Section 16(b).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Do not</w:t>
      </w:r>
      <w:r>
        <w:rPr>
          <w:rFonts w:ascii="Times New Roman" w:cs="Times New Roman" w:eastAsia="Times New Roman" w:hAnsi="Times New Roman"/>
          <w:sz w:val="22"/>
          <w:szCs w:val="22"/>
          <w:b w:val="1"/>
          <w:bCs w:val="1"/>
          <w:color w:val="auto"/>
        </w:rPr>
        <w:t xml:space="preserve"> confuse pre-clearance of transactions with the broader prohibition on trading when you are in possession of material, nonpublic information described in the Guidelines. Regardless of whether you have received pre-clearance for a transaction or whether a trading window applicable to you is open or closed, you may not trade in CoreCivic securities if you are in actual possession of material, nonpublic information about CoreCivic.</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Pre-Clearance Instructions.</w:t>
      </w:r>
      <w:r>
        <w:rPr>
          <w:rFonts w:ascii="Times New Roman" w:cs="Times New Roman" w:eastAsia="Times New Roman" w:hAnsi="Times New Roman"/>
          <w:sz w:val="22"/>
          <w:szCs w:val="22"/>
          <w:color w:val="auto"/>
        </w:rPr>
        <w:t xml:space="preserve"> Detailed instructions with respect to our pre-clearance procedures are set forth in the “</w:t>
      </w:r>
      <w:r>
        <w:rPr>
          <w:rFonts w:ascii="Times New Roman" w:cs="Times New Roman" w:eastAsia="Times New Roman" w:hAnsi="Times New Roman"/>
          <w:sz w:val="22"/>
          <w:szCs w:val="22"/>
          <w:i w:val="1"/>
          <w:iCs w:val="1"/>
          <w:color w:val="auto"/>
        </w:rPr>
        <w:t>Pre-Clearance Procedures</w:t>
      </w:r>
      <w:r>
        <w:rPr>
          <w:rFonts w:ascii="Times New Roman" w:cs="Times New Roman" w:eastAsia="Times New Roman" w:hAnsi="Times New Roman"/>
          <w:sz w:val="22"/>
          <w:szCs w:val="22"/>
          <w:color w:val="auto"/>
        </w:rPr>
        <w:t>”, which are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Pursuant to these procedures, a request for pre-clearance should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submitted at least three (3) trading days in advance of the proposed transaction. The requestor should also be prepared to comply with SEC Rule 144 and file Form 144, if necessary, at the time of any sale.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Stock Option Exercises.</w:t>
      </w:r>
      <w:r>
        <w:rPr>
          <w:rFonts w:ascii="Times New Roman" w:cs="Times New Roman" w:eastAsia="Times New Roman" w:hAnsi="Times New Roman"/>
          <w:sz w:val="22"/>
          <w:szCs w:val="22"/>
          <w:color w:val="auto"/>
        </w:rPr>
        <w:t xml:space="preserve"> While stock option exercises not involving the sale of the underlying stock generally are not subject to the restrictions set forth in the Guidelines, members of Group 3 are required to pre-clear stock option exercises due to the fact that exercises are Section 16 reportable events.</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Compliance Officer Trades</w:t>
      </w:r>
      <w:r>
        <w:rPr>
          <w:rFonts w:ascii="Times New Roman" w:cs="Times New Roman" w:eastAsia="Times New Roman" w:hAnsi="Times New Roman"/>
          <w:sz w:val="22"/>
          <w:szCs w:val="22"/>
          <w:color w:val="auto"/>
        </w:rPr>
        <w:t>. If the Compliance Officer desires to complete any trades involving Company securities, he or she must first obtain approval of the Chief Executive Officer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0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Covered Persons must certify their understanding of, and intent to comply with, the Guidelines on the “</w:t>
      </w:r>
      <w:r>
        <w:rPr>
          <w:rFonts w:ascii="Times New Roman" w:cs="Times New Roman" w:eastAsia="Times New Roman" w:hAnsi="Times New Roman"/>
          <w:sz w:val="21"/>
          <w:szCs w:val="21"/>
          <w:i w:val="1"/>
          <w:iCs w:val="1"/>
          <w:color w:val="auto"/>
        </w:rPr>
        <w:t>Insider Trading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Policy Acknowledgement Form</w:t>
      </w:r>
      <w:r>
        <w:rPr>
          <w:rFonts w:ascii="Times New Roman" w:cs="Times New Roman" w:eastAsia="Times New Roman" w:hAnsi="Times New Roman"/>
          <w:sz w:val="21"/>
          <w:szCs w:val="21"/>
          <w:color w:val="auto"/>
        </w:rPr>
        <w:t>”, which are attached hereto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Annex D</w:t>
      </w:r>
      <w:r>
        <w:rPr>
          <w:rFonts w:ascii="Times New Roman" w:cs="Times New Roman" w:eastAsia="Times New Roman" w:hAnsi="Times New Roman"/>
          <w:sz w:val="21"/>
          <w:szCs w:val="21"/>
          <w:color w:val="auto"/>
        </w:rPr>
        <w:t>, or similar form approved by the Policy Administrators.</w:t>
      </w:r>
    </w:p>
    <w:p>
      <w:pPr>
        <w:spacing w:after="0" w:line="1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Administration of these Guidelines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Administration and Interpretation.</w:t>
      </w:r>
      <w:r>
        <w:rPr>
          <w:rFonts w:ascii="Times New Roman" w:cs="Times New Roman" w:eastAsia="Times New Roman" w:hAnsi="Times New Roman"/>
          <w:sz w:val="22"/>
          <w:szCs w:val="22"/>
          <w:color w:val="auto"/>
        </w:rPr>
        <w:t xml:space="preserve"> The day-to-day administration of these Guidelines will be carried out by the General Counsel (the “Compliance Officer”). The Compliance Officer may designate one or more individuals from the General Counsel’s office who may perform the Compliance Officer’s duties in the event that the Compliance Officer is unable or unavailable to perform such duties; provided, however, that any “Filing Coordinators” designated by the Compliance Officer to assist all Section 16 reporting persons in preparing and/or reviewing all Forms 3, 4 and 5 filings shall not be required to be in the General Counsel’s office.</w:t>
      </w:r>
    </w:p>
    <w:p>
      <w:pPr>
        <w:spacing w:after="0" w:line="181"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Reporting Violations.</w:t>
      </w:r>
      <w:r>
        <w:rPr>
          <w:rFonts w:ascii="Times New Roman" w:cs="Times New Roman" w:eastAsia="Times New Roman" w:hAnsi="Times New Roman"/>
          <w:sz w:val="22"/>
          <w:szCs w:val="22"/>
          <w:color w:val="auto"/>
        </w:rPr>
        <w:t xml:space="preserve"> If you become aware of any violation of these Guidelines, you should report it immediately to one of the persons named above or through other channels designated by CoreCivic for reports of misconduct.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Penalties for Noncompliance.</w:t>
      </w:r>
      <w:r>
        <w:rPr>
          <w:rFonts w:ascii="Times New Roman" w:cs="Times New Roman" w:eastAsia="Times New Roman" w:hAnsi="Times New Roman"/>
          <w:sz w:val="22"/>
          <w:szCs w:val="22"/>
          <w:color w:val="auto"/>
        </w:rPr>
        <w:t xml:space="preserve"> Violation of these Guidelines or federal or state insider trading or tipping laws by any individual may, in the case of a director, subject the director to dismissal proceedings and, in the case of an officer or employee, subject the officer or employee to disciplinary action by the Company including termination for cause.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Amendment of the Guidelines.</w:t>
      </w:r>
      <w:r>
        <w:rPr>
          <w:rFonts w:ascii="Times New Roman" w:cs="Times New Roman" w:eastAsia="Times New Roman" w:hAnsi="Times New Roman"/>
          <w:sz w:val="22"/>
          <w:szCs w:val="22"/>
          <w:color w:val="auto"/>
        </w:rPr>
        <w:t xml:space="preserve"> These Guidelines may be amended from time to time. CoreCivic will communicate the substance of any material amendments to you through normal communications channels.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 Rule 10b5-1 Trading Plan Guidelines</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Securities and Exchange Commission enacted Rule 10b5-1 (the “Rule”) to give directors, officers and employees who were often in possession of material, nonpublic information (“Insiders”) greater flexibility to engage in transactions in their Company’s stock. If Insiders follow the requirements of the Rule, Insiders will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181"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color w:val="auto"/>
        </w:rPr>
        <w:t>As set forth in the CoreCivic, Inc. Third Amended and Restated Insider Trading Guidelines (the “Policy”), CoreCivic, Inc. (the “Company”) permits its Insiders to purchase or sell shares of Company common stock pursuant to a Rule 10b5-1 plan (a “Plan”) under certain circumstances. The office of the General Counsel has set forth the following guidelines (the “Guidelines”)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General Counsel.</w:t>
      </w:r>
    </w:p>
    <w:p>
      <w:pPr>
        <w:spacing w:after="0" w:line="181" w:lineRule="exact"/>
        <w:rPr>
          <w:sz w:val="20"/>
          <w:szCs w:val="20"/>
          <w:color w:val="auto"/>
        </w:rPr>
      </w:pPr>
    </w:p>
    <w:p>
      <w:pPr>
        <w:jc w:val="both"/>
        <w:ind w:firstLine="757"/>
        <w:spacing w:after="0" w:line="239" w:lineRule="auto"/>
        <w:tabs>
          <w:tab w:leader="none" w:pos="1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All Plans must be submitted in writing and pre-cleared by the Company’s General Counsel (or his or her designee) at least five (5) business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Adoption</w:t>
      </w:r>
      <w:r>
        <w:rPr>
          <w:rFonts w:ascii="Times New Roman" w:cs="Times New Roman" w:eastAsia="Times New Roman" w:hAnsi="Times New Roman"/>
          <w:sz w:val="22"/>
          <w:szCs w:val="22"/>
          <w:color w:val="auto"/>
        </w:rPr>
        <w:t>. All Plans must be entered into during an open trading window and when the Insider is not in possession of any material, nonpublic information.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Format</w:t>
      </w:r>
      <w:r>
        <w:rPr>
          <w:rFonts w:ascii="Times New Roman" w:cs="Times New Roman" w:eastAsia="Times New Roman" w:hAnsi="Times New Roman"/>
          <w:sz w:val="22"/>
          <w:szCs w:val="22"/>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 Company director or officer (as defined in Rule 16a-1 under the Securities Exchange Act of 1934, as amended (a “Section 16 Person”)), the Plan must not permit any trades to occur until the later of (a) 90 days following adoption or modification of the Plan or (b) two (2)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not a Section 16 Person (but is also not the Company), the Plan must not permit any trades to occur until the expiration of a cooling-off period 30 days after the adoption or modification of such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80" w:lineRule="exact"/>
        <w:rPr>
          <w:sz w:val="20"/>
          <w:szCs w:val="20"/>
          <w:color w:val="auto"/>
        </w:rPr>
      </w:pPr>
    </w:p>
    <w:p>
      <w:pPr>
        <w:jc w:val="both"/>
        <w:ind w:firstLine="757"/>
        <w:spacing w:after="0" w:line="239"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Plans</w:t>
      </w:r>
      <w:r>
        <w:rPr>
          <w:rFonts w:ascii="Times New Roman" w:cs="Times New Roman" w:eastAsia="Times New Roman" w:hAnsi="Times New Roman"/>
          <w:sz w:val="22"/>
          <w:szCs w:val="22"/>
          <w:color w:val="auto"/>
        </w:rPr>
        <w:t>. Pursuant to the Rule, a person may only rely on the affirmative defense for a single-trade plan once during any consecutive 12-month period. A single-trade plan is a 10b5-1 trading plan designed to effect the purchase or sale of the total amount of the securities subject to the plan as a single transaction. Further, only one Plan may be in effect at any time, unless one of three exemptions is met, which are: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enter into more than one Plan with different broker-dealers or other agents and treat the Plans as a single Plan so long as, when taken as a whole, the “plan” complies with all of the rule’s requirements;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the Plan</w:t>
      </w:r>
      <w:r>
        <w:rPr>
          <w:rFonts w:ascii="Times New Roman" w:cs="Times New Roman" w:eastAsia="Times New Roman" w:hAnsi="Times New Roman"/>
          <w:sz w:val="22"/>
          <w:szCs w:val="22"/>
          <w:color w:val="auto"/>
        </w:rPr>
        <w:t>. Once a Plan is established, Insiders may transact in securities that are not subject to the currently existing Plan. Such transactions continue to be subject to the Company’s Policy, including, to the extent applicable, the pre-clearance provisions and procedures of the Policy. Under no circumstances will opposite-way open market transactions be permitted.</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Duration</w:t>
      </w:r>
      <w:r>
        <w:rPr>
          <w:rFonts w:ascii="Times New Roman" w:cs="Times New Roman" w:eastAsia="Times New Roman" w:hAnsi="Times New Roman"/>
          <w:sz w:val="22"/>
          <w:szCs w:val="22"/>
          <w:color w:val="auto"/>
        </w:rPr>
        <w:t>. The minimum duration of a Plan is six (6) months and the maximum duration is two years.</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When entering into a Plan, an Insider must certify that at the time of adoption of the Plan that the</w:t>
      </w:r>
    </w:p>
    <w:p>
      <w:pPr>
        <w:spacing w:after="0" w:line="14"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 (1) is not aware of any material, non-public information; and (2) is adopting the Plan in good faith and not as part of a plan or scheme to evade the prohibitions of the Rule.</w:t>
      </w:r>
    </w:p>
    <w:p>
      <w:pPr>
        <w:spacing w:after="0" w:line="178"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Early Terminations</w:t>
      </w:r>
      <w:r>
        <w:rPr>
          <w:rFonts w:ascii="Times New Roman" w:cs="Times New Roman" w:eastAsia="Times New Roman" w:hAnsi="Times New Roman"/>
          <w:sz w:val="22"/>
          <w:szCs w:val="22"/>
          <w:color w:val="auto"/>
        </w:rPr>
        <w:t xml:space="preserve">. The early termination of a Plan could affect the availability of the Rule’s affirmative defense for prior Plan transactions if it calls into question whether the Plan was entered into in good faith and not as part of a plan to avoid the insider trading rules. </w:t>
      </w:r>
      <w:r>
        <w:rPr>
          <w:rFonts w:ascii="Times New Roman" w:cs="Times New Roman" w:eastAsia="Times New Roman" w:hAnsi="Times New Roman"/>
          <w:sz w:val="22"/>
          <w:szCs w:val="22"/>
          <w:b w:val="1"/>
          <w:bCs w:val="1"/>
          <w:color w:val="auto"/>
        </w:rPr>
        <w:t>Because of this risk, early terminations are strongly discouraged.</w:t>
      </w:r>
      <w:r>
        <w:rPr>
          <w:rFonts w:ascii="Times New Roman" w:cs="Times New Roman" w:eastAsia="Times New Roman" w:hAnsi="Times New Roman"/>
          <w:sz w:val="22"/>
          <w:szCs w:val="22"/>
          <w:color w:val="auto"/>
        </w:rPr>
        <w:t xml:space="preserve"> In the event an Insider determines to terminate a Plan early, every effort should be taken to terminate the Plan during an open window. Early termination of a Plan during a quiet (or blackout) period requires extenuating circumstances and is subject to legal review. In the event an Insider early terminates his or her Plan, such Insider (i) will be subject to the cooling off period for the subsequent Plan that starts when the first Plan is terminated, as noted above, and (ii) may be (A) prohibited from adopting future Plans, (B) prohibited from transacting in securities outside of a Plan, or (C) subject to other restrictions at the sole discretion of the Company’s General Counsel.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Brokers and Broker Reporting</w:t>
      </w:r>
      <w:r>
        <w:rPr>
          <w:rFonts w:ascii="Times New Roman" w:cs="Times New Roman" w:eastAsia="Times New Roman" w:hAnsi="Times New Roman"/>
          <w:sz w:val="22"/>
          <w:szCs w:val="22"/>
          <w:color w:val="auto"/>
        </w:rPr>
        <w:t xml:space="preserve">. Each Plan must require the broker counterparty to </w:t>
      </w:r>
      <w:r>
        <w:rPr>
          <w:rFonts w:ascii="Times New Roman" w:cs="Times New Roman" w:eastAsia="Times New Roman" w:hAnsi="Times New Roman"/>
          <w:sz w:val="22"/>
          <w:szCs w:val="22"/>
          <w:u w:val="single" w:color="auto"/>
          <w:color w:val="auto"/>
        </w:rPr>
        <w:t>promptly</w:t>
      </w:r>
      <w:r>
        <w:rPr>
          <w:rFonts w:ascii="Times New Roman" w:cs="Times New Roman" w:eastAsia="Times New Roman" w:hAnsi="Times New Roman"/>
          <w:sz w:val="22"/>
          <w:szCs w:val="22"/>
          <w:color w:val="auto"/>
        </w:rPr>
        <w:t xml:space="preserve"> report to the Company’s designated representative the details of every transaction executed under a Plan, but in any event, such detail shall be provided no later than one (1) trading day after the execution date.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Public Disclosure of Plan Transactions</w:t>
      </w:r>
      <w:r>
        <w:rPr>
          <w:rFonts w:ascii="Times New Roman" w:cs="Times New Roman" w:eastAsia="Times New Roman" w:hAnsi="Times New Roman"/>
          <w:sz w:val="22"/>
          <w:szCs w:val="22"/>
          <w:color w:val="auto"/>
        </w:rPr>
        <w:t>. Transactions executed pursuant to a Plan will be indicated as such on the Insider’s Form 4. In addition, beginning with the first periodic filing that covers the Company’s first full fiscal period that begins on or after April 1, 2023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Form 10-Q for the fiscal quarter ended June 30, 2023), the Company will be required to disclose in its periodic reports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10-Qs and 10-Ks) the adoption or termination of a Plan by any Section 16 Person during the last completed quarter, including a description of the material terms of such a Plan, other than terms with respect to price.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2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5"/>
          <w:szCs w:val="25"/>
          <w:b w:val="1"/>
          <w:bCs w:val="1"/>
          <w:color w:val="auto"/>
        </w:rPr>
        <w:t>Insider Trading</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Group Designation List*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Group 1 </w:t>
      </w:r>
      <w:r>
        <w:rPr>
          <w:rFonts w:ascii="Times New Roman" w:cs="Times New Roman" w:eastAsia="Times New Roman" w:hAnsi="Times New Roman"/>
          <w:sz w:val="22"/>
          <w:szCs w:val="22"/>
          <w:color w:val="auto"/>
        </w:rPr>
        <w:t>includes all employees not identified as members of Group 2 or Group 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Group 2 </w:t>
            </w:r>
            <w:r>
              <w:rPr>
                <w:rFonts w:ascii="Times New Roman" w:cs="Times New Roman" w:eastAsia="Times New Roman" w:hAnsi="Times New Roman"/>
                <w:sz w:val="22"/>
                <w:szCs w:val="22"/>
                <w:color w:val="auto"/>
              </w:rPr>
              <w:t>includes all persons who hold these titles/roles:</w:t>
            </w:r>
          </w:p>
        </w:tc>
        <w:tc>
          <w:tcPr>
            <w:tcW w:w="4120" w:type="dxa"/>
            <w:vAlign w:val="bottom"/>
          </w:tcPr>
          <w:p>
            <w:pPr>
              <w:spacing w:after="0"/>
              <w:rPr>
                <w:sz w:val="24"/>
                <w:szCs w:val="24"/>
                <w:color w:val="auto"/>
              </w:rPr>
            </w:pPr>
          </w:p>
        </w:tc>
      </w:tr>
      <w:tr>
        <w:trPr>
          <w:trHeight w:val="48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Assistants to the CEO</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Managing Directors, Quality Assurance</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Advisors to the CEO</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Senior Directors, Quality Assurance</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Assistants to the President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Deputy General Counsels, Legal</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Advisors to the President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Associate General Counsels, Legal</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Assistants to the COO</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Managing Directors, Legal</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Advisors to the COO</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Assistant General Counsels, Legal</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Assistants to any EVP or SVP</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Senior Directors, Legal</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Special Advisors to any EVP or SVP</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Presidents, Operations</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of Staff, Operations</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Managing Directors, Operations</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Presidents, Partnership Development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Presidents, Human Resources</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Directors, Partnership Development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Managing Directors, Human Resources</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Senior Advisors, Partnership Development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Presidents, Real Estate</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Senior Directors, Partnership Development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Presidents, Strategy and Innovation</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Presidents, Finance</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Presidents, CoreCivic Ventures</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Directors, Finance</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 Ethics and Compliance</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Senior Directors, Finance</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Managing Directors, Real Estate</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Presidents, Technology</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Managing Directors, Strategy &amp; Innovation</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Directors,Technology</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President, TransCor America</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Quality Assurance</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Chief Medical Officer</w:t>
            </w:r>
          </w:p>
        </w:tc>
      </w:tr>
      <w:tr>
        <w:trPr>
          <w:trHeight w:val="282"/>
        </w:trPr>
        <w:tc>
          <w:tcPr>
            <w:tcW w:w="5280" w:type="dxa"/>
            <w:vAlign w:val="bottom"/>
          </w:tcPr>
          <w:p>
            <w:pPr>
              <w:spacing w:after="0"/>
              <w:rPr>
                <w:sz w:val="24"/>
                <w:szCs w:val="24"/>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Chief Dental Officer</w:t>
            </w:r>
          </w:p>
        </w:tc>
      </w:tr>
      <w:tr>
        <w:trPr>
          <w:trHeight w:val="473"/>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Group 3 </w:t>
            </w:r>
            <w:r>
              <w:rPr>
                <w:rFonts w:ascii="Times New Roman" w:cs="Times New Roman" w:eastAsia="Times New Roman" w:hAnsi="Times New Roman"/>
                <w:sz w:val="22"/>
                <w:szCs w:val="22"/>
                <w:color w:val="auto"/>
              </w:rPr>
              <w:t>includes all persons who hold these titles/roles:</w:t>
            </w:r>
          </w:p>
        </w:tc>
        <w:tc>
          <w:tcPr>
            <w:tcW w:w="4120" w:type="dxa"/>
            <w:vAlign w:val="bottom"/>
          </w:tcPr>
          <w:p>
            <w:pPr>
              <w:spacing w:after="0"/>
              <w:rPr>
                <w:sz w:val="24"/>
                <w:szCs w:val="24"/>
                <w:color w:val="auto"/>
              </w:rPr>
            </w:pPr>
          </w:p>
        </w:tc>
      </w:tr>
      <w:tr>
        <w:trPr>
          <w:trHeight w:val="48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Members of the Board of Directors</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Chairman of the Board of Directors</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President, CoreCivic Ventures</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Compliance Officer</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Chief Operating Officer</w:t>
            </w:r>
          </w:p>
        </w:tc>
      </w:tr>
      <w:tr>
        <w:trPr>
          <w:trHeight w:val="230"/>
        </w:trPr>
        <w:tc>
          <w:tcPr>
            <w:tcW w:w="52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Chief Financial Officer</w:t>
            </w:r>
          </w:p>
        </w:tc>
        <w:tc>
          <w:tcPr>
            <w:tcW w:w="412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Chief Corrections and Reentry Officer</w:t>
            </w: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Development Officer</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Senior Vice Presidents</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Strategy Officer</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Executive Vice Presidents</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Administrative Officer</w:t>
            </w:r>
          </w:p>
        </w:tc>
        <w:tc>
          <w:tcPr>
            <w:tcW w:w="4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 Finance and Controller</w:t>
            </w: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Chief Information &amp; Digital Officer</w:t>
            </w:r>
          </w:p>
        </w:tc>
        <w:tc>
          <w:tcPr>
            <w:tcW w:w="4120" w:type="dxa"/>
            <w:vAlign w:val="bottom"/>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22"/>
          <w:szCs w:val="22"/>
          <w:b w:val="1"/>
          <w:bCs w:val="1"/>
          <w:color w:val="auto"/>
        </w:rPr>
        <w:t>*Persons unable to determine their group membership from the list above should contact the Compliance Officer for clarification before transacting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Pre-Clearance Procedures</w:t>
      </w:r>
    </w:p>
    <w:p>
      <w:pPr>
        <w:spacing w:after="0" w:line="227" w:lineRule="exact"/>
        <w:rPr>
          <w:sz w:val="20"/>
          <w:szCs w:val="20"/>
          <w:color w:val="auto"/>
        </w:rPr>
      </w:pPr>
    </w:p>
    <w:p>
      <w:pPr>
        <w:jc w:val="both"/>
        <w:ind w:firstLine="823"/>
        <w:spacing w:after="0" w:line="238" w:lineRule="auto"/>
        <w:rPr>
          <w:sz w:val="20"/>
          <w:szCs w:val="20"/>
          <w:color w:val="auto"/>
        </w:rPr>
      </w:pPr>
      <w:r>
        <w:rPr>
          <w:rFonts w:ascii="Times New Roman" w:cs="Times New Roman" w:eastAsia="Times New Roman" w:hAnsi="Times New Roman"/>
          <w:sz w:val="22"/>
          <w:szCs w:val="22"/>
          <w:color w:val="auto"/>
        </w:rPr>
        <w:t>As a result of the adverse consequences which could result from Section 16 reporting violations, CoreCivic has adopted the following pre-clearance procedures for its Section 16 insiders. These procedures are designed to assist you in avoiding inadvertent securities laws violations and in meeting your filing responsibilities under Section 16(a). Capitalized terms used but not defined herein shall have the meanings ascribed to them in CoreCivic’s Third Amended and Restated Insider Trading Guidelines.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primary features of the pre-clearance procedures are:</w:t>
      </w:r>
    </w:p>
    <w:p>
      <w:pPr>
        <w:spacing w:after="0" w:line="206" w:lineRule="exact"/>
        <w:rPr>
          <w:sz w:val="20"/>
          <w:szCs w:val="20"/>
          <w:color w:val="auto"/>
        </w:rPr>
      </w:pPr>
    </w:p>
    <w:p>
      <w:pPr>
        <w:ind w:left="1140" w:hanging="383"/>
        <w:spacing w:after="0"/>
        <w:tabs>
          <w:tab w:leader="none" w:pos="11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filing coordinator</w:t>
      </w:r>
      <w:r>
        <w:rPr>
          <w:rFonts w:ascii="Times New Roman" w:cs="Times New Roman" w:eastAsia="Times New Roman" w:hAnsi="Times New Roman"/>
          <w:sz w:val="22"/>
          <w:szCs w:val="22"/>
          <w:color w:val="auto"/>
        </w:rPr>
        <w:t xml:space="preserve"> to assist Section 16 insiders in preparing all Forms 3, 4 and 5 filings.</w:t>
      </w:r>
    </w:p>
    <w:p>
      <w:pPr>
        <w:spacing w:after="0" w:line="206"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pre-clearance of all transactions in CoreCivic securities</w:t>
      </w:r>
      <w:r>
        <w:rPr>
          <w:rFonts w:ascii="Times New Roman" w:cs="Times New Roman" w:eastAsia="Times New Roman" w:hAnsi="Times New Roman"/>
          <w:sz w:val="22"/>
          <w:szCs w:val="22"/>
          <w:color w:val="auto"/>
        </w:rPr>
        <w:t xml:space="preserve"> to ensure that, together with Item 3 below, all required Section 16 reports are filed on a timely basis and to otherwise avoid inadvertent violation of federal securities laws.</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 of Forms 3, 4 and 5 on behalf of Section 16 insiders</w:t>
      </w:r>
      <w:r>
        <w:rPr>
          <w:rFonts w:ascii="Times New Roman" w:cs="Times New Roman" w:eastAsia="Times New Roman" w:hAnsi="Times New Roman"/>
          <w:sz w:val="21"/>
          <w:szCs w:val="21"/>
          <w:color w:val="auto"/>
        </w:rPr>
        <w:t xml:space="preserve"> to ensure timely filing of all required Section 16 reports.</w:t>
      </w:r>
    </w:p>
    <w:p>
      <w:pPr>
        <w:spacing w:after="0" w:line="217" w:lineRule="exact"/>
        <w:rPr>
          <w:rFonts w:ascii="Times New Roman" w:cs="Times New Roman" w:eastAsia="Times New Roman" w:hAnsi="Times New Roman"/>
          <w:sz w:val="21"/>
          <w:szCs w:val="21"/>
          <w:color w:val="auto"/>
        </w:rPr>
      </w:pPr>
    </w:p>
    <w:p>
      <w:pPr>
        <w:ind w:left="840" w:hanging="832"/>
        <w:spacing w:after="0"/>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Filing Coordinator</w:t>
      </w:r>
    </w:p>
    <w:p>
      <w:pPr>
        <w:spacing w:after="0" w:line="206"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ensure that all Section 16 reports (Forms 3, 4 and 5) are filed accurately and in a timely fashion, the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Company has designated “Filing Coordinators” to assist all Section 16 reporting persons in preparing and/or reviewing all Form 3, Form 4 and Form 5 filings. The Company’s Filing Coordinators are the Managing Director, Investor Relations, and such person(s) as may be appointed from time to time by the General Counsel.</w:t>
      </w:r>
    </w:p>
    <w:p>
      <w:pPr>
        <w:spacing w:after="0" w:line="178" w:lineRule="exact"/>
        <w:rPr>
          <w:sz w:val="20"/>
          <w:szCs w:val="20"/>
          <w:color w:val="auto"/>
        </w:rPr>
      </w:pPr>
    </w:p>
    <w:p>
      <w:pPr>
        <w:jc w:val="both"/>
        <w:ind w:firstLine="823"/>
        <w:spacing w:after="0" w:line="235" w:lineRule="auto"/>
        <w:rPr>
          <w:sz w:val="20"/>
          <w:szCs w:val="20"/>
          <w:color w:val="auto"/>
        </w:rPr>
      </w:pPr>
      <w:r>
        <w:rPr>
          <w:rFonts w:ascii="Times New Roman" w:cs="Times New Roman" w:eastAsia="Times New Roman" w:hAnsi="Times New Roman"/>
          <w:sz w:val="22"/>
          <w:szCs w:val="22"/>
          <w:color w:val="auto"/>
        </w:rPr>
        <w:t>The Filing Coordinators keep a record of each reporting person’s beneficial ownership (based on information provided by such person) and makes any required filings with the SEC. The SEC permits all required Forms to be signed and filed with the SEC by a party other than the reporting person, provided that a power of attorney authorizing such is filed with the SEC. This allows us to make timely filings, for example, when you are unavailable or do not have access to the means to make a filing. A standing power of attorney provides certain CoreCivic officers with the authority to sign and file Section 16 forms on your behalf, and is required of all Section 16 insiders. If the Company has not already done so, you will be contacted to obtain a power of attorney.</w:t>
      </w:r>
    </w:p>
    <w:p>
      <w:pPr>
        <w:spacing w:after="0" w:line="183" w:lineRule="exact"/>
        <w:rPr>
          <w:sz w:val="20"/>
          <w:szCs w:val="20"/>
          <w:color w:val="auto"/>
        </w:rPr>
      </w:pPr>
    </w:p>
    <w:p>
      <w:pPr>
        <w:ind w:left="840" w:hanging="832"/>
        <w:spacing w:after="0"/>
        <w:tabs>
          <w:tab w:leader="none" w:pos="8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Pre-Clearance of All Transactions in the Company’s Securities</w:t>
      </w:r>
    </w:p>
    <w:p>
      <w:pPr>
        <w:spacing w:after="0" w:line="206" w:lineRule="exact"/>
        <w:rPr>
          <w:sz w:val="20"/>
          <w:szCs w:val="20"/>
          <w:color w:val="auto"/>
        </w:rPr>
      </w:pPr>
    </w:p>
    <w:p>
      <w:pPr>
        <w:jc w:val="both"/>
        <w:ind w:firstLine="823"/>
        <w:spacing w:after="0" w:line="236" w:lineRule="auto"/>
        <w:rPr>
          <w:sz w:val="20"/>
          <w:szCs w:val="20"/>
          <w:color w:val="auto"/>
        </w:rPr>
      </w:pPr>
      <w:r>
        <w:rPr>
          <w:rFonts w:ascii="Times New Roman" w:cs="Times New Roman" w:eastAsia="Times New Roman" w:hAnsi="Times New Roman"/>
          <w:sz w:val="22"/>
          <w:szCs w:val="22"/>
          <w:color w:val="auto"/>
        </w:rPr>
        <w:t xml:space="preserve">You may not engage in any transaction involving CoreCivic securities (including a stock plan transaction such as an option exercise, a gift, a dividend reinvestment plan, a contribution to a trust, or any other transfer) without first obtaining pre-clearance of the transaction from the Compliance Officer. A request for pre-clearance must be submitted to the Compliance Officer </w:t>
      </w:r>
      <w:r>
        <w:rPr>
          <w:rFonts w:ascii="Times New Roman" w:cs="Times New Roman" w:eastAsia="Times New Roman" w:hAnsi="Times New Roman"/>
          <w:sz w:val="22"/>
          <w:szCs w:val="22"/>
          <w:u w:val="single" w:color="auto"/>
          <w:color w:val="auto"/>
        </w:rPr>
        <w:t>at least three (3) trading days</w:t>
      </w:r>
      <w:r>
        <w:rPr>
          <w:rFonts w:ascii="Times New Roman" w:cs="Times New Roman" w:eastAsia="Times New Roman" w:hAnsi="Times New Roman"/>
          <w:sz w:val="22"/>
          <w:szCs w:val="22"/>
          <w:color w:val="auto"/>
        </w:rPr>
        <w:t xml:space="preserve"> in advance of the proposed transaction. A form Securities Transaction Clearance Form is attached. You may also make the request by phone or through your broker, as long as the required information is provided. The Compliance Officer will then determine whether the transaction may proceed and you or your broker will be notified.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200" w:lineRule="exact"/>
        <w:rPr>
          <w:sz w:val="20"/>
          <w:szCs w:val="20"/>
          <w:color w:val="auto"/>
        </w:rPr>
      </w:pPr>
    </w:p>
    <w:p>
      <w:pPr>
        <w:spacing w:after="0" w:line="294"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2"/>
          <w:szCs w:val="22"/>
          <w:color w:val="auto"/>
        </w:rPr>
        <w:t>Following authorization, you will be required to complete the transaction prior to the end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trading day following the date of receipt of authorization. In the event the transaction cannot be completed within the prescribed time period, you must specify this fact in your clearance request and obtain a special exemption to complete the transaction within an extended time period. A Filing Coordinator should be notified immediately following the completion of any authorized transaction (as well as with respect to any transaction in CoreCivic’s securities, whether authorized or otherwise). A form Notification of Transaction Completion is attached. You may also make the notification by phone or through your broker, as long as the required information is provided.</w:t>
      </w:r>
    </w:p>
    <w:p>
      <w:pPr>
        <w:spacing w:after="0" w:line="177"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 Interface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order to ensure compliance with the pre-clearance procedures outlined above and further help prevent inadvertent violations, an effective interface between the Compliance Officer, a Filing Coordinator and your broker is important. Accordingly, you are encouraged to provide a copy of the Company's Third Amended and Restated Insider Trading Guidelines, including these procedures and related forms, to your broker, to provide contact information to your broker for relevant Company officials and to instruct your broker to interface with Company officials well in advance of any planned transaction in CoreCivic securities.</w:t>
      </w:r>
    </w:p>
    <w:p>
      <w:pPr>
        <w:spacing w:after="0" w:line="181"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Preparing and Filing Forms 3, 4 and 5</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Filing Coordinator will prepare a Form 3 upon an individual’s assumption of insider status. In addition, a Filing Coordinator will assist all Section 16 insiders in preparing a Form 4 whenever there is an acquisition or disposition of securities that would require a filing.</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Because transactions under employee benefit plans can raise complex reporting issues and because, if reported improperly, such transactions can create the appearance of short-swing profit violations, a Filing Coordinator will automatically prepare the appropriate Form on your behalf whenever you acquire shares pursuant to an employee stock plan.</w:t>
      </w:r>
    </w:p>
    <w:p>
      <w:pPr>
        <w:spacing w:after="0" w:line="173"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Short-Swing Profits under Exchange Act Section 16(b)</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addition to the transaction reporting provisions of Section 16(a), Section 16(b) requires that a reporting person remit to the issuer (CoreCivic) any “short-swing profit” realized in either a purchase and sale, or a sale and purchase, which take place within a period of </w:t>
      </w:r>
      <w:r>
        <w:rPr>
          <w:rFonts w:ascii="Times New Roman" w:cs="Times New Roman" w:eastAsia="Times New Roman" w:hAnsi="Times New Roman"/>
          <w:sz w:val="22"/>
          <w:szCs w:val="22"/>
          <w:u w:val="single" w:color="auto"/>
          <w:color w:val="auto"/>
        </w:rPr>
        <w:t>less than six (6) months.</w:t>
      </w:r>
      <w:r>
        <w:rPr>
          <w:rFonts w:ascii="Times New Roman" w:cs="Times New Roman" w:eastAsia="Times New Roman" w:hAnsi="Times New Roman"/>
          <w:sz w:val="22"/>
          <w:szCs w:val="22"/>
          <w:color w:val="auto"/>
        </w:rPr>
        <w:t xml:space="preserve"> Regardless of the economic realities and whether the sale and purchase involved the same shares, the “profit” is calculated as the highest sale price and lowest purchase price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transactions conducted within the six-month period. For several transactions, the difference between the next highest sale price and the next lowest sale price is calculated, and so forth.</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a part of obtaining pre-clearance, you should check with the Compliance Officer to review with you any actual or potential Section 16 matchable transactions that may result due to your trading activity.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6" w:name="page157"/>
    <w:bookmarkEnd w:id="156"/>
    <w:p>
      <w:pPr>
        <w:ind w:left="10440"/>
        <w:spacing w:after="0"/>
        <w:rPr>
          <w:sz w:val="20"/>
          <w:szCs w:val="20"/>
          <w:color w:val="auto"/>
        </w:rPr>
      </w:pPr>
      <w:r>
        <w:rPr>
          <w:rFonts w:ascii="Times New Roman" w:cs="Times New Roman" w:eastAsia="Times New Roman" w:hAnsi="Times New Roman"/>
          <w:sz w:val="21"/>
          <w:szCs w:val="21"/>
          <w:b w:val="1"/>
          <w:bCs w:val="1"/>
          <w:u w:val="single" w:color="auto"/>
          <w:color w:val="auto"/>
        </w:rPr>
        <w:t>Annex C</w:t>
      </w:r>
    </w:p>
    <w:p>
      <w:pPr>
        <w:spacing w:after="0" w:line="200" w:lineRule="exact"/>
        <w:rPr>
          <w:sz w:val="20"/>
          <w:szCs w:val="20"/>
          <w:color w:val="auto"/>
        </w:rPr>
      </w:pPr>
    </w:p>
    <w:p>
      <w:pPr>
        <w:spacing w:after="0" w:line="292"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Your Responsibility for Section 16 Compliance</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While the Company has decided to assist you in complying with Section 16, you should recognize that, as with insider trading generally, it will ultimately remain your obligation to see that your filings</w:t>
      </w:r>
    </w:p>
    <w:p>
      <w:pPr>
        <w:spacing w:after="0" w:line="1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are made timely and correctly and that you do not engage in unlawful short-swing transactions. CoreCivic cannot assume any legal responsibility in this regard.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CORECIVIC, INC. INSIDER TRADING POLICY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 FORM</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 have received and been provided the opportunity to read and understand those portions of CoreCivic’s Third Amended and Restated Insider Trading Guidelines that apply to me.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understand that the Third Amended and Restated Insider Trading Guidelines represent official CoreCivic policies and procedures and that I am responsible for being familiar and complying with them. I acknowledge I should seek guidance if I have questions or am unsure about any matter covered in the Guidelines.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agree to abide by the policies and procedures in the Third Amended and Restated Insider Trading Guidelines. I understand that my failure to do so may result in disciplinary action, up to and including termination of my employment or service relationship with CoreCivic.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 &amp; Position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CoreCivic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Transaction Clearance Form</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If you intend to transact in any of CoreCivic’s securities, please complete this form and hand deliver, fax or e-mail it to the office of the General Counsel (fax: 615-263-3050) at least three (3) trading days prior to the proposed transaction date. This clearance is valid only through the end of the third trading day following the date of authorization, unless otherwise authorized by the Company. </w:t>
      </w:r>
      <w:r>
        <w:rPr>
          <w:rFonts w:ascii="Times New Roman" w:cs="Times New Roman" w:eastAsia="Times New Roman" w:hAnsi="Times New Roman"/>
          <w:sz w:val="22"/>
          <w:szCs w:val="22"/>
          <w:i w:val="1"/>
          <w:iCs w:val="1"/>
          <w:color w:val="auto"/>
        </w:rPr>
        <w:t>Please complete one form for each type of security transaction requested.</w:t>
      </w:r>
    </w:p>
    <w:p>
      <w:pPr>
        <w:spacing w:after="0" w:line="180" w:lineRule="exact"/>
        <w:rPr>
          <w:sz w:val="20"/>
          <w:szCs w:val="20"/>
          <w:color w:val="auto"/>
        </w:rPr>
      </w:pPr>
    </w:p>
    <w:p>
      <w:pPr>
        <w:ind w:right="160" w:firstLine="2870"/>
        <w:spacing w:after="0" w:line="258" w:lineRule="auto"/>
        <w:tabs>
          <w:tab w:leader="none" w:pos="29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Officer/Director of CoreCivic (the “Company”), hereby requests clearance to complete the following transaction(s)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7830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Estimated Number or Range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2540</wp:posOffset>
            </wp:positionV>
            <wp:extent cx="434594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Security:</w:t>
      </w:r>
    </w:p>
    <w:p>
      <w:pPr>
        <w:sectPr>
          <w:pgSz w:w="11900" w:h="16838" w:orient="portrait"/>
          <w:cols w:equalWidth="0" w:num="1">
            <w:col w:w="11240"/>
          </w:cols>
          <w:pgMar w:left="320" w:top="1272" w:right="339" w:bottom="1440" w:gutter="0" w:footer="0" w:header="0"/>
        </w:sectPr>
      </w:pP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Type of Transaction Requested:</w:t>
      </w:r>
    </w:p>
    <w:p>
      <w:pPr>
        <w:spacing w:after="0" w:line="200" w:lineRule="exact"/>
        <w:rPr>
          <w:sz w:val="20"/>
          <w:szCs w:val="20"/>
          <w:color w:val="auto"/>
        </w:rPr>
      </w:pPr>
    </w:p>
    <w:p>
      <w:pPr>
        <w:sectPr>
          <w:pgSz w:w="11900" w:h="16838" w:orient="portrait"/>
          <w:cols w:equalWidth="0" w:num="2">
            <w:col w:w="2580" w:space="720"/>
            <w:col w:w="7940"/>
          </w:cols>
          <w:pgMar w:left="320" w:top="1272"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Buy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Sell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Exercise a Stock Option</w:t>
      </w:r>
    </w:p>
    <w:p>
      <w:pPr>
        <w:spacing w:after="0" w:line="200" w:lineRule="exact"/>
        <w:rPr>
          <w:sz w:val="20"/>
          <w:szCs w:val="20"/>
          <w:color w:val="auto"/>
        </w:rPr>
      </w:pPr>
    </w:p>
    <w:p>
      <w:pPr>
        <w:sectPr>
          <w:pgSz w:w="11900" w:h="16838" w:orient="portrait"/>
          <w:cols w:equalWidth="0" w:num="4">
            <w:col w:w="1120" w:space="540"/>
            <w:col w:w="340" w:space="540"/>
            <w:col w:w="720" w:space="540"/>
            <w:col w:w="7440"/>
          </w:cols>
          <w:pgMar w:left="320" w:top="1272"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Timing Details or Range of Proposed Trading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wp:posOffset>
            </wp:positionV>
            <wp:extent cx="34201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broker or other person who will file the SEC Form 144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10795</wp:posOffset>
            </wp:positionV>
            <wp:extent cx="17056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 you in possession of information that may be viewed as material nonpublic information?</w:t>
      </w:r>
    </w:p>
    <w:p>
      <w:pPr>
        <w:spacing w:after="0" w:line="247"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-13970</wp:posOffset>
            </wp:positionV>
            <wp:extent cx="3429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-13970</wp:posOffset>
            </wp:positionV>
            <wp:extent cx="3429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Each transaction must generally be reported as it occurs, regardless of whether or not it is a part of a series of transactions.</w:t>
      </w:r>
    </w:p>
    <w:p>
      <w:pPr>
        <w:spacing w:after="0" w:line="218" w:lineRule="exact"/>
        <w:rPr>
          <w:sz w:val="20"/>
          <w:szCs w:val="20"/>
          <w:color w:val="auto"/>
        </w:rPr>
      </w:pPr>
    </w:p>
    <w:p>
      <w:pPr>
        <w:ind w:firstLine="8"/>
        <w:spacing w:after="0" w:line="264" w:lineRule="auto"/>
        <w:tabs>
          <w:tab w:leader="none" w:pos="277" w:val="left"/>
        </w:tabs>
        <w:numPr>
          <w:ilvl w:val="0"/>
          <w:numId w:val="7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This clearance is valid only through the end of the third trading day following the date of the authorizing signature or the last date set forth above, whichever is later, unless otherwise authorized by the Company.</w:t>
      </w:r>
    </w:p>
    <w:p>
      <w:pPr>
        <w:spacing w:after="0" w:line="1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In the event you receive clearance to complete the requested transaction, please </w:t>
      </w:r>
      <w:r>
        <w:rPr>
          <w:rFonts w:ascii="Times New Roman" w:cs="Times New Roman" w:eastAsia="Times New Roman" w:hAnsi="Times New Roman"/>
          <w:sz w:val="22"/>
          <w:szCs w:val="22"/>
          <w:i w:val="1"/>
          <w:iCs w:val="1"/>
          <w:u w:val="single" w:color="auto"/>
          <w:color w:val="auto"/>
        </w:rPr>
        <w:t>notify the Company through the Filing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Coordinators in writing and by telephone (615-263-3000)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transaction immediately following the completion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Written notification should be made using the "Notification of Transaction Completion" form or another form of writing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e-mail) from you or your broker containing the information required by the form.</w:t>
      </w:r>
    </w:p>
    <w:p>
      <w:pPr>
        <w:spacing w:after="0" w:line="203" w:lineRule="exact"/>
        <w:rPr>
          <w:sz w:val="20"/>
          <w:szCs w:val="20"/>
          <w:color w:val="auto"/>
        </w:rPr>
      </w:pPr>
    </w:p>
    <w:p>
      <w:pPr>
        <w:spacing w:after="0"/>
        <w:tabs>
          <w:tab w:leader="none" w:pos="8420" w:val="left"/>
        </w:tabs>
        <w:rPr>
          <w:sz w:val="20"/>
          <w:szCs w:val="20"/>
          <w:color w:val="auto"/>
        </w:rPr>
      </w:pPr>
      <w:r>
        <w:rPr>
          <w:rFonts w:ascii="Times New Roman" w:cs="Times New Roman" w:eastAsia="Times New Roman" w:hAnsi="Times New Roman"/>
          <w:sz w:val="22"/>
          <w:szCs w:val="22"/>
          <w:color w:val="auto"/>
        </w:rPr>
        <w:t>Requestor’s 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10795</wp:posOffset>
            </wp:positionV>
            <wp:extent cx="52717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provide e-mail address or facsimile number to send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2540</wp:posOffset>
            </wp:positionV>
            <wp:extent cx="23488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86" w:lineRule="exact"/>
        <w:rPr>
          <w:sz w:val="20"/>
          <w:szCs w:val="20"/>
          <w:color w:val="auto"/>
        </w:rPr>
      </w:pPr>
    </w:p>
    <w:p>
      <w:pPr>
        <w:spacing w:after="0"/>
        <w:tabs>
          <w:tab w:leader="none" w:pos="8420" w:val="left"/>
        </w:tabs>
        <w:rPr>
          <w:sz w:val="20"/>
          <w:szCs w:val="20"/>
          <w:color w:val="auto"/>
        </w:rPr>
      </w:pPr>
      <w:r>
        <w:rPr>
          <w:rFonts w:ascii="Times New Roman" w:cs="Times New Roman" w:eastAsia="Times New Roman" w:hAnsi="Times New Roman"/>
          <w:sz w:val="22"/>
          <w:szCs w:val="22"/>
          <w:color w:val="auto"/>
        </w:rPr>
        <w:t>Authorizing 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10795</wp:posOffset>
            </wp:positionV>
            <wp:extent cx="52717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59" w:name="page160"/>
    <w:bookmarkEnd w:id="159"/>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CoreCivic</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Notification of Transaction Completion</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5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w:t>
            </w:r>
          </w:p>
        </w:tc>
        <w:tc>
          <w:tcPr>
            <w:tcW w:w="2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hereby notify CoreCivic (the “Company”) that I have completed the</w:t>
            </w:r>
          </w:p>
        </w:tc>
        <w:tc>
          <w:tcPr>
            <w:tcW w:w="0" w:type="dxa"/>
            <w:vAlign w:val="bottom"/>
          </w:tcPr>
          <w:p>
            <w:pPr>
              <w:spacing w:after="0"/>
              <w:rPr>
                <w:sz w:val="1"/>
                <w:szCs w:val="1"/>
                <w:color w:val="auto"/>
              </w:rPr>
            </w:pPr>
          </w:p>
        </w:tc>
      </w:tr>
      <w:tr>
        <w:trPr>
          <w:trHeight w:val="276"/>
        </w:trPr>
        <w:tc>
          <w:tcPr>
            <w:tcW w:w="600" w:type="dxa"/>
            <w:vAlign w:val="bottom"/>
          </w:tcPr>
          <w:p>
            <w:pPr>
              <w:spacing w:after="0"/>
              <w:rPr>
                <w:sz w:val="23"/>
                <w:szCs w:val="23"/>
                <w:color w:val="auto"/>
              </w:rPr>
            </w:pPr>
          </w:p>
        </w:tc>
        <w:tc>
          <w:tcPr>
            <w:tcW w:w="3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8"/>
              </w:rPr>
              <w:t>following transaction(s) in the following</w:t>
            </w:r>
          </w:p>
        </w:tc>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securities:</w:t>
            </w: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00" w:type="dxa"/>
            <w:vAlign w:val="bottom"/>
            <w:tcBorders>
              <w:bottom w:val="single" w:sz="8" w:color="E4E4E4"/>
            </w:tcBorders>
          </w:tcPr>
          <w:p>
            <w:pPr>
              <w:spacing w:after="0"/>
              <w:rPr>
                <w:sz w:val="21"/>
                <w:szCs w:val="21"/>
                <w:color w:val="auto"/>
              </w:rPr>
            </w:pPr>
          </w:p>
        </w:tc>
        <w:tc>
          <w:tcPr>
            <w:tcW w:w="960" w:type="dxa"/>
            <w:vAlign w:val="bottom"/>
            <w:tcBorders>
              <w:bottom w:val="single" w:sz="8" w:color="E4E4E4"/>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60" w:type="dxa"/>
            <w:vAlign w:val="bottom"/>
            <w:tcBorders>
              <w:left w:val="single" w:sz="8" w:color="E4E4E4"/>
              <w:right w:val="single" w:sz="8" w:color="E4E4E4"/>
            </w:tcBorders>
            <w:gridSpan w:val="2"/>
            <w:shd w:val="clear" w:color="auto" w:fill="E4E4E4"/>
          </w:tcPr>
          <w:p>
            <w:pPr>
              <w:ind w:left="80"/>
              <w:spacing w:after="0"/>
              <w:rPr>
                <w:sz w:val="20"/>
                <w:szCs w:val="20"/>
                <w:color w:val="auto"/>
              </w:rPr>
            </w:pPr>
            <w:r>
              <w:rPr>
                <w:rFonts w:ascii="Times New Roman" w:cs="Times New Roman" w:eastAsia="Times New Roman" w:hAnsi="Times New Roman"/>
                <w:sz w:val="16"/>
                <w:szCs w:val="16"/>
                <w:b w:val="1"/>
                <w:bCs w:val="1"/>
                <w:color w:val="auto"/>
              </w:rPr>
              <w:t>Type of Security</w:t>
            </w:r>
          </w:p>
        </w:tc>
        <w:tc>
          <w:tcPr>
            <w:tcW w:w="22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Owner (direct, or name of</w:t>
            </w:r>
          </w:p>
        </w:tc>
        <w:tc>
          <w:tcPr>
            <w:tcW w:w="1420" w:type="dxa"/>
            <w:vAlign w:val="bottom"/>
            <w:tcBorders>
              <w:right w:val="single" w:sz="8" w:color="auto"/>
            </w:tcBorders>
            <w:gridSpan w:val="2"/>
            <w:vMerge w:val="restart"/>
            <w:shd w:val="clear" w:color="auto" w:fill="E4E4E4"/>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1400" w:type="dxa"/>
            <w:vAlign w:val="bottom"/>
            <w:tcBorders>
              <w:right w:val="single" w:sz="8" w:color="auto"/>
            </w:tcBorders>
            <w:vMerge w:val="restart"/>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auto"/>
              </w:rPr>
              <w:t>Transaction Type</w:t>
            </w:r>
          </w:p>
        </w:tc>
        <w:tc>
          <w:tcPr>
            <w:tcW w:w="86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right w:val="single" w:sz="8" w:color="auto"/>
            </w:tcBorders>
            <w:shd w:val="clear" w:color="auto" w:fill="E4E4E4"/>
          </w:tcPr>
          <w:p>
            <w:pPr>
              <w:ind w:left="18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920" w:type="dxa"/>
            <w:vAlign w:val="bottom"/>
            <w:shd w:val="clear" w:color="auto" w:fill="E4E4E4"/>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80" w:type="dxa"/>
            <w:vAlign w:val="bottom"/>
            <w:tcBorders>
              <w:right w:val="single" w:sz="8" w:color="auto"/>
            </w:tcBorders>
            <w:shd w:val="clear" w:color="auto" w:fill="E4E4E4"/>
          </w:tcPr>
          <w:p>
            <w:pPr>
              <w:ind w:left="300"/>
              <w:spacing w:after="0"/>
              <w:rPr>
                <w:sz w:val="20"/>
                <w:szCs w:val="20"/>
                <w:color w:val="auto"/>
              </w:rPr>
            </w:pPr>
            <w:r>
              <w:rPr>
                <w:rFonts w:ascii="Times New Roman" w:cs="Times New Roman" w:eastAsia="Times New Roman" w:hAnsi="Times New Roman"/>
                <w:sz w:val="16"/>
                <w:szCs w:val="16"/>
                <w:b w:val="1"/>
                <w:bCs w:val="1"/>
                <w:color w:val="auto"/>
              </w:rPr>
              <w:t>of</w:t>
            </w:r>
          </w:p>
        </w:tc>
        <w:tc>
          <w:tcPr>
            <w:tcW w:w="148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or Sale</w:t>
            </w:r>
          </w:p>
        </w:tc>
        <w:tc>
          <w:tcPr>
            <w:tcW w:w="0" w:type="dxa"/>
            <w:vAlign w:val="bottom"/>
          </w:tcPr>
          <w:p>
            <w:pPr>
              <w:spacing w:after="0"/>
              <w:rPr>
                <w:sz w:val="1"/>
                <w:szCs w:val="1"/>
                <w:color w:val="auto"/>
              </w:rPr>
            </w:pPr>
          </w:p>
        </w:tc>
      </w:tr>
      <w:tr>
        <w:trPr>
          <w:trHeight w:val="202"/>
        </w:trPr>
        <w:tc>
          <w:tcPr>
            <w:tcW w:w="600" w:type="dxa"/>
            <w:vAlign w:val="bottom"/>
            <w:tcBorders>
              <w:left w:val="single" w:sz="8" w:color="E4E4E4"/>
            </w:tcBorders>
            <w:shd w:val="clear" w:color="auto" w:fill="E4E4E4"/>
          </w:tcPr>
          <w:p>
            <w:pPr>
              <w:spacing w:after="0"/>
              <w:rPr>
                <w:sz w:val="17"/>
                <w:szCs w:val="17"/>
                <w:color w:val="auto"/>
              </w:rPr>
            </w:pPr>
          </w:p>
        </w:tc>
        <w:tc>
          <w:tcPr>
            <w:tcW w:w="960" w:type="dxa"/>
            <w:vAlign w:val="bottom"/>
            <w:tcBorders>
              <w:right w:val="single" w:sz="8" w:color="E4E4E4"/>
            </w:tcBorders>
            <w:shd w:val="clear" w:color="auto" w:fill="E4E4E4"/>
          </w:tcPr>
          <w:p>
            <w:pPr>
              <w:spacing w:after="0"/>
              <w:rPr>
                <w:sz w:val="17"/>
                <w:szCs w:val="17"/>
                <w:color w:val="auto"/>
              </w:rPr>
            </w:pPr>
          </w:p>
        </w:tc>
        <w:tc>
          <w:tcPr>
            <w:tcW w:w="22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indirect owner)</w:t>
            </w:r>
          </w:p>
        </w:tc>
        <w:tc>
          <w:tcPr>
            <w:tcW w:w="1420" w:type="dxa"/>
            <w:vAlign w:val="bottom"/>
            <w:tcBorders>
              <w:right w:val="single" w:sz="8" w:color="auto"/>
            </w:tcBorders>
            <w:gridSpan w:val="2"/>
            <w:vMerge w:val="continue"/>
            <w:shd w:val="clear" w:color="auto" w:fill="E4E4E4"/>
          </w:tcPr>
          <w:p>
            <w:pPr>
              <w:spacing w:after="0"/>
              <w:rPr>
                <w:sz w:val="17"/>
                <w:szCs w:val="17"/>
                <w:color w:val="auto"/>
              </w:rPr>
            </w:pPr>
          </w:p>
        </w:tc>
        <w:tc>
          <w:tcPr>
            <w:tcW w:w="1400" w:type="dxa"/>
            <w:vAlign w:val="bottom"/>
            <w:tcBorders>
              <w:right w:val="single" w:sz="8" w:color="auto"/>
            </w:tcBorders>
            <w:vMerge w:val="continue"/>
            <w:shd w:val="clear" w:color="auto" w:fill="E4E4E4"/>
          </w:tcPr>
          <w:p>
            <w:pPr>
              <w:spacing w:after="0"/>
              <w:rPr>
                <w:sz w:val="17"/>
                <w:szCs w:val="17"/>
                <w:color w:val="auto"/>
              </w:rPr>
            </w:pPr>
          </w:p>
        </w:tc>
        <w:tc>
          <w:tcPr>
            <w:tcW w:w="86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340" w:type="dxa"/>
            <w:vAlign w:val="bottom"/>
            <w:tcBorders>
              <w:right w:val="single" w:sz="8" w:color="auto"/>
            </w:tcBorders>
            <w:shd w:val="clear" w:color="auto" w:fill="E4E4E4"/>
          </w:tcPr>
          <w:p>
            <w:pPr>
              <w:spacing w:after="0"/>
              <w:rPr>
                <w:sz w:val="17"/>
                <w:szCs w:val="17"/>
                <w:color w:val="auto"/>
              </w:rPr>
            </w:pPr>
          </w:p>
        </w:tc>
        <w:tc>
          <w:tcPr>
            <w:tcW w:w="1400" w:type="dxa"/>
            <w:vAlign w:val="bottom"/>
            <w:tcBorders>
              <w:right w:val="single" w:sz="8" w:color="auto"/>
            </w:tcBorders>
            <w:gridSpan w:val="2"/>
            <w:shd w:val="clear" w:color="auto" w:fill="E4E4E4"/>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Disposed</w:t>
            </w:r>
          </w:p>
        </w:tc>
        <w:tc>
          <w:tcPr>
            <w:tcW w:w="148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unit</w:t>
            </w:r>
          </w:p>
        </w:tc>
        <w:tc>
          <w:tcPr>
            <w:tcW w:w="0" w:type="dxa"/>
            <w:vAlign w:val="bottom"/>
          </w:tcPr>
          <w:p>
            <w:pPr>
              <w:spacing w:after="0"/>
              <w:rPr>
                <w:sz w:val="1"/>
                <w:szCs w:val="1"/>
                <w:color w:val="auto"/>
              </w:rPr>
            </w:pPr>
          </w:p>
        </w:tc>
      </w:tr>
      <w:tr>
        <w:trPr>
          <w:trHeight w:val="212"/>
        </w:trPr>
        <w:tc>
          <w:tcPr>
            <w:tcW w:w="600" w:type="dxa"/>
            <w:vAlign w:val="bottom"/>
            <w:tcBorders>
              <w:left w:val="single" w:sz="8" w:color="E4E4E4"/>
              <w:bottom w:val="single" w:sz="8" w:color="E4E4E4"/>
            </w:tcBorders>
            <w:shd w:val="clear" w:color="auto" w:fill="E4E4E4"/>
          </w:tcPr>
          <w:p>
            <w:pPr>
              <w:spacing w:after="0"/>
              <w:rPr>
                <w:sz w:val="18"/>
                <w:szCs w:val="18"/>
                <w:color w:val="auto"/>
              </w:rPr>
            </w:pPr>
          </w:p>
        </w:tc>
        <w:tc>
          <w:tcPr>
            <w:tcW w:w="960" w:type="dxa"/>
            <w:vAlign w:val="bottom"/>
            <w:tcBorders>
              <w:bottom w:val="single" w:sz="8" w:color="E4E4E4"/>
              <w:right w:val="single" w:sz="8" w:color="E4E4E4"/>
            </w:tcBorders>
            <w:shd w:val="clear" w:color="auto" w:fill="E4E4E4"/>
          </w:tcPr>
          <w:p>
            <w:pPr>
              <w:spacing w:after="0"/>
              <w:rPr>
                <w:sz w:val="18"/>
                <w:szCs w:val="18"/>
                <w:color w:val="auto"/>
              </w:rPr>
            </w:pPr>
          </w:p>
        </w:tc>
        <w:tc>
          <w:tcPr>
            <w:tcW w:w="2220" w:type="dxa"/>
            <w:vAlign w:val="bottom"/>
            <w:tcBorders>
              <w:bottom w:val="single" w:sz="8" w:color="auto"/>
              <w:right w:val="single" w:sz="8" w:color="auto"/>
            </w:tcBorders>
            <w:shd w:val="clear" w:color="auto" w:fill="E4E4E4"/>
          </w:tcPr>
          <w:p>
            <w:pPr>
              <w:spacing w:after="0"/>
              <w:rPr>
                <w:sz w:val="18"/>
                <w:szCs w:val="18"/>
                <w:color w:val="auto"/>
              </w:rPr>
            </w:pPr>
          </w:p>
        </w:tc>
        <w:tc>
          <w:tcPr>
            <w:tcW w:w="340" w:type="dxa"/>
            <w:vAlign w:val="bottom"/>
            <w:tcBorders>
              <w:bottom w:val="single" w:sz="8" w:color="auto"/>
            </w:tcBorders>
            <w:shd w:val="clear" w:color="auto" w:fill="E4E4E4"/>
          </w:tcPr>
          <w:p>
            <w:pPr>
              <w:spacing w:after="0"/>
              <w:rPr>
                <w:sz w:val="18"/>
                <w:szCs w:val="18"/>
                <w:color w:val="auto"/>
              </w:rPr>
            </w:pPr>
          </w:p>
        </w:tc>
        <w:tc>
          <w:tcPr>
            <w:tcW w:w="1080" w:type="dxa"/>
            <w:vAlign w:val="bottom"/>
            <w:tcBorders>
              <w:bottom w:val="single" w:sz="8" w:color="auto"/>
              <w:right w:val="single" w:sz="8" w:color="auto"/>
            </w:tcBorders>
            <w:shd w:val="clear" w:color="auto" w:fill="E4E4E4"/>
          </w:tcPr>
          <w:p>
            <w:pPr>
              <w:spacing w:after="0"/>
              <w:rPr>
                <w:sz w:val="18"/>
                <w:szCs w:val="18"/>
                <w:color w:val="auto"/>
              </w:rPr>
            </w:pPr>
          </w:p>
        </w:tc>
        <w:tc>
          <w:tcPr>
            <w:tcW w:w="1400" w:type="dxa"/>
            <w:vAlign w:val="bottom"/>
            <w:tcBorders>
              <w:bottom w:val="single" w:sz="8" w:color="auto"/>
              <w:right w:val="single" w:sz="8" w:color="auto"/>
            </w:tcBorders>
            <w:shd w:val="clear" w:color="auto" w:fill="E4E4E4"/>
          </w:tcPr>
          <w:p>
            <w:pPr>
              <w:spacing w:after="0"/>
              <w:rPr>
                <w:sz w:val="18"/>
                <w:szCs w:val="18"/>
                <w:color w:val="auto"/>
              </w:rPr>
            </w:pPr>
          </w:p>
        </w:tc>
        <w:tc>
          <w:tcPr>
            <w:tcW w:w="860" w:type="dxa"/>
            <w:vAlign w:val="bottom"/>
            <w:tcBorders>
              <w:bottom w:val="single" w:sz="8" w:color="auto"/>
            </w:tcBorders>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340" w:type="dxa"/>
            <w:vAlign w:val="bottom"/>
            <w:tcBorders>
              <w:bottom w:val="single" w:sz="8" w:color="auto"/>
              <w:right w:val="single" w:sz="8" w:color="auto"/>
            </w:tcBorders>
            <w:shd w:val="clear" w:color="auto" w:fill="E4E4E4"/>
          </w:tcPr>
          <w:p>
            <w:pPr>
              <w:spacing w:after="0"/>
              <w:rPr>
                <w:sz w:val="18"/>
                <w:szCs w:val="18"/>
                <w:color w:val="auto"/>
              </w:rPr>
            </w:pPr>
          </w:p>
        </w:tc>
        <w:tc>
          <w:tcPr>
            <w:tcW w:w="920" w:type="dxa"/>
            <w:vAlign w:val="bottom"/>
            <w:tcBorders>
              <w:bottom w:val="single" w:sz="8" w:color="auto"/>
            </w:tcBorders>
            <w:shd w:val="clear" w:color="auto" w:fill="E4E4E4"/>
          </w:tcPr>
          <w:p>
            <w:pPr>
              <w:ind w:left="20"/>
              <w:spacing w:after="0"/>
              <w:rPr>
                <w:sz w:val="20"/>
                <w:szCs w:val="20"/>
                <w:color w:val="auto"/>
              </w:rPr>
            </w:pPr>
            <w:r>
              <w:rPr>
                <w:rFonts w:ascii="Times New Roman" w:cs="Times New Roman" w:eastAsia="Times New Roman" w:hAnsi="Times New Roman"/>
                <w:sz w:val="16"/>
                <w:szCs w:val="16"/>
                <w:b w:val="1"/>
                <w:bCs w:val="1"/>
                <w:color w:val="auto"/>
              </w:rPr>
              <w:t>of</w:t>
            </w:r>
          </w:p>
        </w:tc>
        <w:tc>
          <w:tcPr>
            <w:tcW w:w="480" w:type="dxa"/>
            <w:vAlign w:val="bottom"/>
            <w:tcBorders>
              <w:bottom w:val="single" w:sz="8" w:color="auto"/>
              <w:right w:val="single" w:sz="8" w:color="auto"/>
            </w:tcBorders>
            <w:shd w:val="clear" w:color="auto" w:fill="E4E4E4"/>
          </w:tcPr>
          <w:p>
            <w:pPr>
              <w:spacing w:after="0"/>
              <w:rPr>
                <w:sz w:val="18"/>
                <w:szCs w:val="18"/>
                <w:color w:val="auto"/>
              </w:rPr>
            </w:pPr>
          </w:p>
        </w:tc>
        <w:tc>
          <w:tcPr>
            <w:tcW w:w="1480" w:type="dxa"/>
            <w:vAlign w:val="bottom"/>
            <w:tcBorders>
              <w:bottom w:val="single" w:sz="8" w:color="auto"/>
              <w:right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-1684020</wp:posOffset>
            </wp:positionV>
            <wp:extent cx="1010920" cy="4368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1010920" cy="436880"/>
                    </a:xfrm>
                    <a:prstGeom prst="rect">
                      <a:avLst/>
                    </a:prstGeom>
                    <a:noFill/>
                  </pic:spPr>
                </pic:pic>
              </a:graphicData>
            </a:graphic>
          </wp:anchor>
        </w:drawing>
      </w:r>
    </w:p>
    <w:p>
      <w:pPr>
        <w:spacing w:after="0" w:line="209" w:lineRule="exact"/>
        <w:rPr>
          <w:sz w:val="20"/>
          <w:szCs w:val="20"/>
          <w:color w:val="auto"/>
        </w:rPr>
      </w:pPr>
    </w:p>
    <w:p>
      <w:pPr>
        <w:jc w:val="both"/>
        <w:ind w:left="460" w:right="540"/>
        <w:spacing w:after="0" w:line="236" w:lineRule="auto"/>
        <w:rPr>
          <w:sz w:val="20"/>
          <w:szCs w:val="20"/>
          <w:color w:val="auto"/>
        </w:rPr>
      </w:pPr>
      <w:r>
        <w:rPr>
          <w:rFonts w:ascii="Times New Roman" w:cs="Times New Roman" w:eastAsia="Times New Roman" w:hAnsi="Times New Roman"/>
          <w:sz w:val="22"/>
          <w:szCs w:val="22"/>
          <w:color w:val="auto"/>
        </w:rPr>
        <w:t xml:space="preserve">Please return this form to the Company immediately following the transaction(s) via facsimile to the attention of the Managing Director, Investor Relations (615-263-3000), and the office of the General Counsel (615-263-3000) or e-mail. Please confirm your transaction </w:t>
      </w:r>
      <w:r>
        <w:rPr>
          <w:rFonts w:ascii="Times New Roman" w:cs="Times New Roman" w:eastAsia="Times New Roman" w:hAnsi="Times New Roman"/>
          <w:sz w:val="22"/>
          <w:szCs w:val="22"/>
          <w:i w:val="1"/>
          <w:iCs w:val="1"/>
          <w:u w:val="single" w:color="auto"/>
          <w:color w:val="auto"/>
        </w:rPr>
        <w:t>immediately</w:t>
      </w:r>
      <w:r>
        <w:rPr>
          <w:rFonts w:ascii="Times New Roman" w:cs="Times New Roman" w:eastAsia="Times New Roman" w:hAnsi="Times New Roman"/>
          <w:sz w:val="22"/>
          <w:szCs w:val="22"/>
          <w:color w:val="auto"/>
        </w:rPr>
        <w:t xml:space="preserve"> by telephone at 615-263-3000 to one of the Filing Coordinators or, if unavailable, the Vice President, Finance and Controller, the Executive Vice President and General Counsel or the Executive Vice President and Chief Financial Officer - do </w:t>
      </w:r>
      <w:r>
        <w:rPr>
          <w:rFonts w:ascii="Times New Roman" w:cs="Times New Roman" w:eastAsia="Times New Roman" w:hAnsi="Times New Roman"/>
          <w:sz w:val="22"/>
          <w:szCs w:val="22"/>
          <w:i w:val="1"/>
          <w:iCs w:val="1"/>
          <w:u w:val="single" w:color="auto"/>
          <w:color w:val="auto"/>
        </w:rPr>
        <w:t>not</w:t>
      </w:r>
      <w:r>
        <w:rPr>
          <w:rFonts w:ascii="Times New Roman" w:cs="Times New Roman" w:eastAsia="Times New Roman" w:hAnsi="Times New Roman"/>
          <w:sz w:val="22"/>
          <w:szCs w:val="22"/>
          <w:color w:val="auto"/>
        </w:rPr>
        <w:t xml:space="preserve"> leave a voice mail in the event the individual you have called is not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617220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00" w:top="1272" w:right="7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CORECIVIC,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Holdings, LLC, a Delaware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Real Estate,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Transportation,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(UK) Ltd., a United Kingdom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Holdings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Ventures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Puerto Rico, Inc., a Puerto Rico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1" w:name="page162"/>
    <w:bookmarkEnd w:id="161"/>
    <w:p>
      <w:pPr>
        <w:ind w:left="9240"/>
        <w:spacing w:after="0"/>
        <w:rPr>
          <w:sz w:val="20"/>
          <w:szCs w:val="20"/>
          <w:color w:val="auto"/>
        </w:rPr>
      </w:pPr>
      <w:r>
        <w:rPr>
          <w:rFonts w:ascii="Times New Roman" w:cs="Times New Roman" w:eastAsia="Times New Roman" w:hAnsi="Times New Roman"/>
          <w:sz w:val="20"/>
          <w:szCs w:val="20"/>
          <w:b w:val="1"/>
          <w:bCs w:val="1"/>
          <w:color w:val="auto"/>
        </w:rPr>
        <w:t>Exhibit 22.1</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subsidiaries of CoreCivic, Inc. (the "Issuer") are guarantors of the Issuer's (i) 4.75% Senior Notes due 2027; and (ii) 8.25% Senior Notes due 2029: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Holdings, LLC, a Delaware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Real Estate,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Transportation,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333-115493) pertaining to the CoreCivic, Inc. Non-Employee Directors’ Compensation Plan,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333-69358) pertaining to the CoreCivic, Inc. 401(k) Savings and Retirement Plan,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333-264985) pertaining to the CoreCivic, Inc. Amended and Restated 2020 Stock Incentive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333-238479) pertaining to the CoreCivic, Inc. 2020 Stock Incentive Plan, and</w:t>
      </w:r>
    </w:p>
    <w:p>
      <w:pPr>
        <w:spacing w:after="0" w:line="2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333-277631) pertaining to a shelf registration of debt securities, guarantees of debt securities, preferred stock, common stock, warrants, or units.</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20, 2026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D. Swindle, certify that:</w:t>
      </w:r>
    </w:p>
    <w:p>
      <w:pPr>
        <w:spacing w:after="0" w:line="225"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CoreCivic,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D. Swindle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D. Swindle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Garfinkle, certify that:</w:t>
      </w:r>
    </w:p>
    <w:p>
      <w:pPr>
        <w:spacing w:after="0" w:line="333"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CoreCivic,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and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2025, as filed with the Securities and Exchange Commission on the date hereof (the "Report"), I, Patrick D. Swindle, President and Chief Executive Officer of the Company,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Patrick D. Swindle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Patrick D. Swindle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2025,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68" w:lineRule="exact"/>
        <w:rPr>
          <w:sz w:val="20"/>
          <w:szCs w:val="20"/>
          <w:color w:val="auto"/>
        </w:rPr>
      </w:pPr>
    </w:p>
    <w:p>
      <w:pPr>
        <w:ind w:left="1660" w:hanging="429"/>
        <w:spacing w:after="0"/>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60" w:right="20" w:hanging="429"/>
        <w:spacing w:after="0" w:line="282" w:lineRule="auto"/>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 and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lvl w:ilvl="1">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5"/>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lowerRoman"/>
      <w:start w:val="1"/>
    </w:lvl>
  </w:abstractNum>
  <w:abstractNum w:abstractNumId="31">
    <w:nsid w:val="649BB77C"/>
    <w:multiLevelType w:val="hybridMultilevel"/>
    <w:lvl w:ilvl="0">
      <w:lvlJc w:val="left"/>
      <w:lvlText w:val="%1."/>
      <w:numFmt w:val="lowerRoman"/>
      <w:start w:val="2"/>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lvl w:ilvl="1">
      <w:lvlJc w:val="left"/>
      <w:lvlText w:val="*"/>
      <w:numFmt w:val="bullet"/>
      <w:start w:val="1"/>
    </w:lvl>
  </w:abstractNum>
  <w:abstractNum w:abstractNumId="34">
    <w:nsid w:val="1CF10FD8"/>
    <w:multiLevelType w:val="hybridMultilevel"/>
    <w:lvl w:ilvl="0">
      <w:lvlJc w:val="left"/>
      <w:lvlText w:val="%1"/>
      <w:numFmt w:val="decimal"/>
      <w:start w:val="1"/>
    </w:lvl>
    <w:lvl w:ilvl="1">
      <w:lvlJc w:val="left"/>
      <w:lvlText w:val="**"/>
      <w:numFmt w:val="bullet"/>
      <w:start w:val="1"/>
    </w:lvl>
  </w:abstractNum>
  <w:abstractNum w:abstractNumId="35">
    <w:nsid w:val="180115BE"/>
    <w:multiLevelType w:val="hybridMultilevel"/>
    <w:lvl w:ilvl="0">
      <w:lvlJc w:val="left"/>
      <w:lvlText w:val="%1"/>
      <w:numFmt w:val="decimal"/>
      <w:start w:val="1"/>
    </w:lvl>
    <w:lvl w:ilvl="1">
      <w:lvlJc w:val="left"/>
      <w:lvlText w:val="***"/>
      <w:numFmt w:val="bullet"/>
      <w:start w:val="1"/>
    </w:lvl>
  </w:abstractNum>
  <w:abstractNum w:abstractNumId="36">
    <w:nsid w:val="235BA861"/>
    <w:multiLevelType w:val="hybridMultilevel"/>
    <w:lvl w:ilvl="0">
      <w:lvlJc w:val="left"/>
      <w:lvlText w:val="%1"/>
      <w:numFmt w:val="decimal"/>
      <w:start w:val="97"/>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3"/>
    </w:lvl>
  </w:abstractNum>
  <w:abstractNum w:abstractNumId="39">
    <w:nsid w:val="15B5AF5C"/>
    <w:multiLevelType w:val="hybridMultilevel"/>
    <w:lvl w:ilvl="0">
      <w:lvlJc w:val="left"/>
      <w:lvlText w:val="%1."/>
      <w:numFmt w:val="decimal"/>
      <w:start w:val="4"/>
    </w:lvl>
  </w:abstractNum>
  <w:abstractNum w:abstractNumId="40">
    <w:nsid w:val="741226BB"/>
    <w:multiLevelType w:val="hybridMultilevel"/>
    <w:lvl w:ilvl="0">
      <w:lvlJc w:val="left"/>
      <w:lvlText w:val="%1."/>
      <w:numFmt w:val="decimal"/>
      <w:start w:val="5"/>
    </w:lvl>
  </w:abstractNum>
  <w:abstractNum w:abstractNumId="41">
    <w:nsid w:val="D34B6A8"/>
    <w:multiLevelType w:val="hybridMultilevel"/>
    <w:lvl w:ilvl="0">
      <w:lvlJc w:val="left"/>
      <w:lvlText w:val="%1."/>
      <w:numFmt w:val="decimal"/>
      <w:start w:val="6"/>
    </w:lvl>
  </w:abstractNum>
  <w:abstractNum w:abstractNumId="42">
    <w:nsid w:val="10233C99"/>
    <w:multiLevelType w:val="hybridMultilevel"/>
    <w:lvl w:ilvl="0">
      <w:lvlJc w:val="left"/>
      <w:lvlText w:val="%1."/>
      <w:numFmt w:val="decimal"/>
      <w:start w:val="7"/>
    </w:lvl>
  </w:abstractNum>
  <w:abstractNum w:abstractNumId="43">
    <w:nsid w:val="3F6AB60F"/>
    <w:multiLevelType w:val="hybridMultilevel"/>
    <w:lvl w:ilvl="0">
      <w:lvlJc w:val="left"/>
      <w:lvlText w:val="%1."/>
      <w:numFmt w:val="decimal"/>
      <w:start w:val="8"/>
    </w:lvl>
  </w:abstractNum>
  <w:abstractNum w:abstractNumId="44">
    <w:nsid w:val="61574095"/>
    <w:multiLevelType w:val="hybridMultilevel"/>
    <w:lvl w:ilvl="0">
      <w:lvlJc w:val="left"/>
      <w:lvlText w:val="%1."/>
      <w:numFmt w:val="decimal"/>
      <w:start w:val="10"/>
    </w:lvl>
  </w:abstractNum>
  <w:abstractNum w:abstractNumId="45">
    <w:nsid w:val="7E0C57B1"/>
    <w:multiLevelType w:val="hybridMultilevel"/>
    <w:lvl w:ilvl="0">
      <w:lvlJc w:val="left"/>
      <w:lvlText w:val="%1."/>
      <w:numFmt w:val="decimal"/>
      <w:start w:val="12"/>
    </w:lvl>
  </w:abstractNum>
  <w:abstractNum w:abstractNumId="46">
    <w:nsid w:val="77AE35EB"/>
    <w:multiLevelType w:val="hybridMultilevel"/>
    <w:lvl w:ilvl="0">
      <w:lvlJc w:val="left"/>
      <w:lvlText w:val="%1."/>
      <w:numFmt w:val="decimal"/>
      <w:start w:val="13"/>
    </w:lvl>
  </w:abstractNum>
  <w:abstractNum w:abstractNumId="47">
    <w:nsid w:val="579BE4F1"/>
    <w:multiLevelType w:val="hybridMultilevel"/>
    <w:lvl w:ilvl="0">
      <w:lvlJc w:val="left"/>
      <w:lvlText w:val="%1."/>
      <w:numFmt w:val="decimal"/>
      <w:start w:val="14"/>
    </w:lvl>
  </w:abstractNum>
  <w:abstractNum w:abstractNumId="48">
    <w:nsid w:val="310C50B3"/>
    <w:multiLevelType w:val="hybridMultilevel"/>
    <w:lvl w:ilvl="0">
      <w:lvlJc w:val="left"/>
      <w:lvlText w:val="%1."/>
      <w:numFmt w:val="decimal"/>
      <w:start w:val="15"/>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6"/>
    </w:lvl>
  </w:abstractNum>
  <w:abstractNum w:abstractNumId="52">
    <w:nsid w:val="1DBABF00"/>
    <w:multiLevelType w:val="hybridMultilevel"/>
    <w:lvl w:ilvl="0">
      <w:lvlJc w:val="left"/>
      <w:lvlText w:val="(%1)"/>
      <w:numFmt w:val="upperLetter"/>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upperLetter"/>
      <w:start w:val="9"/>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upperLetter"/>
      <w:start w:val="35"/>
    </w:lvl>
    <w:lvl w:ilvl="1">
      <w:lvlJc w:val="left"/>
      <w:lvlText w:val="•"/>
      <w:numFmt w:val="bullet"/>
      <w:start w:val="1"/>
    </w:lvl>
  </w:abstractNum>
  <w:abstractNum w:abstractNumId="58">
    <w:nsid w:val="6590700B"/>
    <w:multiLevelType w:val="hybridMultilevel"/>
    <w:lvl w:ilvl="0">
      <w:lvlJc w:val="left"/>
      <w:lvlText w:val="%1."/>
      <w:numFmt w:val="upperLetter"/>
      <w:start w:val="6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upperLetter"/>
      <w:start w:val="22"/>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1"/>
    </w:lvl>
    <w:lvl w:ilvl="1">
      <w:lvlJc w:val="left"/>
      <w:lvlText w:val="%2."/>
      <w:numFmt w:val="upperLetter"/>
      <w:start w:val="1"/>
    </w:lvl>
  </w:abstractNum>
  <w:abstractNum w:abstractNumId="65">
    <w:nsid w:val="168E121F"/>
    <w:multiLevelType w:val="hybridMultilevel"/>
    <w:lvl w:ilvl="0">
      <w:lvlJc w:val="left"/>
      <w:lvlText w:val="%1."/>
      <w:numFmt w:val="decimal"/>
      <w:start w:val="5"/>
    </w:lvl>
    <w:lvl w:ilvl="1">
      <w:lvlJc w:val="left"/>
      <w:lvlText w:val="%2."/>
      <w:numFmt w:val="upperLetter"/>
      <w:start w:val="1"/>
    </w:lvl>
  </w:abstractNum>
  <w:abstractNum w:abstractNumId="66">
    <w:nsid w:val="1EBA5D23"/>
    <w:multiLevelType w:val="hybridMultilevel"/>
    <w:lvl w:ilvl="0">
      <w:lvlJc w:val="left"/>
      <w:lvlText w:val="%1."/>
      <w:numFmt w:val="decimal"/>
    </w:lvl>
    <w:lvl w:ilvl="1">
      <w:lvlJc w:val="left"/>
      <w:lvlText w:val="•"/>
      <w:numFmt w:val="bullet"/>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1."/>
      <w:numFmt w:val="decimal"/>
      <w:start w:val="3"/>
    </w:lvl>
  </w:abstractNum>
  <w:abstractNum w:abstractNumId="69">
    <w:nsid w:val="540A471C"/>
    <w:multiLevelType w:val="hybridMultilevel"/>
    <w:lvl w:ilvl="0">
      <w:lvlJc w:val="left"/>
      <w:lvlText w:val="%1."/>
      <w:numFmt w:val="decimal"/>
      <w:start w:val="4"/>
    </w:lvl>
  </w:abstractNum>
  <w:abstractNum w:abstractNumId="70">
    <w:nsid w:val="7BD3EE7B"/>
    <w:multiLevelType w:val="hybridMultilevel"/>
    <w:lvl w:ilvl="0">
      <w:lvlJc w:val="left"/>
      <w:lvlText w:val="%1."/>
      <w:numFmt w:val="decimal"/>
      <w:start w:val="5"/>
    </w:lvl>
  </w:abstractNum>
  <w:abstractNum w:abstractNumId="71">
    <w:nsid w:val="51D9C564"/>
    <w:multiLevelType w:val="hybridMultilevel"/>
    <w:lvl w:ilvl="0">
      <w:lvlJc w:val="left"/>
      <w:lvlText w:val="%1."/>
      <w:numFmt w:val="decimal"/>
      <w:start w:val="6"/>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205" Type="http://schemas.openxmlformats.org/officeDocument/2006/relationships/hyperlink" Target="https://www.sec.gov/Archives/edgar/data/1070985/000119312513228077/d541213dex31.htm" TargetMode="External"/><Relationship Id="rId206" Type="http://schemas.openxmlformats.org/officeDocument/2006/relationships/hyperlink" Target="https://www.sec.gov/Archives/edgar/data/1070985/000119312516764788/d256269dex31.htm" TargetMode="External"/><Relationship Id="rId207" Type="http://schemas.openxmlformats.org/officeDocument/2006/relationships/hyperlink" Target="https://www.sec.gov/Archives/edgar/data/1070985/000114036123057950/ef20016779_ex3-1.htm" TargetMode="External"/><Relationship Id="rId208" Type="http://schemas.openxmlformats.org/officeDocument/2006/relationships/hyperlink" Target="https://www.sec.gov/Archives/edgar/data/1070985/000119312516764788/d256269dex41.htm" TargetMode="External"/><Relationship Id="rId209" Type="http://schemas.openxmlformats.org/officeDocument/2006/relationships/hyperlink" Target="https://www.sec.gov/Archives/edgar/data/1070985/000119312515328313/d93789dex41.htm" TargetMode="External"/><Relationship Id="rId210" Type="http://schemas.openxmlformats.org/officeDocument/2006/relationships/hyperlink" Target="https://www.sec.gov/Archives/edgar/data/1070985/000114036124012872/ny20022920x7_ex4-1.htm" TargetMode="External"/><Relationship Id="rId211" Type="http://schemas.openxmlformats.org/officeDocument/2006/relationships/hyperlink" Target="https://www.sec.gov/Archives/edgar/data/1070985/000119312517309897/d449092dex42.htm" TargetMode="External"/><Relationship Id="rId214" Type="http://schemas.openxmlformats.org/officeDocument/2006/relationships/hyperlink" Target="https://www.sec.gov/ix?doc=/Archives/edgar/data/1070985/000114036124012872/ny20022920x7_8k.htm" TargetMode="External"/><Relationship Id="rId215" Type="http://schemas.openxmlformats.org/officeDocument/2006/relationships/hyperlink" Target="https://www.sec.gov/Archives/edgar/data/1070985/000156459019017752/cxw-ex44_155.htm" TargetMode="External"/><Relationship Id="rId216" Type="http://schemas.openxmlformats.org/officeDocument/2006/relationships/hyperlink" Target="https://www.sec.gov/Archives/edgar/data/1070985/000156459020022649/cxw-ex43_134.htm" TargetMode="External"/><Relationship Id="rId217" Type="http://schemas.openxmlformats.org/officeDocument/2006/relationships/hyperlink" Target="https://www.sec.gov/Archives/edgar/data/1070985/000114036124012872/ny20022920x7_ex4-2.htm" TargetMode="External"/><Relationship Id="rId218" Type="http://schemas.openxmlformats.org/officeDocument/2006/relationships/hyperlink" Target="https://www.sec.gov/Archives/edgar/data/1070985/000095017024017235/cxw-ex4_16.htm" TargetMode="External"/><Relationship Id="rId219" Type="http://schemas.openxmlformats.org/officeDocument/2006/relationships/hyperlink" Target="https://www.sec.gov/Archives/edgar/data/1070985/000114036123047965/ef20012359_ex10-1.htm" TargetMode="External"/><Relationship Id="rId220" Type="http://schemas.openxmlformats.org/officeDocument/2006/relationships/hyperlink" Target="https://www.sec.gov/Archives/edgar/data/1070985/000119312525304483/d145718dex101.htm" TargetMode="External"/><Relationship Id="rId221" Type="http://schemas.openxmlformats.org/officeDocument/2006/relationships/hyperlink" Target="https://www.sec.gov/Archives/edgar/data/1070985/000095014403004789/g81913dedef14a.htm" TargetMode="External"/><Relationship Id="rId222" Type="http://schemas.openxmlformats.org/officeDocument/2006/relationships/hyperlink" Target="https://www.sec.gov/Archives/edgar/data/1070985/000095014407007953/g08996exv10w1.htm" TargetMode="External"/><Relationship Id="rId223" Type="http://schemas.openxmlformats.org/officeDocument/2006/relationships/hyperlink" Target="https://www.sec.gov/Archives/edgar/data/1070985/000095012310016309/g22193exv10w35.htm" TargetMode="External"/><Relationship Id="rId224" Type="http://schemas.openxmlformats.org/officeDocument/2006/relationships/hyperlink" Target="https://www.sec.gov/Archives/edgar/data/1070985/000095014407007953/g08996exv10w2.htm" TargetMode="External"/><Relationship Id="rId225" Type="http://schemas.openxmlformats.org/officeDocument/2006/relationships/hyperlink" Target="https://www.sec.gov/Archives/edgar/data/1070985/000095012309035955/g20232exv10w1.htm" TargetMode="External"/><Relationship Id="rId226" Type="http://schemas.openxmlformats.org/officeDocument/2006/relationships/hyperlink" Target="https://www.sec.gov/Archives/edgar/data/1070985/000119312520145050/d930806dex101.htm" TargetMode="External"/><Relationship Id="rId229" Type="http://schemas.openxmlformats.org/officeDocument/2006/relationships/hyperlink" Target="https://www.sec.gov/Archives/edgar/data/1070985/000156459020037459/cxw-ex101_134.htm" TargetMode="External"/><Relationship Id="rId230" Type="http://schemas.openxmlformats.org/officeDocument/2006/relationships/hyperlink" Target="https://www.sec.gov/Archives/edgar/data/1070985/000156459020037459/cxw-ex102_135.htm" TargetMode="External"/><Relationship Id="rId231" Type="http://schemas.openxmlformats.org/officeDocument/2006/relationships/hyperlink" Target="https://www.sec.gov/Archives/edgar/data/1070985/000156459020037459/cxw-ex103_133.htm" TargetMode="External"/><Relationship Id="rId232" Type="http://schemas.openxmlformats.org/officeDocument/2006/relationships/hyperlink" Target="https://www.sec.gov/Archives/edgar/data/1070985/000156459020037459/cxw-ex104_132.htm" TargetMode="External"/><Relationship Id="rId233" Type="http://schemas.openxmlformats.org/officeDocument/2006/relationships/hyperlink" Target="https://www.sec.gov/Archives/edgar/data/1070985/000114036122019238/brhc10037661_ex10-1.htm" TargetMode="External"/><Relationship Id="rId234" Type="http://schemas.openxmlformats.org/officeDocument/2006/relationships/hyperlink" Target="https://www.sec.gov/Archives/edgar/data/1070985/000119312525161202/d29579dex101.htm" TargetMode="External"/><Relationship Id="rId235" Type="http://schemas.openxmlformats.org/officeDocument/2006/relationships/hyperlink" Target="https://www.sec.gov/Archives/edgar/data/1070985/000119312525182677/d63509dex101.htm" TargetMode="External"/><Relationship Id="rId236" Type="http://schemas.openxmlformats.org/officeDocument/2006/relationships/hyperlink" Target="https://www.sec.gov/Archives/edgar/data/1070985/000095017024017235/cxw-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2026-02-20T10:28:05Z</dcterms:created>
  <dcterms:modified xsi:type="dcterms:W3CDTF">2026-02-20T10:28:05Z</dcterms:modified>
</cp:coreProperties>
</file>