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4637d8k.htm"/>
      <w:bookmarkStart w:id="1" w:name="ksd17463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CoreCivic,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001-16109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62-1763875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4370"/>
        <w:gridCol w:w="60"/>
        <w:gridCol w:w="1145"/>
      </w:tblGrid>
      <w:tr>
        <w:trPr/>
        <w:tc>
          <w:tcPr>
            <w:tcW w:w="4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283"/>
              <w:jc w:val="center"/>
              <w:rPr>
                <w:b/>
              </w:rPr>
            </w:pPr>
            <w:r>
              <w:rPr>
                <w:b/>
              </w:rPr>
              <w:t>5501 Virginia Way, Brentwood, Tennessee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37027</w:t>
            </w:r>
          </w:p>
        </w:tc>
      </w:tr>
      <w:tr>
        <w:trPr/>
        <w:tc>
          <w:tcPr>
            <w:tcW w:w="43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(615) 263-3000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520"/>
        <w:gridCol w:w="60"/>
        <w:gridCol w:w="740"/>
        <w:gridCol w:w="60"/>
        <w:gridCol w:w="26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CXW</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Midwest Regional Reception Center </w:t>
      </w:r>
    </w:p>
    <w:p>
      <w:pPr>
        <w:pStyle w:val="TextBody"/>
        <w:bidi w:val="0"/>
        <w:spacing w:before="120" w:after="0"/>
        <w:jc w:val="left"/>
        <w:rPr>
          <w:rFonts w:ascii="Times New Roman" w:hAnsi="Times New Roman"/>
          <w:sz w:val="20"/>
        </w:rPr>
      </w:pPr>
      <w:r>
        <w:rPr>
          <w:rFonts w:ascii="Times New Roman" w:hAnsi="Times New Roman"/>
          <w:sz w:val="20"/>
        </w:rPr>
        <w:t xml:space="preserve">On August 4, 2026, CoreCivic, Inc., a Maryland corporation (the “Company”), entered into an Agreement of Purchase and Sale (the “Midwest Purchase Agreement”) with the United States of America and its assigns, by and through the Department of Homeland Security (“Buyer”), pursuant to which, and upon the terms and subject to the conditions set forth therein, the Company sold to Buyer its 1,033-bed Midwest Regional Reception Center in Leavenworth, Kansas (the “Midwest Facility”) and certain related assets for an aggregate purchase price of approximately $238.4 million, subject to certain adjustments as set forth in the Midwest Purchase Agreement (the “Midwest Facility Sale”). The Midwest Facility Sale was completed concurrently with the parties’ entry into the Midwest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above summary of the Midwest Purchase Agreement does not purport to be complete and is qualified in its entirety by reference to the Midwest Purchase Agreement, which is filed herewith as Exhibit 10.1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Prairie Correctional Facility </w:t>
      </w:r>
    </w:p>
    <w:p>
      <w:pPr>
        <w:pStyle w:val="TextBody"/>
        <w:bidi w:val="0"/>
        <w:spacing w:before="120" w:after="0"/>
        <w:jc w:val="left"/>
        <w:rPr>
          <w:rFonts w:ascii="Times New Roman" w:hAnsi="Times New Roman"/>
          <w:sz w:val="20"/>
        </w:rPr>
      </w:pPr>
      <w:r>
        <w:rPr>
          <w:rFonts w:ascii="Times New Roman" w:hAnsi="Times New Roman"/>
          <w:sz w:val="20"/>
        </w:rPr>
        <w:t xml:space="preserve">On August 4, 2026, the Company entered into an Agreement of Purchase and Sale (the “Prairie Purchase Agreement”) with Buyer, pursuant to which, and upon the terms and subject to the conditions set forth therein, the Company sold to Buyer its 1,600-bed Prairie Correctional Facility in Appleton, Minnesota (the “Prairie Facility”) and certain related assets for an aggregate purchase price of approximately $495.6 million, subject to certain adjustments as set forth in the Prairie Purchase Agreement (the “Prairie Facility Sale”). The Prairie Facility Sale was completed concurrently with the parties’ entry into the Prairie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above summary of the Prairie Purchase Agreement does not purport to be complete and is qualified in its entirety by reference to the Prairie Purchase Agreement, which is filed herewith as Exhibit 10.2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Company currently expects to continue to manage the Midwest Facility under the existing management contract with U.S. Immigration &amp; Customs Enforcement, a federal law enforcement agency under the Department of Homeland Security (“ICE”), although the terms of the management contract may be modified to reflect the change in ownership. The Company has recently entered into a management agreement with ICE to manage the Prairie Facility, which has been idle since 2010. The Company can provide no assurance that it will continue to manage these facilities in the future, or that the terms of the existing management contracts will remain the same. ICE has the ability to terminate the management contracts for non-appropriation of funds or for convenience. The management contract for the Midwest Facility expires in September 2027, and the management contract for the Prairie Facility expires in August 2031. </w:t>
      </w:r>
    </w:p>
    <w:p>
      <w:pPr>
        <w:pStyle w:val="TextBody"/>
        <w:bidi w:val="0"/>
        <w:spacing w:before="360" w:after="0"/>
        <w:jc w:val="left"/>
        <w:rPr>
          <w:rFonts w:ascii="Times New Roman" w:hAnsi="Times New Roman"/>
          <w:i/>
          <w:sz w:val="20"/>
        </w:rPr>
      </w:pPr>
      <w:r>
        <w:rPr>
          <w:rFonts w:ascii="Times New Roman" w:hAnsi="Times New Roman"/>
          <w:i/>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(this “Current Report”) contains statements as to the Company’s beliefs and expectations of the outcome of future events that are “forward-looking” statements as defined within the meaning of the Private Securities Litigation Reform Act of 1995, as amended. These forward-looking statements are subject to risks and uncertainties that could cause actual results to differ materially from the statements made. These include, but are not limited to, the risks and uncertainties associated with: (i) changes in government policy, legislation and regulations that affect utilization of the private sector for corrections, detention, and residential reentry services, in general, or the Company’s business, in particular, including, but not limited to, the continued utilization of the Company’s correctional and detention facilities by the federal government as a consequence of presidential executive orders, changes in how the federal government, including ICE, elects to use the Company’s detention capacity or otherwise procures alternative detention capacity, and the impact of any changes to immigration reform and sentencing laws (the Company does not, under longstanding policy, lobby for or against policies or legislation that would determine the basis for, or duration of, an individual’s incarceration or detention); (ii) the Company’s ability to obtain and maintain correctional, detention, and residential reentry facility management contracts because of reasons including, but not limited to, sufficient governmental appropriations, contract compliance, negative publicity and effects of inmate disturbances; (iii) changes in the privatization of the corrections and detention industry, the acceptance of the Company’s services, the timing of the opening of new facilities and the commencement of new management contracts (including the extent and pace at which new contracts are utilized), as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well as the Company’s ability to utilize available beds; (iv) the Company’s ability to successfully activate idle facilities in a timely manner in order to meet the growth in demand for the Company’s facilities and services from the federal government that has occurred as a result of changes in policies and actions of the current presidential administration, and to realize projected returns resulting therefrom; (v) general economic and market conditions, including, but not limited to, the impact governmental budgets can have on the Company’s contract renewals and renegotiations, per diem rates, and occupancy; (vi) fluctuations in the Company’s operating results because of, among other things, changes in occupancy levels; competition; contract renegotiations or terminations including as a result of a change in facility ownership; inflation and other increases in costs of operations, including a rise in labor costs; fluctuations in interest rates and risks of operations; (vii) government budget uncertainty, the impact of debt ceilings and government shutdowns, including partial shutdowns, and changing budget priorities; (viii) the Company’s ability to successfully identify and consummate future development and acquisition opportunities, integrate their operations, and realize projected returns resulting therefrom; (ix) the availability of debt and equity financing on terms that are favorable to us, or at all; (x) the Company’s ability to successfully consummate the sales of additional company-owned assets, including the potential sale of additional facilities to ICE, on a timely basis and on commercially favorable terms; and (xi) the intended use of proceeds from the transactions described in this Current Report. Except as required by law, the Company takes no responsibility for updating the information contained in this Current Report following the date hereof to reflect events or circumstances occurring after the date hereof or the occurrence of unanticipated events.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965"/>
        <w:gridCol w:w="4325"/>
      </w:tblGrid>
      <w:tr>
        <w:trPr/>
        <w:tc>
          <w:tcPr>
            <w:tcW w:w="965" w:type="dxa"/>
            <w:tcBorders/>
            <w:vAlign w:val="center"/>
          </w:tcPr>
          <w:p>
            <w:pPr>
              <w:pStyle w:val="TableContents"/>
              <w:bidi w:val="0"/>
              <w:spacing w:before="0" w:after="283"/>
              <w:jc w:val="left"/>
              <w:rPr>
                <w:b/>
              </w:rPr>
            </w:pPr>
            <w:r>
              <w:rPr>
                <w:b/>
              </w:rPr>
              <w:t>Item 2.01</w:t>
            </w:r>
          </w:p>
        </w:tc>
        <w:tc>
          <w:tcPr>
            <w:tcW w:w="4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above under Item 1.01 is hereby incorporated by reference into this Item 2.01.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5, 2026, the Company issued a press release announcing the Midwest Facility Sale and the Prairie Facility Sale. A copy of the press release is furnished herewith as Exhibit 99.1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8"/>
        <w:gridCol w:w="120"/>
        <w:gridCol w:w="9607"/>
      </w:tblGrid>
      <w:tr>
        <w:trPr/>
        <w:tc>
          <w:tcPr>
            <w:tcW w:w="4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7" w:type="dxa"/>
            <w:tcBorders/>
            <w:vAlign w:val="center"/>
          </w:tcPr>
          <w:p>
            <w:pPr>
              <w:pStyle w:val="TableContents"/>
              <w:bidi w:val="0"/>
              <w:spacing w:before="0" w:after="283"/>
              <w:jc w:val="left"/>
              <w:rPr>
                <w:sz w:val="4"/>
                <w:szCs w:val="4"/>
              </w:rPr>
            </w:pPr>
            <w:r>
              <w:rPr>
                <w:sz w:val="4"/>
                <w:szCs w:val="4"/>
              </w:rPr>
            </w:r>
          </w:p>
        </w:tc>
      </w:tr>
      <w:tr>
        <w:trPr/>
        <w:tc>
          <w:tcPr>
            <w:tcW w:w="478"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left"/>
              <w:rPr/>
            </w:pPr>
            <w:hyperlink w:anchor="d174637dex101.htm">
              <w:r>
                <w:rPr>
                  <w:rStyle w:val="InternetLink"/>
                </w:rPr>
                <w:t xml:space="preserve">Purchase and Sale Agreement with respect to Midwest Facility, between CoreCivic, Inc. and the United States of America, by and through the Department of Homeland Security, dated August 4, 2026. </w:t>
              </w:r>
            </w:hyperlink>
          </w:p>
        </w:tc>
      </w:tr>
      <w:tr>
        <w:trPr/>
        <w:tc>
          <w:tcPr>
            <w:tcW w:w="478" w:type="dxa"/>
            <w:tcBorders/>
            <w:vAlign w:val="center"/>
          </w:tcPr>
          <w:p>
            <w:pPr>
              <w:pStyle w:val="TableContents"/>
              <w:bidi w:val="0"/>
              <w:spacing w:before="0" w:after="283"/>
              <w:jc w:val="left"/>
              <w:rPr>
                <w:sz w:val="4"/>
                <w:szCs w:val="4"/>
              </w:rPr>
            </w:pPr>
            <w:r>
              <w:rPr>
                <w:sz w:val="4"/>
                <w:szCs w:val="4"/>
              </w:rPr>
            </w:r>
          </w:p>
        </w:tc>
        <w:tc>
          <w:tcPr>
            <w:tcW w:w="9727" w:type="dxa"/>
            <w:gridSpan w:val="2"/>
            <w:tcBorders/>
            <w:vAlign w:val="center"/>
          </w:tcPr>
          <w:p>
            <w:pPr>
              <w:pStyle w:val="TableContents"/>
              <w:bidi w:val="0"/>
              <w:spacing w:before="0" w:after="283"/>
              <w:jc w:val="left"/>
              <w:rPr>
                <w:sz w:val="4"/>
                <w:szCs w:val="4"/>
              </w:rPr>
            </w:pPr>
            <w:r>
              <w:rPr>
                <w:sz w:val="4"/>
                <w:szCs w:val="4"/>
              </w:rPr>
            </w:r>
          </w:p>
        </w:tc>
      </w:tr>
      <w:tr>
        <w:trPr/>
        <w:tc>
          <w:tcPr>
            <w:tcW w:w="478"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left"/>
              <w:rPr/>
            </w:pPr>
            <w:hyperlink w:anchor="d174637dex102.htm">
              <w:r>
                <w:rPr>
                  <w:rStyle w:val="InternetLink"/>
                </w:rPr>
                <w:t xml:space="preserve">Purchase and Sale Agreement with respect to Prairie Facility, between CoreCivic, Inc. and the United States of America, by and through the Department of Homeland Security, dated August 4, 2026. </w:t>
              </w:r>
            </w:hyperlink>
          </w:p>
        </w:tc>
      </w:tr>
      <w:tr>
        <w:trPr/>
        <w:tc>
          <w:tcPr>
            <w:tcW w:w="478" w:type="dxa"/>
            <w:tcBorders/>
            <w:vAlign w:val="center"/>
          </w:tcPr>
          <w:p>
            <w:pPr>
              <w:pStyle w:val="TableContents"/>
              <w:bidi w:val="0"/>
              <w:spacing w:before="0" w:after="283"/>
              <w:jc w:val="left"/>
              <w:rPr>
                <w:sz w:val="4"/>
                <w:szCs w:val="4"/>
              </w:rPr>
            </w:pPr>
            <w:r>
              <w:rPr>
                <w:sz w:val="4"/>
                <w:szCs w:val="4"/>
              </w:rPr>
            </w:r>
          </w:p>
        </w:tc>
        <w:tc>
          <w:tcPr>
            <w:tcW w:w="9727" w:type="dxa"/>
            <w:gridSpan w:val="2"/>
            <w:tcBorders/>
            <w:vAlign w:val="center"/>
          </w:tcPr>
          <w:p>
            <w:pPr>
              <w:pStyle w:val="TableContents"/>
              <w:bidi w:val="0"/>
              <w:spacing w:before="0" w:after="283"/>
              <w:jc w:val="left"/>
              <w:rPr>
                <w:sz w:val="4"/>
                <w:szCs w:val="4"/>
              </w:rPr>
            </w:pPr>
            <w:r>
              <w:rPr>
                <w:sz w:val="4"/>
                <w:szCs w:val="4"/>
              </w:rPr>
            </w:r>
          </w:p>
        </w:tc>
      </w:tr>
      <w:tr>
        <w:trPr/>
        <w:tc>
          <w:tcPr>
            <w:tcW w:w="478"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left"/>
              <w:rPr/>
            </w:pPr>
            <w:hyperlink w:anchor="d174637dex991.htm">
              <w:r>
                <w:rPr>
                  <w:rStyle w:val="InternetLink"/>
                </w:rPr>
                <w:t xml:space="preserve">Press Release of the Company dated August 5, 2026. </w:t>
              </w:r>
            </w:hyperlink>
          </w:p>
        </w:tc>
      </w:tr>
      <w:tr>
        <w:trPr/>
        <w:tc>
          <w:tcPr>
            <w:tcW w:w="478" w:type="dxa"/>
            <w:tcBorders/>
            <w:vAlign w:val="center"/>
          </w:tcPr>
          <w:p>
            <w:pPr>
              <w:pStyle w:val="TableContents"/>
              <w:bidi w:val="0"/>
              <w:spacing w:before="0" w:after="283"/>
              <w:jc w:val="left"/>
              <w:rPr>
                <w:sz w:val="4"/>
                <w:szCs w:val="4"/>
              </w:rPr>
            </w:pPr>
            <w:r>
              <w:rPr>
                <w:sz w:val="4"/>
                <w:szCs w:val="4"/>
              </w:rPr>
            </w:r>
          </w:p>
        </w:tc>
        <w:tc>
          <w:tcPr>
            <w:tcW w:w="9727" w:type="dxa"/>
            <w:gridSpan w:val="2"/>
            <w:tcBorders/>
            <w:vAlign w:val="center"/>
          </w:tcPr>
          <w:p>
            <w:pPr>
              <w:pStyle w:val="TableContents"/>
              <w:bidi w:val="0"/>
              <w:spacing w:before="0" w:after="283"/>
              <w:jc w:val="left"/>
              <w:rPr>
                <w:sz w:val="4"/>
                <w:szCs w:val="4"/>
              </w:rPr>
            </w:pPr>
            <w:r>
              <w:rPr>
                <w:sz w:val="4"/>
                <w:szCs w:val="4"/>
              </w:rPr>
            </w:r>
          </w:p>
        </w:tc>
      </w:tr>
      <w:tr>
        <w:trPr/>
        <w:tc>
          <w:tcPr>
            <w:tcW w:w="478"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left"/>
              <w:rPr/>
            </w:pPr>
            <w:r>
              <w:rPr/>
              <w:t>Cover Page Interactive Data File (embedded within the Inline XBRL document).</w:t>
            </w:r>
          </w:p>
        </w:tc>
      </w:tr>
      <w:tr>
        <w:trPr/>
        <w:tc>
          <w:tcPr>
            <w:tcW w:w="478" w:type="dxa"/>
            <w:tcBorders/>
            <w:vAlign w:val="center"/>
          </w:tcPr>
          <w:p>
            <w:pPr>
              <w:pStyle w:val="TableContents"/>
              <w:bidi w:val="0"/>
              <w:spacing w:before="0" w:after="283"/>
              <w:jc w:val="left"/>
              <w:rPr>
                <w:sz w:val="4"/>
                <w:szCs w:val="4"/>
              </w:rPr>
            </w:pPr>
            <w:r>
              <w:rPr>
                <w:sz w:val="4"/>
                <w:szCs w:val="4"/>
              </w:rPr>
            </w:r>
          </w:p>
        </w:tc>
        <w:tc>
          <w:tcPr>
            <w:tcW w:w="9727" w:type="dxa"/>
            <w:gridSpan w:val="2"/>
            <w:tcBorders/>
            <w:vAlign w:val="center"/>
          </w:tcPr>
          <w:p>
            <w:pPr>
              <w:pStyle w:val="TableContents"/>
              <w:bidi w:val="0"/>
              <w:spacing w:before="0" w:after="283"/>
              <w:jc w:val="left"/>
              <w:rPr>
                <w:sz w:val="4"/>
                <w:szCs w:val="4"/>
              </w:rPr>
            </w:pPr>
            <w:r>
              <w:rPr>
                <w:sz w:val="4"/>
                <w:szCs w:val="4"/>
              </w:rPr>
            </w:r>
          </w:p>
        </w:tc>
      </w:tr>
      <w:tr>
        <w:trPr/>
        <w:tc>
          <w:tcPr>
            <w:tcW w:w="478"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left"/>
              <w:rPr/>
            </w:pPr>
            <w:r>
              <w:rPr/>
              <w:t>Certain schedules and similar attachments have been omitted in reliance on Instruction 4 of Item 1.01 of Form 8-K and Item 601(a)(5) of Regulation S-K. The Company will provide, on a supplemental basis, a copy of any omitted schedule or attachment to the Securities and Exchange Commission or its staff upon request. Pursuant to Item 601(a)(6) of Regulation S-K, certain information has been redacted or omitted and marked by brackets and asterisks.</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633" w:type="dxa"/>
        <w:jc w:val="left"/>
        <w:tblInd w:w="0" w:type="dxa"/>
        <w:tblLayout w:type="fixed"/>
        <w:tblCellMar>
          <w:top w:w="0" w:type="dxa"/>
          <w:left w:w="0" w:type="dxa"/>
          <w:bottom w:w="0" w:type="dxa"/>
          <w:right w:w="0" w:type="dxa"/>
        </w:tblCellMar>
      </w:tblPr>
      <w:tblGrid>
        <w:gridCol w:w="651"/>
        <w:gridCol w:w="1027"/>
        <w:gridCol w:w="395"/>
        <w:gridCol w:w="60"/>
        <w:gridCol w:w="365"/>
        <w:gridCol w:w="60"/>
        <w:gridCol w:w="5075"/>
      </w:tblGrid>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073" w:type="dxa"/>
            <w:gridSpan w:val="3"/>
            <w:tcBorders/>
            <w:vAlign w:val="center"/>
          </w:tcPr>
          <w:p>
            <w:pPr>
              <w:pStyle w:val="TableContents"/>
              <w:bidi w:val="0"/>
              <w:spacing w:before="0" w:after="283"/>
              <w:jc w:val="left"/>
              <w:rPr/>
            </w:pPr>
            <w:r>
              <w:rPr/>
              <w:t>Date: August 5, 2026</w:t>
            </w:r>
          </w:p>
        </w:tc>
        <w:tc>
          <w:tcPr>
            <w:tcW w:w="60" w:type="dxa"/>
            <w:tcBorders/>
            <w:vAlign w:val="center"/>
          </w:tcPr>
          <w:p>
            <w:pPr>
              <w:pStyle w:val="TableContents"/>
              <w:bidi w:val="0"/>
              <w:spacing w:before="0" w:after="283"/>
              <w:jc w:val="left"/>
              <w:rPr/>
            </w:pPr>
            <w:r>
              <w:rPr/>
              <w:t> </w:t>
            </w:r>
          </w:p>
        </w:tc>
        <w:tc>
          <w:tcPr>
            <w:tcW w:w="5500" w:type="dxa"/>
            <w:gridSpan w:val="3"/>
            <w:tcBorders/>
            <w:vAlign w:val="center"/>
          </w:tcPr>
          <w:p>
            <w:pPr>
              <w:pStyle w:val="TableContents"/>
              <w:bidi w:val="0"/>
              <w:spacing w:before="0" w:after="283"/>
              <w:jc w:val="left"/>
              <w:rPr/>
            </w:pPr>
            <w:r>
              <w:rPr/>
              <w:t>CORECIVIC, INC.</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422"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M. Garfinkle</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David M. Garfinkle</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174637dex101.htm"/>
      <w:bookmarkStart w:id="3" w:name="ksd174637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 Certain personally identifiable information has been omitted from this exhibit pursuant to Item 601(a)(6) under Regulation S-K.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CORECIVIC, INC. a Maryland corporation </w:t>
      </w:r>
    </w:p>
    <w:p>
      <w:pPr>
        <w:pStyle w:val="TextBody"/>
        <w:bidi w:val="0"/>
        <w:spacing w:before="0" w:after="0"/>
        <w:jc w:val="center"/>
        <w:rPr>
          <w:rFonts w:ascii="Times New Roman" w:hAnsi="Times New Roman"/>
          <w:sz w:val="20"/>
        </w:rPr>
      </w:pPr>
      <w:r>
        <w:rPr>
          <w:rFonts w:ascii="Times New Roman" w:hAnsi="Times New Roman"/>
          <w:sz w:val="20"/>
        </w:rPr>
        <w:t xml:space="preserve">as Seller,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THE UNITED STATES OF AMERICA AND ITS ASSIGNS, </w:t>
      </w:r>
    </w:p>
    <w:p>
      <w:pPr>
        <w:pStyle w:val="TextBody"/>
        <w:bidi w:val="0"/>
        <w:spacing w:before="0" w:after="0"/>
        <w:jc w:val="center"/>
        <w:rPr>
          <w:rFonts w:ascii="Times New Roman" w:hAnsi="Times New Roman"/>
          <w:sz w:val="20"/>
        </w:rPr>
      </w:pPr>
      <w:r>
        <w:rPr>
          <w:rFonts w:ascii="Times New Roman" w:hAnsi="Times New Roman"/>
          <w:sz w:val="20"/>
        </w:rPr>
        <w:t xml:space="preserve">BY AND THROUGH THE DEPARTMENT OF HOMELAND SECURITY </w:t>
      </w:r>
    </w:p>
    <w:p>
      <w:pPr>
        <w:pStyle w:val="TextBody"/>
        <w:bidi w:val="0"/>
        <w:spacing w:before="0" w:after="0"/>
        <w:jc w:val="center"/>
        <w:rPr>
          <w:rFonts w:ascii="Times New Roman" w:hAnsi="Times New Roman"/>
          <w:sz w:val="20"/>
        </w:rPr>
      </w:pPr>
      <w:r>
        <w:rPr>
          <w:rFonts w:ascii="Times New Roman" w:hAnsi="Times New Roman"/>
          <w:sz w:val="20"/>
        </w:rPr>
        <w:t xml:space="preserve">as Buyer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4, 2026 </w:t>
      </w:r>
    </w:p>
    <w:p>
      <w:pPr>
        <w:pStyle w:val="TextBody"/>
        <w:bidi w:val="0"/>
        <w:spacing w:before="48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left"/>
        <w:rPr>
          <w:rFonts w:ascii="Times New Roman" w:hAnsi="Times New Roman"/>
          <w:sz w:val="20"/>
        </w:rPr>
      </w:pPr>
      <w:r>
        <w:rPr>
          <w:rFonts w:ascii="Times New Roman" w:hAnsi="Times New Roman"/>
          <w:sz w:val="20"/>
        </w:rPr>
        <w:t>THIS PURCHASE AND SALE AGREEMENT (this “</w:t>
      </w:r>
      <w:r>
        <w:rPr>
          <w:rFonts w:ascii="Times New Roman" w:hAnsi="Times New Roman"/>
          <w:sz w:val="20"/>
          <w:u w:val="single"/>
        </w:rPr>
        <w:t>Agreement</w:t>
      </w:r>
      <w:r>
        <w:rPr>
          <w:rFonts w:ascii="Times New Roman" w:hAnsi="Times New Roman"/>
          <w:sz w:val="20"/>
        </w:rPr>
        <w:t>”) is made as of the 4th day of August, 2026 (the “</w:t>
      </w:r>
      <w:r>
        <w:rPr>
          <w:rFonts w:ascii="Times New Roman" w:hAnsi="Times New Roman"/>
          <w:sz w:val="20"/>
          <w:u w:val="single"/>
        </w:rPr>
        <w:t>Effective Date</w:t>
      </w:r>
      <w:r>
        <w:rPr>
          <w:rFonts w:ascii="Times New Roman" w:hAnsi="Times New Roman"/>
          <w:sz w:val="20"/>
        </w:rPr>
        <w:t xml:space="preserve">”) pursuant to 6 U.S.C. §§ 202, 251, and 551, and 8 U.S.C. §§ 1226 and 1231 by and between </w:t>
      </w:r>
      <w:r>
        <w:rPr>
          <w:rFonts w:ascii="Times New Roman" w:hAnsi="Times New Roman"/>
          <w:b/>
          <w:sz w:val="20"/>
        </w:rPr>
        <w:t>CoreCivic, Inc.</w:t>
      </w:r>
      <w:r>
        <w:rPr>
          <w:rFonts w:ascii="Times New Roman" w:hAnsi="Times New Roman"/>
          <w:sz w:val="20"/>
        </w:rPr>
        <w:t xml:space="preserve"> a Maryland corporation (successor by name change to Corrections Corporation of America, a Maryland corporation) having an address of 5501 Virginia Way, Suite 110, Brentwood, Tennessee 37027 (“</w:t>
      </w:r>
      <w:r>
        <w:rPr>
          <w:rFonts w:ascii="Times New Roman" w:hAnsi="Times New Roman"/>
          <w:sz w:val="20"/>
          <w:u w:val="single"/>
        </w:rPr>
        <w:t>Seller</w:t>
      </w:r>
      <w:r>
        <w:rPr>
          <w:rFonts w:ascii="Times New Roman" w:hAnsi="Times New Roman"/>
          <w:sz w:val="20"/>
        </w:rPr>
        <w:t xml:space="preserve">”), and </w:t>
      </w:r>
      <w:r>
        <w:rPr>
          <w:rFonts w:ascii="Times New Roman" w:hAnsi="Times New Roman"/>
          <w:b/>
          <w:sz w:val="20"/>
        </w:rPr>
        <w:t xml:space="preserve">United States of America, by and through the Department of Homeland Security </w:t>
      </w:r>
      <w:r>
        <w:rPr>
          <w:rFonts w:ascii="Times New Roman" w:hAnsi="Times New Roman"/>
          <w:sz w:val="20"/>
        </w:rPr>
        <w:t>(“</w:t>
      </w:r>
      <w:r>
        <w:rPr>
          <w:rFonts w:ascii="Times New Roman" w:hAnsi="Times New Roman"/>
          <w:sz w:val="20"/>
          <w:u w:val="single"/>
        </w:rPr>
        <w:t>Buyer</w:t>
      </w:r>
      <w:r>
        <w:rPr>
          <w:rFonts w:ascii="Times New Roman" w:hAnsi="Times New Roman"/>
          <w:sz w:val="20"/>
        </w:rPr>
        <w:t>”) (each of Buyer and Seller being a “</w:t>
      </w:r>
      <w:r>
        <w:rPr>
          <w:rFonts w:ascii="Times New Roman" w:hAnsi="Times New Roman"/>
          <w:sz w:val="20"/>
          <w:u w:val="single"/>
        </w:rPr>
        <w:t>Party</w:t>
      </w:r>
      <w:r>
        <w:rPr>
          <w:rFonts w:ascii="Times New Roman" w:hAnsi="Times New Roman"/>
          <w:sz w:val="20"/>
        </w:rPr>
        <w:t>” and collectively being the “</w:t>
      </w:r>
      <w:r>
        <w:rPr>
          <w:rFonts w:ascii="Times New Roman" w:hAnsi="Times New Roman"/>
          <w:sz w:val="20"/>
          <w:u w:val="single"/>
        </w:rPr>
        <w:t>Parties</w:t>
      </w:r>
      <w:r>
        <w:rPr>
          <w:rFonts w:ascii="Times New Roman" w:hAnsi="Times New Roman"/>
          <w:sz w:val="20"/>
        </w:rPr>
        <w:t>”), and is joined in for the limited purposes set forth herein by Chicago Title Insurance Company, as escrow agent (the “</w:t>
      </w:r>
      <w:r>
        <w:rPr>
          <w:rFonts w:ascii="Times New Roman" w:hAnsi="Times New Roman"/>
          <w:sz w:val="20"/>
          <w:u w:val="single"/>
        </w:rPr>
        <w:t>Escrow Agent</w:t>
      </w:r>
      <w:r>
        <w:rPr>
          <w:rFonts w:ascii="Times New Roman" w:hAnsi="Times New Roman"/>
          <w:sz w:val="20"/>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PROPERTY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Land</w:t>
      </w:r>
      <w:r>
        <w:rPr>
          <w:rFonts w:ascii="Times New Roman" w:hAnsi="Times New Roman"/>
          <w:sz w:val="20"/>
        </w:rPr>
        <w:t xml:space="preserve">. That certain parcel of land legally described on </w:t>
      </w:r>
      <w:r>
        <w:rPr>
          <w:rFonts w:ascii="Times New Roman" w:hAnsi="Times New Roman"/>
          <w:sz w:val="20"/>
          <w:u w:val="single"/>
        </w:rPr>
        <w:t>Schedule A</w:t>
      </w:r>
      <w:r>
        <w:rPr>
          <w:rFonts w:ascii="Times New Roman" w:hAnsi="Times New Roman"/>
          <w:sz w:val="20"/>
        </w:rPr>
        <w:t xml:space="preserve"> attached hereto (the “</w:t>
      </w:r>
      <w:r>
        <w:rPr>
          <w:rFonts w:ascii="Times New Roman" w:hAnsi="Times New Roman"/>
          <w:sz w:val="20"/>
          <w:u w:val="single"/>
        </w:rPr>
        <w:t>Land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Building and Improvements</w:t>
      </w:r>
      <w:r>
        <w:rPr>
          <w:rFonts w:ascii="Times New Roman" w:hAnsi="Times New Roman"/>
          <w:sz w:val="20"/>
        </w:rPr>
        <w:t>. The building (the “</w:t>
      </w:r>
      <w:r>
        <w:rPr>
          <w:rFonts w:ascii="Times New Roman" w:hAnsi="Times New Roman"/>
          <w:sz w:val="20"/>
          <w:u w:val="single"/>
        </w:rPr>
        <w:t>Building</w:t>
      </w:r>
      <w:r>
        <w:rPr>
          <w:rFonts w:ascii="Times New Roman" w:hAnsi="Times New Roman"/>
          <w:sz w:val="20"/>
        </w:rPr>
        <w:t>”) containing approximately 191,785 square feet of space and all of Seller’s right, title, and interest in and to all other buildings, fixtures and other improvements located on the Land, and all fixtures related thereto (collectively, the “</w:t>
      </w:r>
      <w:r>
        <w:rPr>
          <w:rFonts w:ascii="Times New Roman" w:hAnsi="Times New Roman"/>
          <w:sz w:val="20"/>
          <w:u w:val="single"/>
        </w:rPr>
        <w:t>Improvements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Appurtenances</w:t>
      </w:r>
      <w:r>
        <w:rPr>
          <w:rFonts w:ascii="Times New Roman" w:hAnsi="Times New Roman"/>
          <w:sz w:val="20"/>
        </w:rPr>
        <w:t>. To the extent the same may be assigned or transferred to Buyer from Seller, all of Seller’s right, title, and interest in and to all easements, rights, interests, claims, privileges, and appurtenances, if any, belonging or appertaining to the Land or the Improvements, including without limitation, all rights relating to minerals, oil, gas and other materials, all development rights such as air rights or water rights, and all right, title, and interest of Seller, if any, in and to all adjoining streets, alleys, waterways, and rights of way (collectively, the “</w:t>
      </w:r>
      <w:r>
        <w:rPr>
          <w:rFonts w:ascii="Times New Roman" w:hAnsi="Times New Roman"/>
          <w:sz w:val="20"/>
          <w:u w:val="single"/>
        </w:rPr>
        <w:t>Appurtenances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u w:val="single"/>
        </w:rPr>
        <w:t>Tangible Personal Property</w:t>
      </w:r>
      <w:r>
        <w:rPr>
          <w:rFonts w:ascii="Times New Roman" w:hAnsi="Times New Roman"/>
          <w:sz w:val="20"/>
        </w:rPr>
        <w:t xml:space="preserve">. All tangible personal property owned by Seller and located on the Land and used exclusively in connection therewith, including without limitation the items listed on </w:t>
      </w:r>
      <w:r>
        <w:rPr>
          <w:rFonts w:ascii="Times New Roman" w:hAnsi="Times New Roman"/>
          <w:sz w:val="20"/>
          <w:u w:val="single"/>
        </w:rPr>
        <w:t>Schedule D</w:t>
      </w:r>
      <w:r>
        <w:rPr>
          <w:rFonts w:ascii="Times New Roman" w:hAnsi="Times New Roman"/>
          <w:sz w:val="20"/>
        </w:rPr>
        <w:t xml:space="preserve"> attached hereto (collectively, the “</w:t>
      </w:r>
      <w:r>
        <w:rPr>
          <w:rFonts w:ascii="Times New Roman" w:hAnsi="Times New Roman"/>
          <w:sz w:val="20"/>
          <w:u w:val="single"/>
        </w:rPr>
        <w:t>Personal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u w:val="single"/>
        </w:rPr>
        <w:t>Intangible Personal Property</w:t>
      </w:r>
      <w:r>
        <w:rPr>
          <w:rFonts w:ascii="Times New Roman" w:hAnsi="Times New Roman"/>
          <w:sz w:val="20"/>
        </w:rPr>
        <w:t>. To the extent the same may be assigned or transferred to Buyer from Seller, all of Seller’s right, title and interest, if any, in and to the following intangible assets relating to the Land, the Improvements, the Appurtenances or the Personal Property: (i) plans and specifications, (ii) licenses, permits, orders of condition, approvals and authorizations issued by a governmental authority, (iii) warranties, guaranties, express or implied, from contractors, builders, manufacturers and suppliers, inuring to the benefit of Seller and relating to the Improvements, and (iv) all other intangible personal property rights of Seller used in connection with the ownership, use, operation and enjoyment of the Land (collectively, the “</w:t>
      </w:r>
      <w:r>
        <w:rPr>
          <w:rFonts w:ascii="Times New Roman" w:hAnsi="Times New Roman"/>
          <w:sz w:val="20"/>
          <w:u w:val="single"/>
        </w:rPr>
        <w:t>Intangible Property</w:t>
      </w:r>
      <w:r>
        <w:rPr>
          <w:rFonts w:ascii="Times New Roman" w:hAnsi="Times New Roman"/>
          <w:sz w:val="20"/>
        </w:rPr>
        <w:t xml:space="preserve">”); and all of the items described in </w:t>
      </w:r>
      <w:r>
        <w:rPr>
          <w:rFonts w:ascii="Times New Roman" w:hAnsi="Times New Roman"/>
          <w:sz w:val="20"/>
          <w:u w:val="single"/>
        </w:rPr>
        <w:t>Section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above are the “</w:t>
      </w:r>
      <w:r>
        <w:rPr>
          <w:rFonts w:ascii="Times New Roman" w:hAnsi="Times New Roman"/>
          <w:sz w:val="20"/>
          <w:u w:val="single"/>
        </w:rPr>
        <w:t>Property</w:t>
      </w:r>
      <w:r>
        <w:rPr>
          <w:rFonts w:ascii="Times New Roman" w:hAnsi="Times New Roman"/>
          <w:sz w:val="20"/>
        </w:rPr>
        <w:t>.” Intangible Property will not include names, trademarks, and identifying materials of Seller or its affiliates; proprietary software and systems; insurance policies and related proceeds; tax refunds and credits for periods prior to Closing; claims and causes of action arising prior to Closing; appraisals, internal memoranda, and privileged communications; employee records; and accounts receivable accruing prior to the Closing Date (collectively, “</w:t>
      </w:r>
      <w:r>
        <w:rPr>
          <w:rFonts w:ascii="Times New Roman" w:hAnsi="Times New Roman"/>
          <w:sz w:val="20"/>
          <w:u w:val="single"/>
        </w:rPr>
        <w:t>Excluded Property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of 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For good and valuable consideration, the receipt and sufficiency of which are hereby acknowledged, Seller and Buyer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1.</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Purchase</w:t>
            </w:r>
            <w:r>
              <w:rPr>
                <w:rFonts w:ascii="Times New Roman" w:hAnsi="Times New Roman"/>
                <w:sz w:val="20"/>
              </w:rPr>
              <w:t xml:space="preserve">. Subject to the terms and conditions set forth herein, Seller agrees to sell and convey to Buyer, and Buyer agrees to purchase and accept from Seller,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2.</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Purchase Price</w:t>
            </w:r>
            <w:r>
              <w:rPr>
                <w:rFonts w:ascii="Times New Roman" w:hAnsi="Times New Roman"/>
                <w:sz w:val="20"/>
              </w:rPr>
              <w:t>. The purchase price for the Property shall be $238,409,354.00 (the “</w:t>
            </w:r>
            <w:r>
              <w:rPr>
                <w:rFonts w:ascii="Times New Roman" w:hAnsi="Times New Roman"/>
                <w:sz w:val="20"/>
                <w:u w:val="single"/>
              </w:rPr>
              <w:t>Purchase Price</w:t>
            </w:r>
            <w:r>
              <w:rPr>
                <w:rFonts w:ascii="Times New Roman" w:hAnsi="Times New Roman"/>
                <w:sz w:val="20"/>
              </w:rPr>
              <w:t xml:space="preserve">”) and shall be paid at the Closing (as defined in </w:t>
            </w:r>
            <w:r>
              <w:rPr>
                <w:rFonts w:ascii="Times New Roman" w:hAnsi="Times New Roman"/>
                <w:sz w:val="20"/>
                <w:u w:val="single"/>
              </w:rPr>
              <w:t>Section 12.1</w:t>
            </w:r>
            <w:r>
              <w:rPr>
                <w:rFonts w:ascii="Times New Roman" w:hAnsi="Times New Roman"/>
                <w:sz w:val="20"/>
              </w:rPr>
              <w:t xml:space="preserve"> below) by wire transfer or immediately available funds, subject to any prorations, adjustments, and credits made pursuant to the terms of this Agreement including without limitation </w:t>
            </w:r>
            <w:r>
              <w:rPr>
                <w:rFonts w:ascii="Times New Roman" w:hAnsi="Times New Roman"/>
                <w:sz w:val="20"/>
                <w:u w:val="single"/>
              </w:rPr>
              <w:t>Section 4</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3.</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u w:val="single"/>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4.</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Prorations, Credits, and Adjustments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real estate taxes, and installments of special assessments (if any), relating to the Property due and payable for the fiscal year in which the Closing occurs shall be prorated as of the Closing Date (as defined in </w:t>
            </w:r>
            <w:r>
              <w:rPr>
                <w:rFonts w:ascii="Times New Roman" w:hAnsi="Times New Roman"/>
                <w:sz w:val="20"/>
                <w:u w:val="single"/>
              </w:rPr>
              <w:t>Section 12.1</w:t>
            </w:r>
            <w:r>
              <w:rPr>
                <w:rFonts w:ascii="Times New Roman" w:hAnsi="Times New Roman"/>
                <w:sz w:val="20"/>
              </w:rPr>
              <w:t xml:space="preserve"> below), based on the full fiscal year, with the day of the Closing allocated to Seller. The Buyer is an entity of the federal government and is exempt from all state and local taxes, including real estate taxes. Once in possession, real estate taxes will no longer be assessed on the property and neither Party will be responsible for them going forward. Such state and local taxes shall be the responsibility of the Seller for the period up to and including Closing. To the extent that the Buyer receives a tax bill after Closing that relates to such period, the Buyer agrees to promptly forward the same to the Seller for payment. The provisions of this </w:t>
            </w:r>
            <w:r>
              <w:rPr>
                <w:rFonts w:ascii="Times New Roman" w:hAnsi="Times New Roman"/>
                <w:sz w:val="20"/>
                <w:u w:val="single"/>
              </w:rPr>
              <w:t>Section 4.1</w:t>
            </w:r>
            <w:r>
              <w:rPr>
                <w:rFonts w:ascii="Times New Roman" w:hAnsi="Times New Roman"/>
                <w:sz w:val="20"/>
              </w:rPr>
              <w:t xml:space="preserve"> shall survive the Closing and the delivery and recording of the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Seller agrees to keep all utility accounts in Seller’s name for fifteen (15) Business Days after Closing. Buyer agrees to credit $500.00 at Closing to Seller for payment of those utilities. In the event there is above average use from and after Closing during the 15 Business Days, Seller can seek reimbursement from Buyer for such additional usage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local, county, and state transfer taxes and recordation taxes or fees applicable to the purchase and sale transaction. Seller shall pay all deed or transfer taxes imposed by the state in which the Property is located, any premium for title insurance that Buyer may elect to obtain at Closing, and the recording costs of any and all instruments that may be necessary for Seller to deliver title to the Property as herein specified. Consistent with Kansas custom, Buyer shall pay the cost of recording the instruments of conveyance. Buyer shall pay any premium for title insurance endorsements that Buyer may elect to obtain at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herein, including without limitation by the provisions of </w:t>
            </w:r>
            <w:r>
              <w:rPr>
                <w:rFonts w:ascii="Times New Roman" w:hAnsi="Times New Roman"/>
                <w:sz w:val="20"/>
                <w:u w:val="single"/>
              </w:rPr>
              <w:t>Section 14.10</w:t>
            </w:r>
            <w:r>
              <w:rPr>
                <w:rFonts w:ascii="Times New Roman" w:hAnsi="Times New Roman"/>
                <w:sz w:val="20"/>
              </w:rPr>
              <w:t xml:space="preserve"> below, each of Seller and Buyer shall pay its own attorney’s fees incurred in connection with the negotiation of this Agreement and the consummation of the transactions contemplated by this Agreement. Buyer shall pay the costs of any survey or plan, environmental site assessment, appraisal, or title examination that Buyer may elect to obtain in connection with the Property, together with all of Buyer’s other due diligence expenses. Buyer and Seller shall each pay one half of any fees payable to the Escrow Agent for acting as escrow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Section 4.2, Seller shall be responsible for all expenses normal to the ownership, operation, and maintenance of the Property, including without limitation taxes, insurance, electrical, gas, oil, and water and sewer use charges for the periods prior to the Closing Date, and Buyer shall be responsible for all such applicable charges (excluding taxes so long as Buyer is exempt from the payment of taxes) allocable to periods including and following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4"/>
        <w:gridCol w:w="612"/>
        <w:gridCol w:w="8879"/>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4.7.</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error or omission, all prorations, adjustments, and credits made and determined as herein provided shall be final as of the Closing Date, unless otherwise specified herein. If, within nine (9) months following the Closing Date, an error or omission in the determination or computation of any of the prorations, adjustments and credits shall be discovered, then, promptly following discovery thereof, the Parties shall make the appropriate adjustments required to correct such error or omission. The provisions of this </w:t>
            </w:r>
            <w:r>
              <w:rPr>
                <w:rFonts w:ascii="Times New Roman" w:hAnsi="Times New Roman"/>
                <w:sz w:val="20"/>
                <w:u w:val="single"/>
              </w:rPr>
              <w:t>Section 4.7</w:t>
            </w:r>
            <w:r>
              <w:rPr>
                <w:rFonts w:ascii="Times New Roman" w:hAnsi="Times New Roman"/>
                <w:sz w:val="20"/>
              </w:rPr>
              <w:t xml:space="preserve"> shall survive the Closing and the delivery and recording of the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5.</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Due Diligence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Property Documents</w:t>
            </w:r>
            <w:r>
              <w:rPr>
                <w:rFonts w:ascii="Times New Roman" w:hAnsi="Times New Roman"/>
                <w:sz w:val="20"/>
              </w:rPr>
              <w:t xml:space="preserve">. Prior to the Effective Date, Seller shall provide to Buyer copies of all Property documentation including all relevant applications/certificates/designations/and energy audits, all permits and regulatory approvals required for the lawful operation of the Property, all environmental reports and documents, including reporting documents and correspondence received and sent to governmental authorities, structural reports, building maintenance reports, tax information including assessments and abatement appeals, service contracts, title reports, guarantees and warranties, certificates of occupancy, any pending litigation, reciprocal easement and CC&amp;R agreements, current budget including anticipated capital expenditures, ALTA survey, legal description of the Property, site plans, current and prior two (2) year tax bills, building plans, as-built plans and specifications, and all other documents, instruments, and materials as more specifically described on </w:t>
            </w:r>
            <w:r>
              <w:rPr>
                <w:rFonts w:ascii="Times New Roman" w:hAnsi="Times New Roman"/>
                <w:sz w:val="20"/>
                <w:u w:val="single"/>
              </w:rPr>
              <w:t>Schedule 5.1</w:t>
            </w:r>
            <w:r>
              <w:rPr>
                <w:rFonts w:ascii="Times New Roman" w:hAnsi="Times New Roman"/>
                <w:sz w:val="20"/>
              </w:rPr>
              <w:t xml:space="preserve"> attached hereto, but only to the extent in Seller’s immediate possession or control or otherwise can be obtained by exercising good faith, reasonable due diligence (the “</w:t>
            </w:r>
            <w:r>
              <w:rPr>
                <w:rFonts w:ascii="Times New Roman" w:hAnsi="Times New Roman"/>
                <w:sz w:val="20"/>
                <w:u w:val="single"/>
              </w:rPr>
              <w:t>Seller Property Documents</w:t>
            </w:r>
            <w:r>
              <w:rPr>
                <w:rFonts w:ascii="Times New Roman" w:hAnsi="Times New Roman"/>
                <w:sz w:val="20"/>
              </w:rPr>
              <w:t xml:space="preserve">”), but excluding the Excluded Property. Subject to federal law, regulation, and guidance, Buyer agrees not to disclose the Seller Property Documents pursuant to the terms of the Access Agreement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612"/>
        <w:gridCol w:w="8881"/>
      </w:tblGrid>
      <w:tr>
        <w:trPr/>
        <w:tc>
          <w:tcPr>
            <w:tcW w:w="712"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Due Diligence Period</w:t>
            </w:r>
            <w:r>
              <w:rPr>
                <w:rFonts w:ascii="Times New Roman" w:hAnsi="Times New Roman"/>
                <w:sz w:val="20"/>
              </w:rPr>
              <w:t>. The term “</w:t>
            </w:r>
            <w:r>
              <w:rPr>
                <w:rFonts w:ascii="Times New Roman" w:hAnsi="Times New Roman"/>
                <w:sz w:val="20"/>
                <w:u w:val="single"/>
              </w:rPr>
              <w:t>Due Diligence Period</w:t>
            </w:r>
            <w:r>
              <w:rPr>
                <w:rFonts w:ascii="Times New Roman" w:hAnsi="Times New Roman"/>
                <w:sz w:val="20"/>
              </w:rPr>
              <w:t>” as used in this Agreement shall mean the period commencing on the Effective Date of the Access and Confidentiality Agreement by and between Seller and SK2 LLC dated April 21, 2026 (“</w:t>
            </w:r>
            <w:r>
              <w:rPr>
                <w:rFonts w:ascii="Times New Roman" w:hAnsi="Times New Roman"/>
                <w:sz w:val="20"/>
                <w:u w:val="single"/>
              </w:rPr>
              <w:t>Access Agreement</w:t>
            </w:r>
            <w:r>
              <w:rPr>
                <w:rFonts w:ascii="Times New Roman" w:hAnsi="Times New Roman"/>
                <w:sz w:val="20"/>
              </w:rPr>
              <w:t>”), and terminating on the date (the “</w:t>
            </w:r>
            <w:r>
              <w:rPr>
                <w:rFonts w:ascii="Times New Roman" w:hAnsi="Times New Roman"/>
                <w:sz w:val="20"/>
                <w:u w:val="single"/>
              </w:rPr>
              <w:t>Due Diligence Period Expiration Date</w:t>
            </w:r>
            <w:r>
              <w:rPr>
                <w:rFonts w:ascii="Times New Roman" w:hAnsi="Times New Roman"/>
                <w:sz w:val="20"/>
              </w:rPr>
              <w:t xml:space="preserve">”) that is the earlier to occur of (i) 5:00 P.M. Washington, D.C., time on June 5, 2026 or (ii) Seller’s receipt of a Due Diligence Termination Notice in accordance with </w:t>
            </w:r>
            <w:r>
              <w:rPr>
                <w:rFonts w:ascii="Times New Roman" w:hAnsi="Times New Roman"/>
                <w:sz w:val="20"/>
                <w:u w:val="single"/>
              </w:rPr>
              <w:t>Section 5.4</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5.3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Inspections</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5.3.1.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Access</w:t>
            </w:r>
            <w:r>
              <w:rPr>
                <w:rFonts w:ascii="Times New Roman" w:hAnsi="Times New Roman"/>
                <w:sz w:val="20"/>
              </w:rPr>
              <w:t>. During the Due Diligence Period, Buyer and its agents, consultants, employees, contractors, and representatives (collectively, the “</w:t>
            </w:r>
            <w:r>
              <w:rPr>
                <w:rFonts w:ascii="Times New Roman" w:hAnsi="Times New Roman"/>
                <w:sz w:val="20"/>
                <w:u w:val="single"/>
              </w:rPr>
              <w:t>Buyer Inspection Parties</w:t>
            </w:r>
            <w:r>
              <w:rPr>
                <w:rFonts w:ascii="Times New Roman" w:hAnsi="Times New Roman"/>
                <w:sz w:val="20"/>
              </w:rPr>
              <w:t>”) shall conduct inspections of the Property pursuant to the terms of the Access Agreement (the “</w:t>
            </w:r>
            <w:r>
              <w:rPr>
                <w:rFonts w:ascii="Times New Roman" w:hAnsi="Times New Roman"/>
                <w:sz w:val="20"/>
                <w:u w:val="single"/>
              </w:rPr>
              <w:t>Inspections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5.3.2.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Disclosures</w:t>
            </w:r>
            <w:r>
              <w:rPr>
                <w:rFonts w:ascii="Times New Roman" w:hAnsi="Times New Roman"/>
                <w:sz w:val="20"/>
              </w:rPr>
              <w:t xml:space="preserve">. In the event that Buyer’s Inspections reveal any condition of the Property that in Buyer’s judgment requires disclosure to any governmental agency or authority, Buyer shall proceed with such disclosure pursuant to the Access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613"/>
        <w:gridCol w:w="8880"/>
      </w:tblGrid>
      <w:tr>
        <w:trPr/>
        <w:tc>
          <w:tcPr>
            <w:tcW w:w="712"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5.4.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Termination Right</w:t>
            </w:r>
            <w:r>
              <w:rPr>
                <w:rFonts w:ascii="Times New Roman" w:hAnsi="Times New Roman"/>
                <w:sz w:val="20"/>
              </w:rPr>
              <w:t>. If Buyer in its sole discretion is not satisfied with the results of its due diligence review of the Seller Property Documents or the Inspections, then Buyer shall have the right to terminate this Agreement by providing Seller with written notice (the “</w:t>
            </w:r>
            <w:r>
              <w:rPr>
                <w:rFonts w:ascii="Times New Roman" w:hAnsi="Times New Roman"/>
                <w:sz w:val="20"/>
                <w:u w:val="single"/>
              </w:rPr>
              <w:t>Due Diligence Termination Notice</w:t>
            </w:r>
            <w:r>
              <w:rPr>
                <w:rFonts w:ascii="Times New Roman" w:hAnsi="Times New Roman"/>
                <w:sz w:val="20"/>
              </w:rPr>
              <w:t xml:space="preserve">”) no later than 5:00 P.M. Washington, D.C., time on the Due Diligence Period Expiration Date, of Buyer’s election not to proceed with the consummation of the purchase and sale transaction contemplated by this Agreement. Upon receipt by Seller of a Due Diligence Termination Notice on or prior to the Due Diligence Period Expiration Date, this Agreement and the respective obligations of Seller and Buyer contained in this Agreement shall immediately terminate and become null and void, and Seller and Buyer shall be released and discharged from all further obligation and liability under this Agreement, except as to such matters as, by the terms of this Agreement, shall survive its termination. In the event Buyer timely exercises its right to terminate this Agreement pursuant to this </w:t>
            </w:r>
            <w:r>
              <w:rPr>
                <w:rFonts w:ascii="Times New Roman" w:hAnsi="Times New Roman"/>
                <w:sz w:val="20"/>
                <w:u w:val="single"/>
              </w:rPr>
              <w:t>Section 5.4</w:t>
            </w:r>
            <w:r>
              <w:rPr>
                <w:rFonts w:ascii="Times New Roman" w:hAnsi="Times New Roman"/>
                <w:sz w:val="20"/>
              </w:rPr>
              <w:t>, Buyer shall promptly return Seller’s Property Documents to Seller and destroy any copies thereof retained by Buyer. As independent consideration for the execution and delivery of this Agreement, and in addition to any other consideration provided herein, Buyer has paid to Seller the sum of One Hundred Dollars ($100.00) (the “</w:t>
            </w:r>
            <w:r>
              <w:rPr>
                <w:rFonts w:ascii="Times New Roman" w:hAnsi="Times New Roman"/>
                <w:sz w:val="20"/>
                <w:u w:val="single"/>
              </w:rPr>
              <w:t>Independent Consideration</w:t>
            </w:r>
            <w:r>
              <w:rPr>
                <w:rFonts w:ascii="Times New Roman" w:hAnsi="Times New Roman"/>
                <w:sz w:val="20"/>
              </w:rPr>
              <w:t xml:space="preserve">”), the receipt and sufficiency of which are hereby acknowledged by Seller. The Independent Consideration is non-refundable under any circumstances and shall be retained by Seller as consideration for Seller’s execution of this Agreement and the grant of the rights and options contained herein. The Independent Consideration shall not be applied to the Purchase Price at Closing. The Parties acknowledge and agree that this Agreement is binding and enforceable regardless of whether any other consideration is delivered or any conditions to Closing are satisfied or waived.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6.</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Environmental Representation</w:t>
            </w:r>
            <w:r>
              <w:rPr>
                <w:rFonts w:ascii="Times New Roman" w:hAnsi="Times New Roman"/>
                <w:sz w:val="20"/>
              </w:rPr>
              <w:t xml:space="preserve">. Seller represents that (i) there were no releases of hazardous substances or petroleum products to the environment at the Property by Seller and (ii) there were no violations of environmental laws (including CERCLA, RCRA, the Oil Pollution Act, and the Clean Water Act) by the Seller at the Property, in each case that requires further remediation or correction. Further, Seller represents that to its knowledge there are no hazardous substances or petroleum products in the environment at the Property from activities of previous owners or tenants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0"/>
        <w:gridCol w:w="9495"/>
      </w:tblGrid>
      <w:tr>
        <w:trPr/>
        <w:tc>
          <w:tcPr>
            <w:tcW w:w="710" w:type="dxa"/>
            <w:tcBorders/>
          </w:tcPr>
          <w:p>
            <w:pPr>
              <w:pStyle w:val="TableContents"/>
              <w:bidi w:val="0"/>
              <w:spacing w:before="0" w:after="283"/>
              <w:jc w:val="left"/>
              <w:rPr/>
            </w:pPr>
            <w:r>
              <w:rPr/>
              <w:t>7.</w:t>
            </w:r>
          </w:p>
        </w:tc>
        <w:tc>
          <w:tcPr>
            <w:tcW w:w="949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 and Survey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Objections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7.1.1.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Buyer, at its sole cost and expense, will order a title commitment (“</w:t>
            </w:r>
            <w:r>
              <w:rPr>
                <w:rFonts w:ascii="Times New Roman" w:hAnsi="Times New Roman"/>
                <w:sz w:val="20"/>
                <w:u w:val="single"/>
              </w:rPr>
              <w:t>Buyer’s Commitment</w:t>
            </w:r>
            <w:r>
              <w:rPr>
                <w:rFonts w:ascii="Times New Roman" w:hAnsi="Times New Roman"/>
                <w:sz w:val="20"/>
              </w:rPr>
              <w:t>”) issued by Chicago Title Insurance Company and such survey of the Property as Buyer shall desire (the “</w:t>
            </w:r>
            <w:r>
              <w:rPr>
                <w:rFonts w:ascii="Times New Roman" w:hAnsi="Times New Roman"/>
                <w:sz w:val="20"/>
                <w:u w:val="single"/>
              </w:rPr>
              <w:t>Survey</w:t>
            </w:r>
            <w:r>
              <w:rPr>
                <w:rFonts w:ascii="Times New Roman" w:hAnsi="Times New Roman"/>
                <w:sz w:val="20"/>
              </w:rPr>
              <w:t>”). Buyer shall provide written notice to Seller (the “</w:t>
            </w:r>
            <w:r>
              <w:rPr>
                <w:rFonts w:ascii="Times New Roman" w:hAnsi="Times New Roman"/>
                <w:sz w:val="20"/>
                <w:u w:val="single"/>
              </w:rPr>
              <w:t>Title Notice</w:t>
            </w:r>
            <w:r>
              <w:rPr>
                <w:rFonts w:ascii="Times New Roman" w:hAnsi="Times New Roman"/>
                <w:sz w:val="20"/>
              </w:rPr>
              <w:t>” and the date of such notice, the “</w:t>
            </w:r>
            <w:r>
              <w:rPr>
                <w:rFonts w:ascii="Times New Roman" w:hAnsi="Times New Roman"/>
                <w:sz w:val="20"/>
                <w:u w:val="single"/>
              </w:rPr>
              <w:t>Title Notice Date</w:t>
            </w:r>
            <w:r>
              <w:rPr>
                <w:rFonts w:ascii="Times New Roman" w:hAnsi="Times New Roman"/>
                <w:sz w:val="20"/>
              </w:rPr>
              <w:t>”) of any matters shown by Buyer’s Commitment or the Survey that are not satisfactory to Buyer (collectively, the “</w:t>
            </w:r>
            <w:r>
              <w:rPr>
                <w:rFonts w:ascii="Times New Roman" w:hAnsi="Times New Roman"/>
                <w:sz w:val="20"/>
                <w:u w:val="single"/>
              </w:rPr>
              <w:t>Title Objections</w:t>
            </w:r>
            <w:r>
              <w:rPr>
                <w:rFonts w:ascii="Times New Roman" w:hAnsi="Times New Roman"/>
                <w:sz w:val="20"/>
              </w:rPr>
              <w:t xml:space="preserve">”) before executing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7.1.2.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Within five (5) Business Days following receipt of the Title Notice, Seller shall give to Buyer a written notice (“</w:t>
            </w:r>
            <w:r>
              <w:rPr>
                <w:rFonts w:ascii="Times New Roman" w:hAnsi="Times New Roman"/>
                <w:sz w:val="20"/>
                <w:u w:val="single"/>
              </w:rPr>
              <w:t>Seller’s Response Title Notice</w:t>
            </w:r>
            <w:r>
              <w:rPr>
                <w:rFonts w:ascii="Times New Roman" w:hAnsi="Times New Roman"/>
                <w:sz w:val="20"/>
              </w:rPr>
              <w:t>”) stating that (i) Seller agrees to cure one or more of the Title Objections identified in the Title Objection Notice on or before the Closing Date, or (ii) Seller does not agree to, or cannot, cure one or more of the defects identified in the Title Objection Notice; it being understood and agreed that Seller shall be obligated to eliminate prior to or as of the Closing all mortgages and assignments of leases and rents, mechanic’s liens, tax liens, assessment liens, judgment liens, attachments, mortgage liens, and other monetary liens affecting the Property unless created by Buyer (“</w:t>
            </w:r>
            <w:r>
              <w:rPr>
                <w:rFonts w:ascii="Times New Roman" w:hAnsi="Times New Roman"/>
                <w:sz w:val="20"/>
                <w:u w:val="single"/>
              </w:rPr>
              <w:t>Monetary Encumbrances</w:t>
            </w:r>
            <w:r>
              <w:rPr>
                <w:rFonts w:ascii="Times New Roman" w:hAnsi="Times New Roman"/>
                <w:sz w:val="20"/>
              </w:rPr>
              <w:t xml:space="preserve">”). In the event Seller fails to timely deliver to Buyer a Seller’s Response Title Notice, Seller shall be deemed to have elected not to cure any Title Objections including, without limitation, Monetary Encumbrances.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7.1.3.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Seller is unable or unwilling to cure any of the Title Objections contained in Buyer’s Title Notice as set forth in Seller’s Response Title Notice, or if Seller fails to timely deliver Seller’s Response Title Notice, Buyer may terminate this Agreement by written termination notice to Seller received by Seller within five (5) days after delivery of Seller’s Response Title Notice (or if Seller fails to deliver a Seller Response Title Notice, within five (5) days after the date the Seller’s Response Title Notice was due to be delivered) (the “</w:t>
            </w:r>
            <w:r>
              <w:rPr>
                <w:rFonts w:ascii="Times New Roman" w:hAnsi="Times New Roman"/>
                <w:sz w:val="20"/>
                <w:u w:val="single"/>
              </w:rPr>
              <w:t>Title Termination Date</w:t>
            </w:r>
            <w:r>
              <w:rPr>
                <w:rFonts w:ascii="Times New Roman" w:hAnsi="Times New Roman"/>
                <w:sz w:val="20"/>
              </w:rPr>
              <w:t>”). For avoidance of doubt, it is understood that in the event that Seller fails to timely deliver Seller’s Response Title Notice, Buyer shall not be deemed to have waived any Title Objections. As used herein “</w:t>
            </w:r>
            <w:r>
              <w:rPr>
                <w:rFonts w:ascii="Times New Roman" w:hAnsi="Times New Roman"/>
                <w:sz w:val="20"/>
                <w:u w:val="single"/>
              </w:rPr>
              <w:t>Permitted Encumbrances</w:t>
            </w:r>
            <w:r>
              <w:rPr>
                <w:rFonts w:ascii="Times New Roman" w:hAnsi="Times New Roman"/>
                <w:sz w:val="20"/>
              </w:rPr>
              <w:t xml:space="preserve">” means all matters shown on the Buyer’s Commitment and Survey other than those matters Seller cures, or commits in the Seller Response Title Notice to cure, and Monetary Encumbrances.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New Encumbrances</w:t>
            </w:r>
            <w:r>
              <w:rPr>
                <w:rFonts w:ascii="Times New Roman" w:hAnsi="Times New Roman"/>
                <w:sz w:val="20"/>
              </w:rPr>
              <w:t>. Seller shall notify Buyer within five (5) Business Days of Seller becoming aware of any new title or survey matter first occurring after the date of Buyer’s Commitment or the Survey that is not created by, through or under Buyer (each a “</w:t>
            </w:r>
            <w:r>
              <w:rPr>
                <w:rFonts w:ascii="Times New Roman" w:hAnsi="Times New Roman"/>
                <w:sz w:val="20"/>
                <w:u w:val="single"/>
              </w:rPr>
              <w:t>New Encumbrance</w:t>
            </w:r>
            <w:r>
              <w:rPr>
                <w:rFonts w:ascii="Times New Roman" w:hAnsi="Times New Roman"/>
                <w:sz w:val="20"/>
              </w:rPr>
              <w:t xml:space="preserve">”). Notwithstanding whether such notice is given, Buyer shall have the right to object to any New Encumbrance that is not acceptable to Buyer, by giving written notice of the New Encumbrance to which Buyer is objecting. In the event Buyer gives written notice of objection to any New Encumbrance as herein provided, the provisions of </w:t>
            </w:r>
            <w:r>
              <w:rPr>
                <w:rFonts w:ascii="Times New Roman" w:hAnsi="Times New Roman"/>
                <w:sz w:val="20"/>
                <w:u w:val="single"/>
              </w:rPr>
              <w:t>Section 7.1</w:t>
            </w:r>
            <w:r>
              <w:rPr>
                <w:rFonts w:ascii="Times New Roman" w:hAnsi="Times New Roman"/>
                <w:sz w:val="20"/>
              </w:rPr>
              <w:t xml:space="preserve"> shall apply with respect thereto as if set forth herein in full. Notwithstanding the foregoing, if any New Encumbrance is a Monetary Encumbrance, Seller must satisfy the same on or before the Closing in accordance with the provisions of </w:t>
            </w:r>
            <w:r>
              <w:rPr>
                <w:rFonts w:ascii="Times New Roman" w:hAnsi="Times New Roman"/>
                <w:sz w:val="20"/>
                <w:u w:val="single"/>
              </w:rPr>
              <w:t>Section 7.1</w:t>
            </w:r>
            <w:r>
              <w:rPr>
                <w:rFonts w:ascii="Times New Roman" w:hAnsi="Times New Roman"/>
                <w:sz w:val="20"/>
              </w:rPr>
              <w:t xml:space="preserve">. Seller covenants and agrees that it shall not grant any rights or otherwise accept any New Encumbrance (including any Monetary Encumbrance other than inchoate liens for real estate taxes) before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Deed Restrictions and Use Limitations</w:t>
            </w:r>
            <w:r>
              <w:rPr>
                <w:rFonts w:ascii="Times New Roman" w:hAnsi="Times New Roman"/>
                <w:sz w:val="20"/>
              </w:rPr>
              <w:t xml:space="preserve">. Seller represents and warrants that during the time period between the Effective Date and Closing, the Property has not been used for any use other than its ordinary and present 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The representations and warranties set forth in this Section 7.3 shall survive the Closing for a period of two (2) years and shall not be merged with the execution and delivery of the Deed or any other closing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8.</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Possession</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8.1.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Possession</w:t>
            </w:r>
            <w:r>
              <w:rPr>
                <w:rFonts w:ascii="Times New Roman" w:hAnsi="Times New Roman"/>
                <w:sz w:val="20"/>
              </w:rPr>
              <w:t xml:space="preserve">. On the Closing Date, except as otherwise agreed to by Buyer and Seller, Seller shall deliver possession of the Land and the Improvements to the Buyer, (i) free and clear of all tenants and parties in possession, (ii) with all personal property and debris removed, other than the Personal Property included in the Bill of Sale (see </w:t>
            </w:r>
            <w:r>
              <w:rPr>
                <w:rFonts w:ascii="Times New Roman" w:hAnsi="Times New Roman"/>
                <w:sz w:val="20"/>
                <w:u w:val="single"/>
              </w:rPr>
              <w:t>Section 12.2.2</w:t>
            </w:r>
            <w:r>
              <w:rPr>
                <w:rFonts w:ascii="Times New Roman" w:hAnsi="Times New Roman"/>
                <w:sz w:val="20"/>
              </w:rPr>
              <w:t xml:space="preserve">), and (iii) in substantially the same condition they were in as of the Due Diligence Period Expiration Date, ordinary wear and tear excepted. The Buyer shall be entitled to a re-inspection of the Property prior to the Closing to determine whether the condition thereof complies with the provisions of this </w:t>
            </w:r>
            <w:r>
              <w:rPr>
                <w:rFonts w:ascii="Times New Roman" w:hAnsi="Times New Roman"/>
                <w:sz w:val="20"/>
                <w:u w:val="single"/>
              </w:rPr>
              <w:t>Section 8.1</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0"/>
        <w:gridCol w:w="9495"/>
      </w:tblGrid>
      <w:tr>
        <w:trPr/>
        <w:tc>
          <w:tcPr>
            <w:tcW w:w="710" w:type="dxa"/>
            <w:tcBorders/>
          </w:tcPr>
          <w:p>
            <w:pPr>
              <w:pStyle w:val="TableContents"/>
              <w:bidi w:val="0"/>
              <w:spacing w:before="0" w:after="283"/>
              <w:jc w:val="left"/>
              <w:rPr/>
            </w:pPr>
            <w:r>
              <w:rPr/>
              <w:t>9.</w:t>
            </w:r>
          </w:p>
        </w:tc>
        <w:tc>
          <w:tcPr>
            <w:tcW w:w="949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Representations and Warranties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 and Warranties</w:t>
            </w:r>
            <w:r>
              <w:rPr>
                <w:rFonts w:ascii="Times New Roman" w:hAnsi="Times New Roman"/>
                <w:sz w:val="20"/>
              </w:rPr>
              <w:t xml:space="preserve">. The Seller represents and warrants to the Buyer that, except as disclosed in the Seller Property Documents, as of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Authority</w:t>
            </w:r>
            <w:r>
              <w:rPr>
                <w:rFonts w:ascii="Times New Roman" w:hAnsi="Times New Roman"/>
                <w:sz w:val="20"/>
              </w:rPr>
              <w:t xml:space="preserve">. Seller is a corporation, duly authorized, legally existing and in good standing under the laws of the State of Maryland. Seller has the full right and authority and has obtained any and all consents required to enter into this Agreement and to consummate or cause to be consummated the transaction contemplated hereby. This Agreement has been, and all of the documents to be executed and delivered by Seller at Closing shall be, duly authorized by all requisite company action and properly executed and shall constitute valid and binding obligations of Seller, subject to applicable bankruptcy and similar laws for the benefit of debtors.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9.1.2.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Bankruptcy</w:t>
            </w:r>
            <w:r>
              <w:rPr>
                <w:rFonts w:ascii="Times New Roman" w:hAnsi="Times New Roman"/>
                <w:sz w:val="20"/>
              </w:rPr>
              <w:t xml:space="preserve">. Seller has not (a) commenced a voluntary case, or had entered against it a petition, for relief under any federal bankruptcy act or any similar petition, order or decree under any federal or state law with respect to bankruptcy, insolvency or other relief for debtors, or (b) caused, suffered or consented to the appointment of a receiver, trustee, administrator, conservator, liquidator or similar official in any federal, state or foreign judicial or non-judicial proceeding to hold, administer and/or liquidate all or substantially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Litigation</w:t>
            </w:r>
            <w:r>
              <w:rPr>
                <w:rFonts w:ascii="Times New Roman" w:hAnsi="Times New Roman"/>
                <w:sz w:val="20"/>
              </w:rPr>
              <w:t xml:space="preserve">. There is no action, suit, or proceeding pending before a court or administrative body that remains outstanding against the Property or Seller that (i) relates to the physical condition of the Property or the Property’s compliance with applicable laws; or (ii) would materially and adversely affect Seller’s ability to consummate the transactions hereunder or the Buyer’s operation, beneficial enjoyment, or intended use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9.1.4.</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Foreclosure</w:t>
            </w:r>
            <w:r>
              <w:rPr>
                <w:rFonts w:ascii="Times New Roman" w:hAnsi="Times New Roman"/>
                <w:sz w:val="20"/>
              </w:rPr>
              <w:t xml:space="preserve">. Seller has not received any written notice from any lender, mortgagee, lienholder, or other secured party, of any pending or threatened foreclosure or execution action or proceeding affecting all or any portion of the Property, by either judicial or non-judicial foreclosure, or by public or private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9.1.5.</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FIRPTA</w:t>
            </w:r>
            <w:r>
              <w:rPr>
                <w:rFonts w:ascii="Times New Roman" w:hAnsi="Times New Roman"/>
                <w:sz w:val="20"/>
              </w:rPr>
              <w:t xml:space="preserve">. Seller is not a “foreign person” as defined in Section 1445(f)(3) of the Internal Revenue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9.1.6.</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Conflict</w:t>
            </w:r>
            <w:r>
              <w:rPr>
                <w:rFonts w:ascii="Times New Roman" w:hAnsi="Times New Roman"/>
                <w:sz w:val="20"/>
              </w:rPr>
              <w:t xml:space="preserve">. The execution and delivery of this Agreement and the consummation of the transactions contemplated hereunder on the part of Seller do not and will not conflict with or result in the breach of any material terms or provisions of, or constitute a default under, or result in the creation or imposition of any lien, charge, or encumbrance upon any of the Property or assets of Seller by reason of the terms of any contract, mortgage, lien, lease, agreement, indenture, instrument or judgment to which Seller is a party, that will not be discharged, assumed or released at Closing. No action by any federal, state or municipal or other governmental department, commission, board, bureau or instrumentality is necessary to make this Agreement a valid instrument binding upon Seller in accordance with its terms.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9.1.7.</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Condemnation</w:t>
            </w:r>
            <w:r>
              <w:rPr>
                <w:rFonts w:ascii="Times New Roman" w:hAnsi="Times New Roman"/>
                <w:sz w:val="20"/>
              </w:rPr>
              <w:t xml:space="preserve">. Seller has not received any written notice of any pending or contemplated condemnation, eminent domain or similar proceeding with respect to all or any material portion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9.1.8.</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Compliance with Law</w:t>
            </w:r>
            <w:r>
              <w:rPr>
                <w:rFonts w:ascii="Times New Roman" w:hAnsi="Times New Roman"/>
                <w:sz w:val="20"/>
              </w:rPr>
              <w:t xml:space="preserve">. Seller, or its agents, have not received notice from a governmental authority of any violations of applicable laws with respect to the Property that have not been cured and Seller has obtained all permits and regulatory approvals required for the lawful operation of the Property, which are valid and still in effect, and will transfer to Buyer and/or provide notice to the appropriate regulatory authority for any permits and regulatory approvals which require such transfer or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9.1.9.</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Third-Party Contracts</w:t>
            </w:r>
            <w:r>
              <w:rPr>
                <w:rFonts w:ascii="Times New Roman" w:hAnsi="Times New Roman"/>
                <w:sz w:val="20"/>
              </w:rPr>
              <w:t xml:space="preserve">. There are no third-party construction, management, leasing, service, equipment, supply, maintenance, or concession contracts or agreements in effect with respect to the Property which shall be binding upon Buyer or the Property after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9.1.10.</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Leases</w:t>
            </w:r>
            <w:r>
              <w:rPr>
                <w:rFonts w:ascii="Times New Roman" w:hAnsi="Times New Roman"/>
                <w:sz w:val="20"/>
              </w:rPr>
              <w:t xml:space="preserve">. There are no leases or occupancy agreements affecting the Land or the Improvements and there are no tenants, licensees or occupants of all or any portion of the Land and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9.1.11.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Patriot Act</w:t>
            </w:r>
            <w:r>
              <w:rPr>
                <w:rFonts w:ascii="Times New Roman" w:hAnsi="Times New Roman"/>
                <w:sz w:val="20"/>
              </w:rPr>
              <w:t>. Seller is in compliance with the requirements of Executive Order No. 13224, 66 Fed. Reg. 49079 (Sept. 25, 2001) (the “</w:t>
            </w:r>
            <w:r>
              <w:rPr>
                <w:rFonts w:ascii="Times New Roman" w:hAnsi="Times New Roman"/>
                <w:sz w:val="20"/>
                <w:u w:val="single"/>
              </w:rPr>
              <w:t>Order</w:t>
            </w:r>
            <w:r>
              <w:rPr>
                <w:rFonts w:ascii="Times New Roman" w:hAnsi="Times New Roman"/>
                <w:sz w:val="20"/>
              </w:rPr>
              <w:t>”) and other similar requirements contained in the rules and regulations of the Office of Foreign Assets Control, Department of the Treasury (“</w:t>
            </w:r>
            <w:r>
              <w:rPr>
                <w:rFonts w:ascii="Times New Roman" w:hAnsi="Times New Roman"/>
                <w:sz w:val="20"/>
                <w:u w:val="single"/>
              </w:rPr>
              <w:t>OFAC</w:t>
            </w:r>
            <w:r>
              <w:rPr>
                <w:rFonts w:ascii="Times New Roman" w:hAnsi="Times New Roman"/>
                <w:sz w:val="20"/>
              </w:rPr>
              <w:t>”) and in any enabling legislation or other Executive Orders or regulations in respect thereof (the Order and such other rules, regulations, legislation or orders are collectively called the “</w:t>
            </w:r>
            <w:r>
              <w:rPr>
                <w:rFonts w:ascii="Times New Roman" w:hAnsi="Times New Roman"/>
                <w:sz w:val="20"/>
                <w:u w:val="single"/>
              </w:rPr>
              <w:t>Orders</w:t>
            </w:r>
            <w:r>
              <w:rPr>
                <w:rFonts w:ascii="Times New Roman" w:hAnsi="Times New Roman"/>
                <w:sz w:val="20"/>
              </w:rPr>
              <w:t>”). Neither the Seller nor any of its affiliates (A) is listed on the Specially Designated Nationals and Blocked Person List maintained by OFAC pursuant to the Order and/or on any other list of terrorists or terrorist organizations maintained pursuant to any of the rules and regulations of OFAC or pursuant to any other applicable Orders (such lists are collectively referred to as the “</w:t>
            </w:r>
            <w:r>
              <w:rPr>
                <w:rFonts w:ascii="Times New Roman" w:hAnsi="Times New Roman"/>
                <w:sz w:val="20"/>
                <w:u w:val="single"/>
              </w:rPr>
              <w:t>Lists</w:t>
            </w:r>
            <w:r>
              <w:rPr>
                <w:rFonts w:ascii="Times New Roman" w:hAnsi="Times New Roman"/>
                <w:sz w:val="20"/>
              </w:rPr>
              <w:t xml:space="preserve">”), (B) is a Person (as defined in the Order) who has been determined by competent authority to be subject to the prohibitions contained in the Orders; or (C) is owned or controlled by (including without limitation by virtue of such Person being a director or owning voting shares or interests), or acts for or on behalf of, any person on the Lists or any other Person who has been determined by competent authority to be subject to the prohibitions contained in the Orders.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Seller shall notify Buyer in writing if, after the execution of this Agreement, Seller receives notice that any event occurs or condition exists which renders any of the foregoing materially untrue or misleading.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9.2.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Representations</w:t>
            </w:r>
            <w:r>
              <w:rPr>
                <w:rFonts w:ascii="Times New Roman" w:hAnsi="Times New Roman"/>
                <w:sz w:val="20"/>
              </w:rPr>
              <w:t xml:space="preserve">. The Buyer represents to the Seller that, as of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9.2.1.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Buyer executes this Agreement under the authority of 6 U.S.C. §§ 202, 251, and 551, and 8 U.S.C. §§ 1226 and 1231. The property is delivered and subject to the rules and regulations as may be prescribed by the Secretary of the U.S. Department of Homeland Security, the Federal Property and Administrative Services Act, 40 U.S.C. §§ 101–1315, and the Federal Land Policy and Management Act, 43 U.S.C. §§ 1701–1787, provided that Seller is not responsible for compliance with the foregoing. Buyer has the full right and authority and has obtained any and all consents and appropriations required to enter into this Agreement and to consummate or cause to be consummated the transaction contemplated hereby. This Agreement has been, and all of the documents to be executed and delivered by Buyer at Closing shall be, duly authorized by all requisite Federal government action and properly executed and shall constitute valid and binding obligations of Buyer.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Buyer shall notify Seller in writing if, after the execution of this Agreement, Buyer receives notice that any event occurs or condition exists which renders any of the foregoing materially untrue or misleading.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Seller’s representations set forth in </w:t>
            </w:r>
            <w:r>
              <w:rPr>
                <w:rFonts w:ascii="Times New Roman" w:hAnsi="Times New Roman"/>
                <w:sz w:val="20"/>
                <w:u w:val="single"/>
              </w:rPr>
              <w:t>Section 9.1</w:t>
            </w:r>
            <w:r>
              <w:rPr>
                <w:rFonts w:ascii="Times New Roman" w:hAnsi="Times New Roman"/>
                <w:sz w:val="20"/>
              </w:rPr>
              <w:t xml:space="preserve"> shall survive the Closing for a period of two (2) years (the “</w:t>
            </w:r>
            <w:r>
              <w:rPr>
                <w:rFonts w:ascii="Times New Roman" w:hAnsi="Times New Roman"/>
                <w:sz w:val="20"/>
                <w:u w:val="single"/>
              </w:rPr>
              <w:t>Survival Period</w:t>
            </w:r>
            <w:r>
              <w:rPr>
                <w:rFonts w:ascii="Times New Roman" w:hAnsi="Times New Roman"/>
                <w:sz w:val="20"/>
              </w:rPr>
              <w:t xml:space="preserve">”) and shall not be merged with the execution and delivery of the Deed and other closing documents hereunder. Each of Seller and Buyer shall execute and deliver to the other at the Closing a certificate to the effect that (i) the representations and warranties of such Party which are set forth in this </w:t>
            </w:r>
            <w:r>
              <w:rPr>
                <w:rFonts w:ascii="Times New Roman" w:hAnsi="Times New Roman"/>
                <w:sz w:val="20"/>
                <w:u w:val="single"/>
              </w:rPr>
              <w:t>Section 9</w:t>
            </w:r>
            <w:r>
              <w:rPr>
                <w:rFonts w:ascii="Times New Roman" w:hAnsi="Times New Roman"/>
                <w:sz w:val="20"/>
              </w:rPr>
              <w:t xml:space="preserve"> remain true and correct in all material respects as of the Closing Date, and (ii) such Party has complied with all of the covenants of such Party which are set forth in </w:t>
            </w:r>
            <w:r>
              <w:rPr>
                <w:rFonts w:ascii="Times New Roman" w:hAnsi="Times New Roman"/>
                <w:sz w:val="20"/>
                <w:u w:val="single"/>
              </w:rPr>
              <w:t>Section 10</w:t>
            </w:r>
            <w:r>
              <w:rPr>
                <w:rFonts w:ascii="Times New Roman" w:hAnsi="Times New Roman"/>
                <w:sz w:val="20"/>
              </w:rPr>
              <w:t xml:space="preserve">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9.4</w:t>
            </w:r>
          </w:p>
        </w:tc>
        <w:tc>
          <w:tcPr>
            <w:tcW w:w="8880" w:type="dxa"/>
            <w:tcBorders/>
          </w:tcPr>
          <w:p>
            <w:pPr>
              <w:pStyle w:val="TableContents"/>
              <w:bidi w:val="0"/>
              <w:spacing w:before="0" w:after="0"/>
              <w:jc w:val="left"/>
              <w:rPr/>
            </w:pPr>
            <w:r>
              <w:rPr/>
              <w:t>“</w:t>
            </w:r>
            <w:r>
              <w:rPr>
                <w:rFonts w:ascii="Times New Roman" w:hAnsi="Times New Roman"/>
                <w:b/>
                <w:sz w:val="20"/>
                <w:u w:val="single"/>
              </w:rPr>
              <w:t>As Is” Sale</w:t>
            </w:r>
            <w:r>
              <w:rPr>
                <w:rFonts w:ascii="Times New Roman" w:hAnsi="Times New Roman"/>
                <w:b/>
                <w:sz w:val="20"/>
              </w:rPr>
              <w:t xml:space="preserve">. </w:t>
            </w:r>
            <w:r>
              <w:rPr>
                <w:rFonts w:ascii="Times New Roman" w:hAnsi="Times New Roman"/>
                <w:sz w:val="20"/>
              </w:rPr>
              <w:t xml:space="preserve">Except as otherwise provided herein, in the Deed, and the other documents delivered by Seller pursuant to this Agreement, Buyer acknowledges and agrees that Seller has not made, does not make, and specifically negates and disclaims any representations or warranties whatsoever, whether expressed or implied, oral or written, past, present, or future concerning the Property, including, but not limited to, the condition thereof and the suitability thereof for any or all activities and uses which the Buyer might conduct thereon. Except as otherwise provided herein, and in the Deed or the other documents delivered by Seller pursuant to this Agreement, Buyer acknowledges that to the maximum extent allowed by law, the sale of the Property will be made in an “AS IS”, “WHERE IS” and “SUBJECT TO ALL FAULTS” condition, provided that Seller has not made use of the Property different from its ordinary and present use during the time period between the Effective Date and Closing, and that Seller has provided all disclosures as required by local, state, and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10.</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Covenants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10.1.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Affirmative Covenants</w:t>
            </w:r>
            <w:r>
              <w:rPr>
                <w:rFonts w:ascii="Times New Roman" w:hAnsi="Times New Roman"/>
                <w:sz w:val="20"/>
              </w:rPr>
              <w:t xml:space="preserve">. Between the Effective Date and the Closing Date, Seller agrees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10.1.1.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and operate the Property only in a prudent and usual and customary manner </w:t>
            </w:r>
            <w:r>
              <w:rPr>
                <w:rFonts w:ascii="Times New Roman" w:hAnsi="Times New Roman"/>
                <w:b/>
                <w:sz w:val="20"/>
              </w:rPr>
              <w:t xml:space="preserve">as required under Article 8 of this Agreement </w:t>
            </w:r>
            <w:r>
              <w:rPr>
                <w:rFonts w:ascii="Times New Roman" w:hAnsi="Times New Roman"/>
                <w:sz w:val="20"/>
              </w:rPr>
              <w:t xml:space="preserve">and in accordance with all applicable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10.1.2.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the Property in its present order and condition, and deliver the Property on the Closing Date in the condition required under Article 8 of this Agreement, usual wear and tear excepted;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10.1.3.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 prompt written notice to Buyer of any fire or other casualty affecting any portion of the Property after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10.1.4.</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Buyer promptly after receipt by Seller copies of all written notices of violation, taking, or eminent domain issued by any board, bureau, commission, department, or body of any municipal, county, state, or federal government unit, or any subdivision thereof, with respect to the Property received by Seller after the Effective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5"/>
        <w:gridCol w:w="8165"/>
      </w:tblGrid>
      <w:tr>
        <w:trPr/>
        <w:tc>
          <w:tcPr>
            <w:tcW w:w="1325"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10.1.5.</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Seller becomes aware that any representation or warranty of Seller set forth in </w:t>
            </w:r>
            <w:r>
              <w:rPr>
                <w:rFonts w:ascii="Times New Roman" w:hAnsi="Times New Roman"/>
                <w:sz w:val="20"/>
                <w:u w:val="single"/>
              </w:rPr>
              <w:t>Section 9</w:t>
            </w:r>
            <w:r>
              <w:rPr>
                <w:rFonts w:ascii="Times New Roman" w:hAnsi="Times New Roman"/>
                <w:sz w:val="20"/>
              </w:rPr>
              <w:t xml:space="preserve"> hereof will not be true and correct in all material respects on the Closing Date, as if made at and as of the Closing Date, give prompt written notice thereof to Buyer, which notice shall include all appropriate information related thereto that is in Seller’s possession or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1"/>
        <w:gridCol w:w="8880"/>
      </w:tblGrid>
      <w:tr>
        <w:trPr/>
        <w:tc>
          <w:tcPr>
            <w:tcW w:w="7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10.2.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Negative Covenants</w:t>
            </w:r>
            <w:r>
              <w:rPr>
                <w:rFonts w:ascii="Times New Roman" w:hAnsi="Times New Roman"/>
                <w:sz w:val="20"/>
              </w:rPr>
              <w:t xml:space="preserve">. Between the Effective Date and the Closing Date, Seller agrees that, without Buyer’s written consent in each case, it will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10.2.1.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voluntarily grant, create, assume, or permit to be created any mortgage in excess of any presently outstanding principal sum, lien, encumbrance, easement, covenant, condition, right-of-way, or restriction upon the Property, or voluntarily take or permit any action adversely affecting the title to the Property, as it exists on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10.2.2.</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leases upon the Property or enter into any contracts concerning the Property that would be binding on the Buyer after the Closing;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10.2.3.</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or indirectly transfer or market the Property to others, employ or direct any agent with respect to the marketing or disposition of the Property, directly or indirectly solicit, accept, or consider any such offer or expression of interest, or negotiate or enter into any “back up” or contingent offers or agreements with respect to the sale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Closing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11.1.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Buyer’s Obligations</w:t>
            </w:r>
            <w:r>
              <w:rPr>
                <w:rFonts w:ascii="Times New Roman" w:hAnsi="Times New Roman"/>
                <w:sz w:val="20"/>
              </w:rPr>
              <w:t>. Buyer’s obligation to purchase the Property as contemplated in this Agreement is subject to satisfaction of the following conditions precedent for Buyer’s benefit (each, a “</w:t>
            </w:r>
            <w:r>
              <w:rPr>
                <w:rFonts w:ascii="Times New Roman" w:hAnsi="Times New Roman"/>
                <w:sz w:val="20"/>
                <w:u w:val="single"/>
              </w:rPr>
              <w:t>Buyer’s Condition Precedent</w:t>
            </w:r>
            <w:r>
              <w:rPr>
                <w:rFonts w:ascii="Times New Roman" w:hAnsi="Times New Roman"/>
                <w:sz w:val="20"/>
              </w:rPr>
              <w:t xml:space="preserve">”), or Buyer’s waiver thereof, it being agreed that Buyer may waive any or all of such conditions, on or prior to the Closing Date or the dates designated below for the satisfaction of such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11.1.1.</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Obligations</w:t>
            </w:r>
            <w:r>
              <w:rPr>
                <w:rFonts w:ascii="Times New Roman" w:hAnsi="Times New Roman"/>
                <w:sz w:val="20"/>
              </w:rPr>
              <w:t xml:space="preserve">. As of the Closing Date, Seller shall have performed all of the material covenants and obligations required to be performed by Seller under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11.1.2.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 and Warranties</w:t>
            </w:r>
            <w:r>
              <w:rPr>
                <w:rFonts w:ascii="Times New Roman" w:hAnsi="Times New Roman"/>
                <w:sz w:val="20"/>
              </w:rPr>
              <w:t xml:space="preserve">. All representations and warranties made by Seller in this Agreement as set forth in </w:t>
            </w:r>
            <w:r>
              <w:rPr>
                <w:rFonts w:ascii="Times New Roman" w:hAnsi="Times New Roman"/>
                <w:sz w:val="20"/>
                <w:u w:val="single"/>
              </w:rPr>
              <w:t>Section 9.1</w:t>
            </w:r>
            <w:r>
              <w:rPr>
                <w:rFonts w:ascii="Times New Roman" w:hAnsi="Times New Roman"/>
                <w:sz w:val="20"/>
              </w:rPr>
              <w:t xml:space="preserve"> above shall be true and correct in all material respects on and as of the Closing Date, as if made on and as of such date except to the extent they relate to an earlier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11.1.3.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Documents and Deliveries</w:t>
            </w:r>
            <w:r>
              <w:rPr>
                <w:rFonts w:ascii="Times New Roman" w:hAnsi="Times New Roman"/>
                <w:sz w:val="20"/>
              </w:rPr>
              <w:t xml:space="preserve">. All instruments and documents required to be delivered by Seller under </w:t>
            </w:r>
            <w:r>
              <w:rPr>
                <w:rFonts w:ascii="Times New Roman" w:hAnsi="Times New Roman"/>
                <w:sz w:val="20"/>
                <w:u w:val="single"/>
              </w:rPr>
              <w:t>Section 12.2</w:t>
            </w:r>
            <w:r>
              <w:rPr>
                <w:rFonts w:ascii="Times New Roman" w:hAnsi="Times New Roman"/>
                <w:sz w:val="20"/>
              </w:rPr>
              <w:t xml:space="preserve"> below shall be delivered to the Escrow Agent and shall be in form and substance consistent with the requirements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11.1.4.</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w:t>
            </w:r>
            <w:r>
              <w:rPr>
                <w:rFonts w:ascii="Times New Roman" w:hAnsi="Times New Roman"/>
                <w:sz w:val="20"/>
              </w:rPr>
              <w:t xml:space="preserve">. Title to the Property as of the Closing Date shall not be subject to any encumbrances, except for the Permitted Encumbrances, substantially in the form attached as </w:t>
            </w:r>
            <w:r>
              <w:rPr>
                <w:rFonts w:ascii="Times New Roman" w:hAnsi="Times New Roman"/>
                <w:sz w:val="20"/>
                <w:u w:val="single"/>
              </w:rPr>
              <w:t>Exhibit A</w:t>
            </w:r>
            <w:r>
              <w:rPr>
                <w:rFonts w:ascii="Times New Roman" w:hAnsi="Times New Roman"/>
                <w:sz w:val="20"/>
              </w:rPr>
              <w:t xml:space="preserve"> hereto, duly executed and acknowledged by Seller (the “</w:t>
            </w:r>
            <w:r>
              <w:rPr>
                <w:rFonts w:ascii="Times New Roman" w:hAnsi="Times New Roman"/>
                <w:sz w:val="20"/>
                <w:u w:val="single"/>
              </w:rPr>
              <w:t>Deed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11.2.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Seller’s Obligations</w:t>
            </w:r>
            <w:r>
              <w:rPr>
                <w:rFonts w:ascii="Times New Roman" w:hAnsi="Times New Roman"/>
                <w:sz w:val="20"/>
              </w:rPr>
              <w:t>. Seller’s obligation to sell the Property as contemplated in this Agreement is subject to satisfaction of the following conditions precedent for Seller’s benefit (each, a “</w:t>
            </w:r>
            <w:r>
              <w:rPr>
                <w:rFonts w:ascii="Times New Roman" w:hAnsi="Times New Roman"/>
                <w:sz w:val="20"/>
                <w:u w:val="single"/>
              </w:rPr>
              <w:t>Seller’s Condition Precedent</w:t>
            </w:r>
            <w:r>
              <w:rPr>
                <w:rFonts w:ascii="Times New Roman" w:hAnsi="Times New Roman"/>
                <w:sz w:val="20"/>
              </w:rPr>
              <w:t xml:space="preserve">”) or Seller’s waiver thereof, it being agreed that Seller may waive any or all of such conditions, on or prior to the Closing Date or the dates designated below for the satisfaction of such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11.2.1.</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Buyer’s Obligations</w:t>
            </w:r>
            <w:r>
              <w:rPr>
                <w:rFonts w:ascii="Times New Roman" w:hAnsi="Times New Roman"/>
                <w:sz w:val="20"/>
              </w:rPr>
              <w:t xml:space="preserve">. As of the Closing Date, Buyer shall have performed all of the covenants and obligations required to be performed by Buyer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11.2.2.</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Representations</w:t>
            </w:r>
            <w:r>
              <w:rPr>
                <w:rFonts w:ascii="Times New Roman" w:hAnsi="Times New Roman"/>
                <w:sz w:val="20"/>
              </w:rPr>
              <w:t xml:space="preserve">. All representations and warranties made by Buyer in this Agreement as set forth in </w:t>
            </w:r>
            <w:r>
              <w:rPr>
                <w:rFonts w:ascii="Times New Roman" w:hAnsi="Times New Roman"/>
                <w:sz w:val="20"/>
                <w:u w:val="single"/>
              </w:rPr>
              <w:t>Section 9.2</w:t>
            </w:r>
            <w:r>
              <w:rPr>
                <w:rFonts w:ascii="Times New Roman" w:hAnsi="Times New Roman"/>
                <w:sz w:val="20"/>
              </w:rPr>
              <w:t xml:space="preserve"> above shall be made in good faith in all material respects on and as of the Closing Date, as if made on and as of such date except to the extent they relate to an earlier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11.2.3.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Documents and Deliveries</w:t>
            </w:r>
            <w:r>
              <w:rPr>
                <w:rFonts w:ascii="Times New Roman" w:hAnsi="Times New Roman"/>
                <w:sz w:val="20"/>
              </w:rPr>
              <w:t xml:space="preserve">. All payments, instruments and documents required to be delivered by Buyer under </w:t>
            </w:r>
            <w:r>
              <w:rPr>
                <w:rFonts w:ascii="Times New Roman" w:hAnsi="Times New Roman"/>
                <w:sz w:val="20"/>
                <w:u w:val="single"/>
              </w:rPr>
              <w:t>Section 12.3</w:t>
            </w:r>
            <w:r>
              <w:rPr>
                <w:rFonts w:ascii="Times New Roman" w:hAnsi="Times New Roman"/>
                <w:sz w:val="20"/>
              </w:rPr>
              <w:t xml:space="preserve"> below shall be delivered to the Escrow Agent and shall be in form and substance consistent with the requirements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12.</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Closing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12.1.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Time of Closing</w:t>
            </w:r>
            <w:r>
              <w:rPr>
                <w:rFonts w:ascii="Times New Roman" w:hAnsi="Times New Roman"/>
                <w:sz w:val="20"/>
              </w:rPr>
              <w:t>. The consummation of the purchase and sale of the Property (the “</w:t>
            </w:r>
            <w:r>
              <w:rPr>
                <w:rFonts w:ascii="Times New Roman" w:hAnsi="Times New Roman"/>
                <w:sz w:val="20"/>
                <w:u w:val="single"/>
              </w:rPr>
              <w:t>Closing</w:t>
            </w:r>
            <w:r>
              <w:rPr>
                <w:rFonts w:ascii="Times New Roman" w:hAnsi="Times New Roman"/>
                <w:sz w:val="20"/>
              </w:rPr>
              <w:t>”) shall be held at 11:00 A.M. Washington, D.C., time at a place agreed upon by the Seller and the Buyer, on or before August 4, 2026 (the “</w:t>
            </w:r>
            <w:r>
              <w:rPr>
                <w:rFonts w:ascii="Times New Roman" w:hAnsi="Times New Roman"/>
                <w:sz w:val="20"/>
                <w:u w:val="single"/>
              </w:rPr>
              <w:t>Closing Date</w:t>
            </w:r>
            <w:r>
              <w:rPr>
                <w:rFonts w:ascii="Times New Roman" w:hAnsi="Times New Roman"/>
                <w:sz w:val="20"/>
              </w:rPr>
              <w:t xml:space="preserve">”). The parties may also choose to use an Escrow procedure instead and shall consummate the transaction through Escrow Agent on or before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1"/>
        <w:gridCol w:w="8880"/>
      </w:tblGrid>
      <w:tr>
        <w:trPr/>
        <w:tc>
          <w:tcPr>
            <w:tcW w:w="7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12.2.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Deliveries</w:t>
            </w:r>
            <w:r>
              <w:rPr>
                <w:rFonts w:ascii="Times New Roman" w:hAnsi="Times New Roman"/>
                <w:sz w:val="20"/>
              </w:rPr>
              <w:t xml:space="preserve">. At the Closing, Seller shall deliver to the Escrow Agent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general warranty deed to the Land, the Improvements, and the Appurtenances from Seller, free from encumbrances except for the Permitted Encumbrances, substantially in the form attached as </w:t>
            </w:r>
            <w:r>
              <w:rPr>
                <w:rFonts w:ascii="Times New Roman" w:hAnsi="Times New Roman"/>
                <w:sz w:val="20"/>
                <w:u w:val="single"/>
              </w:rPr>
              <w:t>Exhibit A</w:t>
            </w:r>
            <w:r>
              <w:rPr>
                <w:rFonts w:ascii="Times New Roman" w:hAnsi="Times New Roman"/>
                <w:sz w:val="20"/>
              </w:rPr>
              <w:t xml:space="preserve"> hereto, duly executed and acknowledged by Seller (the “</w:t>
            </w:r>
            <w:r>
              <w:rPr>
                <w:rFonts w:ascii="Times New Roman" w:hAnsi="Times New Roman"/>
                <w:sz w:val="20"/>
                <w:u w:val="single"/>
              </w:rPr>
              <w:t>Deed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bill of sale for the Personal Property, substantially in the form attached as </w:t>
            </w:r>
            <w:r>
              <w:rPr>
                <w:rFonts w:ascii="Times New Roman" w:hAnsi="Times New Roman"/>
                <w:sz w:val="20"/>
                <w:u w:val="single"/>
              </w:rPr>
              <w:t>Exhibit B</w:t>
            </w:r>
            <w:r>
              <w:rPr>
                <w:rFonts w:ascii="Times New Roman" w:hAnsi="Times New Roman"/>
                <w:sz w:val="20"/>
              </w:rPr>
              <w:t xml:space="preserve"> hereto, duly executed by Seller (the “</w:t>
            </w:r>
            <w:r>
              <w:rPr>
                <w:rFonts w:ascii="Times New Roman" w:hAnsi="Times New Roman"/>
                <w:sz w:val="20"/>
                <w:u w:val="single"/>
              </w:rPr>
              <w:t>Bill of Sale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assignment and acceptance of the Intangible Property, substantially in the form attached as </w:t>
            </w:r>
            <w:r>
              <w:rPr>
                <w:rFonts w:ascii="Times New Roman" w:hAnsi="Times New Roman"/>
                <w:sz w:val="20"/>
                <w:u w:val="single"/>
              </w:rPr>
              <w:t>Exhibit C</w:t>
            </w:r>
            <w:r>
              <w:rPr>
                <w:rFonts w:ascii="Times New Roman" w:hAnsi="Times New Roman"/>
                <w:sz w:val="20"/>
              </w:rPr>
              <w:t xml:space="preserve"> hereto, duly executed by Seller (the “</w:t>
            </w:r>
            <w:r>
              <w:rPr>
                <w:rFonts w:ascii="Times New Roman" w:hAnsi="Times New Roman"/>
                <w:sz w:val="20"/>
                <w:u w:val="single"/>
              </w:rPr>
              <w:t>Assignment and Acceptance of Intangible 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12.2.4.</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reasonably satisfactory to Buyer that any third party contracts affecting the Property have be terminated as of the Closing Date, and that no obligations thereof are or will be binding on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12.2.6.</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affidavit of the Seller dated as of the Closing Date that, to Seller’s knowledge, (A) no services have been performed or materials supplied for or to the Seller with respect to the Property during the 90 days immediately preceding the Closing Date for which mechanic’s or materialman’s lien rights may exist and for which payment in full has not been made (or, in the event that any such services shall have been performed or materials delivered within said period and not been paid for in full, waivers of mechanic’s and materialman’s liens as a result thereof), and (B) no tenants or other parties are in, or claim or assert rights to, possession of the Land or the Building;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12.2.7.</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affidavit of the Seller to the effect that the Seller is not a “foreign person” as that term is defined in Internal Revenue Code Section 1445(f)(3);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12.2.8.</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Internal Revenue Service 1099-S form duly executed by the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12.2.9.</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concerning representations and warranties of the Seller contemplated by </w:t>
            </w:r>
            <w:r>
              <w:rPr>
                <w:rFonts w:ascii="Times New Roman" w:hAnsi="Times New Roman"/>
                <w:sz w:val="20"/>
                <w:u w:val="single"/>
              </w:rPr>
              <w:t>Section 9.3</w:t>
            </w:r>
            <w:r>
              <w:rPr>
                <w:rFonts w:ascii="Times New Roman" w:hAnsi="Times New Roman"/>
                <w:sz w:val="20"/>
              </w:rPr>
              <w:t xml:space="preserve"> above duly executed by the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0"/>
        <w:gridCol w:w="770"/>
        <w:gridCol w:w="8125"/>
      </w:tblGrid>
      <w:tr>
        <w:trPr/>
        <w:tc>
          <w:tcPr>
            <w:tcW w:w="1310" w:type="dxa"/>
            <w:tcBorders/>
            <w:vAlign w:val="center"/>
          </w:tcPr>
          <w:p>
            <w:pPr>
              <w:pStyle w:val="TableContents"/>
              <w:bidi w:val="0"/>
              <w:spacing w:before="0" w:after="283"/>
              <w:jc w:val="left"/>
              <w:rPr/>
            </w:pPr>
            <w:r>
              <w:rPr/>
              <w:t> </w:t>
            </w:r>
          </w:p>
        </w:tc>
        <w:tc>
          <w:tcPr>
            <w:tcW w:w="770" w:type="dxa"/>
            <w:tcBorders/>
          </w:tcPr>
          <w:p>
            <w:pPr>
              <w:pStyle w:val="TableContents"/>
              <w:bidi w:val="0"/>
              <w:spacing w:before="0" w:after="283"/>
              <w:jc w:val="left"/>
              <w:rPr/>
            </w:pPr>
            <w:r>
              <w:rPr/>
              <w:t>12.2.10.</w:t>
            </w:r>
          </w:p>
        </w:tc>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joint settlement statement duly executed by Seller;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06"/>
        <w:gridCol w:w="780"/>
        <w:gridCol w:w="8119"/>
      </w:tblGrid>
      <w:tr>
        <w:trPr/>
        <w:tc>
          <w:tcPr>
            <w:tcW w:w="1306" w:type="dxa"/>
            <w:tcBorders/>
            <w:vAlign w:val="center"/>
          </w:tcPr>
          <w:p>
            <w:pPr>
              <w:pStyle w:val="TableContents"/>
              <w:bidi w:val="0"/>
              <w:spacing w:before="0" w:after="283"/>
              <w:jc w:val="left"/>
              <w:rPr/>
            </w:pPr>
            <w:r>
              <w:rPr/>
              <w:t> </w:t>
            </w:r>
          </w:p>
        </w:tc>
        <w:tc>
          <w:tcPr>
            <w:tcW w:w="780" w:type="dxa"/>
            <w:tcBorders/>
          </w:tcPr>
          <w:p>
            <w:pPr>
              <w:pStyle w:val="TableContents"/>
              <w:bidi w:val="0"/>
              <w:spacing w:before="0" w:after="283"/>
              <w:jc w:val="left"/>
              <w:rPr/>
            </w:pPr>
            <w:r>
              <w:rPr/>
              <w:t>12.2.11.</w:t>
            </w:r>
          </w:p>
        </w:tc>
        <w:tc>
          <w:tcPr>
            <w:tcW w:w="8119" w:type="dxa"/>
            <w:tcBorders/>
          </w:tcPr>
          <w:p>
            <w:pPr>
              <w:pStyle w:val="TableContents"/>
              <w:bidi w:val="0"/>
              <w:spacing w:before="0" w:after="0"/>
              <w:jc w:val="left"/>
              <w:rPr>
                <w:rFonts w:ascii="Times New Roman" w:hAnsi="Times New Roman"/>
                <w:sz w:val="20"/>
              </w:rPr>
            </w:pPr>
            <w:r>
              <w:rPr>
                <w:rFonts w:ascii="Times New Roman" w:hAnsi="Times New Roman"/>
                <w:sz w:val="20"/>
              </w:rPr>
              <w:t>such other documents as Seller may be required to deliver to Buyer at Closing hereunder or as may be required to comply with applicable law, or are reasonably required by the Escrow Agent, and/or are usual and customary in transactions of this type</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1"/>
        <w:gridCol w:w="8880"/>
      </w:tblGrid>
      <w:tr>
        <w:trPr/>
        <w:tc>
          <w:tcPr>
            <w:tcW w:w="7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12.3.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Deliveries</w:t>
            </w:r>
            <w:r>
              <w:rPr>
                <w:rFonts w:ascii="Times New Roman" w:hAnsi="Times New Roman"/>
                <w:sz w:val="20"/>
              </w:rPr>
              <w:t xml:space="preserve">. At the Closing, the Buyer shall deliver to the Escrow Agent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12.3.1.</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the Escrow Agent’s instructions, a wire transfer in the amount of the balance of the Purchase Price specified in </w:t>
            </w:r>
            <w:r>
              <w:rPr>
                <w:rFonts w:ascii="Times New Roman" w:hAnsi="Times New Roman"/>
                <w:sz w:val="20"/>
                <w:u w:val="single"/>
              </w:rPr>
              <w:t>Section 2.3</w:t>
            </w:r>
            <w:r>
              <w:rPr>
                <w:rFonts w:ascii="Times New Roman" w:hAnsi="Times New Roman"/>
                <w:sz w:val="20"/>
              </w:rPr>
              <w:t xml:space="preserv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12.3.2.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Assignment and Acceptance of Intangibles, duly executed by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12.3.3.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concerning representations of Buyer contemplated by </w:t>
            </w:r>
            <w:r>
              <w:rPr>
                <w:rFonts w:ascii="Times New Roman" w:hAnsi="Times New Roman"/>
                <w:sz w:val="20"/>
                <w:u w:val="single"/>
              </w:rPr>
              <w:t>Section 9.3</w:t>
            </w:r>
            <w:r>
              <w:rPr>
                <w:rFonts w:ascii="Times New Roman" w:hAnsi="Times New Roman"/>
                <w:sz w:val="20"/>
              </w:rPr>
              <w:t xml:space="preserve"> above duly executed by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5"/>
        <w:gridCol w:w="8165"/>
      </w:tblGrid>
      <w:tr>
        <w:trPr/>
        <w:tc>
          <w:tcPr>
            <w:tcW w:w="1325"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12.3.4.</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joint settlement statement duly executed by Buyer;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12.3.5.</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documents as Buyer may be required to deliver to Seller at Closing hereunder or as may be required to comply with applicable law and/or are usual and customary in transactions of this type.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13.</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Default / Remedies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13.1.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Limitation</w:t>
            </w:r>
            <w:r>
              <w:rPr>
                <w:rFonts w:ascii="Times New Roman" w:hAnsi="Times New Roman"/>
                <w:sz w:val="20"/>
              </w:rPr>
              <w:t xml:space="preserve">. Seller shall not be entitled to recover any consequential, incidental, punitive, or special damages from Buyer in connection with the breach or default of any term or condition of this Agreement. The provisions of this </w:t>
            </w:r>
            <w:r>
              <w:rPr>
                <w:rFonts w:ascii="Times New Roman" w:hAnsi="Times New Roman"/>
                <w:sz w:val="20"/>
                <w:u w:val="single"/>
              </w:rPr>
              <w:t>Section 13.1</w:t>
            </w:r>
            <w:r>
              <w:rPr>
                <w:rFonts w:ascii="Times New Roman" w:hAnsi="Times New Roman"/>
                <w:sz w:val="20"/>
              </w:rPr>
              <w:t xml:space="preserve"> shall survive the Closing and the delivery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14.</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Brokers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5"/>
        <w:gridCol w:w="8165"/>
      </w:tblGrid>
      <w:tr>
        <w:trPr/>
        <w:tc>
          <w:tcPr>
            <w:tcW w:w="1325"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14.1.1.</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5"/>
        <w:gridCol w:w="8165"/>
      </w:tblGrid>
      <w:tr>
        <w:trPr/>
        <w:tc>
          <w:tcPr>
            <w:tcW w:w="1325"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14.1.2.</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Seller represents and warrants that it has not dealt with any person in connection with the transaction contemplated hereby that would be entitled to a brokerage commission, finder’s fee, or other similar compensation, except CBRE (the “</w:t>
            </w:r>
            <w:r>
              <w:rPr>
                <w:rFonts w:ascii="Times New Roman" w:hAnsi="Times New Roman"/>
                <w:sz w:val="20"/>
                <w:u w:val="single"/>
              </w:rPr>
              <w:t>Broker</w:t>
            </w:r>
            <w:r>
              <w:rPr>
                <w:rFonts w:ascii="Times New Roman" w:hAnsi="Times New Roman"/>
                <w:sz w:val="20"/>
              </w:rPr>
              <w:t xml:space="preserve">”). The Seller shall indemnify, protect, and save Buyer, and hold Buyer forever harmless, from and against, and reimburse Buyer for, any and all obligations, claims, demands, causes of action, liabilities, losses, damages, judgments, penalties, and costs and expenses (including, without limitation, reasonable attorneys’ fees) which may be imposed upon, asserted against, or incurred or paid by Buyer, or for which Buyer may become obligated or liable, by reason of, on account of, or in connection with a breach of the aforesaid representation and warranty by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14.1.3.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agree that Seller shall be solely responsible for all commissions due and payable to the Broker in connection with the sale of the Property to the Buyer hereunder pursuant to a separate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14.1.4.</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14.1</w:t>
            </w:r>
            <w:r>
              <w:rPr>
                <w:rFonts w:ascii="Times New Roman" w:hAnsi="Times New Roman"/>
                <w:sz w:val="20"/>
              </w:rPr>
              <w:t xml:space="preserve"> shall survive the Closing and the delivery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2"/>
        <w:gridCol w:w="8879"/>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Binding Effect</w:t>
            </w:r>
            <w:r>
              <w:rPr>
                <w:rFonts w:ascii="Times New Roman" w:hAnsi="Times New Roman"/>
                <w:sz w:val="20"/>
              </w:rPr>
              <w:t xml:space="preserve">. This Agreement shall be binding upon and inure to the benefit of the Parties hereto and, to the extent permitted hereby, their respective legal representatives, successors and assigns.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Entire Agreement; Modifications</w:t>
            </w:r>
            <w:r>
              <w:rPr>
                <w:rFonts w:ascii="Times New Roman" w:hAnsi="Times New Roman"/>
                <w:sz w:val="20"/>
              </w:rPr>
              <w:t xml:space="preserve">. Except the Access Agreement to the extent applicable, this Agreement embodies the entire agreement between the Parties hereto with respect to the Property and the subject matter hereof, and supersedes any and all prior negotiations, agreements and understandings, written or oral, formal or informal, all of which are deemed to be merged herein. No representations, statements, warranties, covenants, undertakings or promises of Seller or Buyer or any representative or agent of either of them, whether oral, implied or otherwise and whether made before or after the date hereof, shall be considered a part hereof or binding upon such Party unless set forth herein or agreed to by the Parties in writing, nor shall any provision of this Agreement be supplemented, terminated, modified or waived except by a writing signed by both Parties. No modification or amendment to this Agreement of any kind whatsoever, shall be made or claimed by Seller or Buyer, and no notice of any extension, change, modification or amendment made or claimed by Seller or Buyer shall have any force or effect whatsoever unless the same shall have been reduced to writing and executed by Seller and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2"/>
        <w:gridCol w:w="8879"/>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14.4.</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Acceptance of Deed</w:t>
            </w:r>
            <w:r>
              <w:rPr>
                <w:rFonts w:ascii="Times New Roman" w:hAnsi="Times New Roman"/>
                <w:sz w:val="20"/>
              </w:rPr>
              <w:t xml:space="preserve">. The Parties agree that, except to the extent expressly provided herein or by way of a specific agreement in writing which by its terms shall expressly survive the Closing, the delivery by Seller and the acceptance by Buyer of the Deed and the other documents and instruments to be delivered by Seller at the Closing shall be deemed to constitute full compliance by Seller with all of the terms, conditions and covenants of this Agreement on Seller’s part to be performed.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Pronouns</w:t>
            </w:r>
            <w:r>
              <w:rPr>
                <w:rFonts w:ascii="Times New Roman" w:hAnsi="Times New Roman"/>
                <w:sz w:val="20"/>
              </w:rPr>
              <w:t xml:space="preserve">. All pronouns and nouns and any variations thereof shall be deemed to refer to the masculine, feminine or neuter, singular or plural, as the identity of the parties or the context may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Recording</w:t>
            </w:r>
            <w:r>
              <w:rPr>
                <w:rFonts w:ascii="Times New Roman" w:hAnsi="Times New Roman"/>
                <w:sz w:val="20"/>
              </w:rPr>
              <w:t xml:space="preserve">. Subject to federal law, regulation, and guidance, the Buyer agrees not to record or file this Agreement or any notice or memorandum hereof or reference hereto on any public records, including without limitation the Leavenworth County Registry of Deeds. Any such recording or filing shall constitute a default hereunder, and this Agreement shall become void at the option of Seller, which option shall be exercised by Seller by recording or filing notice thereof in such public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1"/>
        <w:gridCol w:w="8880"/>
      </w:tblGrid>
      <w:tr>
        <w:trPr/>
        <w:tc>
          <w:tcPr>
            <w:tcW w:w="7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14.7.</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Applicable Law</w:t>
            </w:r>
            <w:r>
              <w:rPr>
                <w:rFonts w:ascii="Times New Roman" w:hAnsi="Times New Roman"/>
                <w:sz w:val="20"/>
              </w:rPr>
              <w:t xml:space="preserve">. The Buyer is executing this Agreement pursuant to authority under of 6 U.S.C. §§ 202, 251, and 551, and 8 U.S.C. §§ 1226 and 1231. The Property is delivered and subject to the rules and regulations as may be prescribed by the Secretary of the U.S. Department of Homeland Security, the Federal Property and Administrative Services Act, 40 U.S.C. §§ 101–1315, and the Federal Land Policy and Management Act, 43 U.S.C. §§ 1701–1787, provided that Seller is not responsible for compliance with such rules and regulations. Any action brought by either Party with respect to this Agreement shall be brought a federal court of competent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14.8.</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Notices</w:t>
            </w:r>
            <w:r>
              <w:rPr>
                <w:rFonts w:ascii="Times New Roman" w:hAnsi="Times New Roman"/>
                <w:sz w:val="20"/>
              </w:rPr>
              <w:t xml:space="preserve">. Any notice, report, demand, request or other instrument or communication authorized, required or desired to be given under this Agreement by the Buyer or the Seller shall be in writing and delivered by hand, by first class certified mail, postage prepaid, return receipt requested, by express mail or express courier service, or by email, if addressed to the Party intended to receive the same or their attorney, to the address set forth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Seller: </w:t>
      </w:r>
    </w:p>
    <w:p>
      <w:pPr>
        <w:pStyle w:val="TextBody"/>
        <w:bidi w:val="0"/>
        <w:spacing w:before="240" w:after="0"/>
        <w:jc w:val="left"/>
        <w:rPr>
          <w:rFonts w:ascii="Times New Roman" w:hAnsi="Times New Roman"/>
          <w:sz w:val="20"/>
        </w:rPr>
      </w:pPr>
      <w:r>
        <w:rPr>
          <w:rFonts w:ascii="Times New Roman" w:hAnsi="Times New Roman"/>
          <w:sz w:val="20"/>
        </w:rPr>
        <w:t xml:space="preserve">CoreCivic, Inc. </w:t>
      </w:r>
    </w:p>
    <w:p>
      <w:pPr>
        <w:pStyle w:val="TextBody"/>
        <w:bidi w:val="0"/>
        <w:spacing w:before="0" w:after="0"/>
        <w:jc w:val="left"/>
        <w:rPr>
          <w:rFonts w:ascii="Times New Roman" w:hAnsi="Times New Roman"/>
          <w:sz w:val="20"/>
        </w:rPr>
      </w:pPr>
      <w:r>
        <w:rPr>
          <w:rFonts w:ascii="Times New Roman" w:hAnsi="Times New Roman"/>
          <w:sz w:val="20"/>
        </w:rPr>
        <w:t xml:space="preserve">5501 Virginia Way, Suite 110 </w:t>
      </w:r>
    </w:p>
    <w:p>
      <w:pPr>
        <w:pStyle w:val="TextBody"/>
        <w:bidi w:val="0"/>
        <w:spacing w:before="0" w:after="0"/>
        <w:jc w:val="left"/>
        <w:rPr>
          <w:rFonts w:ascii="Times New Roman" w:hAnsi="Times New Roman"/>
          <w:sz w:val="20"/>
        </w:rPr>
      </w:pPr>
      <w:r>
        <w:rPr>
          <w:rFonts w:ascii="Times New Roman" w:hAnsi="Times New Roman"/>
          <w:sz w:val="20"/>
        </w:rPr>
        <w:t xml:space="preserve">Brentwood, TN 37027 </w:t>
      </w:r>
    </w:p>
    <w:p>
      <w:pPr>
        <w:pStyle w:val="TextBody"/>
        <w:bidi w:val="0"/>
        <w:spacing w:before="0" w:after="0"/>
        <w:jc w:val="left"/>
        <w:rPr>
          <w:rFonts w:ascii="Times New Roman" w:hAnsi="Times New Roman"/>
          <w:sz w:val="20"/>
        </w:rPr>
      </w:pPr>
      <w:r>
        <w:rPr>
          <w:rFonts w:ascii="Times New Roman" w:hAnsi="Times New Roman"/>
          <w:sz w:val="20"/>
        </w:rPr>
        <w:t xml:space="preserve">Attention: Erik Rasmussen and Stephen Hargraves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copy to: </w:t>
      </w:r>
    </w:p>
    <w:p>
      <w:pPr>
        <w:pStyle w:val="TextBody"/>
        <w:bidi w:val="0"/>
        <w:spacing w:before="240" w:after="0"/>
        <w:jc w:val="left"/>
        <w:rPr>
          <w:rFonts w:ascii="Times New Roman" w:hAnsi="Times New Roman"/>
          <w:sz w:val="20"/>
        </w:rPr>
      </w:pPr>
      <w:r>
        <w:rPr>
          <w:rFonts w:ascii="Times New Roman" w:hAnsi="Times New Roman"/>
          <w:sz w:val="20"/>
        </w:rPr>
        <w:t xml:space="preserve">Bass Berry &amp; Sims, PLC </w:t>
      </w:r>
    </w:p>
    <w:p>
      <w:pPr>
        <w:pStyle w:val="TextBody"/>
        <w:bidi w:val="0"/>
        <w:spacing w:before="0" w:after="0"/>
        <w:jc w:val="left"/>
        <w:rPr>
          <w:rFonts w:ascii="Times New Roman" w:hAnsi="Times New Roman"/>
          <w:sz w:val="20"/>
        </w:rPr>
      </w:pPr>
      <w:r>
        <w:rPr>
          <w:rFonts w:ascii="Times New Roman" w:hAnsi="Times New Roman"/>
          <w:sz w:val="20"/>
        </w:rPr>
        <w:t xml:space="preserve">21 Platform Way South, Suite 3500 </w:t>
      </w:r>
    </w:p>
    <w:p>
      <w:pPr>
        <w:pStyle w:val="TextBody"/>
        <w:bidi w:val="0"/>
        <w:spacing w:before="0" w:after="0"/>
        <w:jc w:val="left"/>
        <w:rPr>
          <w:rFonts w:ascii="Times New Roman" w:hAnsi="Times New Roman"/>
          <w:sz w:val="20"/>
        </w:rPr>
      </w:pPr>
      <w:r>
        <w:rPr>
          <w:rFonts w:ascii="Times New Roman" w:hAnsi="Times New Roman"/>
          <w:sz w:val="20"/>
        </w:rPr>
        <w:t xml:space="preserve">Nashville, TN 37203 </w:t>
      </w:r>
    </w:p>
    <w:p>
      <w:pPr>
        <w:pStyle w:val="TextBody"/>
        <w:bidi w:val="0"/>
        <w:spacing w:before="0" w:after="0"/>
        <w:jc w:val="left"/>
        <w:rPr>
          <w:rFonts w:ascii="Times New Roman" w:hAnsi="Times New Roman"/>
          <w:sz w:val="20"/>
        </w:rPr>
      </w:pPr>
      <w:r>
        <w:rPr>
          <w:rFonts w:ascii="Times New Roman" w:hAnsi="Times New Roman"/>
          <w:sz w:val="20"/>
        </w:rPr>
        <w:t xml:space="preserve">Attention: Eric Knox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of 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Buyer: </w:t>
      </w:r>
    </w:p>
    <w:p>
      <w:pPr>
        <w:pStyle w:val="TextBody"/>
        <w:bidi w:val="0"/>
        <w:spacing w:before="240" w:after="0"/>
        <w:jc w:val="left"/>
        <w:rPr>
          <w:rFonts w:ascii="Times New Roman" w:hAnsi="Times New Roman"/>
          <w:sz w:val="20"/>
        </w:rPr>
      </w:pPr>
      <w:r>
        <w:rPr>
          <w:rFonts w:ascii="Times New Roman" w:hAnsi="Times New Roman"/>
          <w:sz w:val="20"/>
        </w:rPr>
        <w:t xml:space="preserve">Tamim Chowdhury, Senior Real Estate Contracting Officer, DHS </w:t>
      </w:r>
    </w:p>
    <w:p>
      <w:pPr>
        <w:pStyle w:val="TextBody"/>
        <w:bidi w:val="0"/>
        <w:spacing w:before="0" w:after="0"/>
        <w:jc w:val="left"/>
        <w:rPr>
          <w:rFonts w:ascii="Times New Roman" w:hAnsi="Times New Roman"/>
          <w:sz w:val="20"/>
        </w:rPr>
      </w:pPr>
      <w:r>
        <w:rPr>
          <w:rFonts w:ascii="Times New Roman" w:hAnsi="Times New Roman"/>
          <w:sz w:val="20"/>
        </w:rPr>
        <w:t xml:space="preserve">Facilities Management Division </w:t>
      </w:r>
    </w:p>
    <w:p>
      <w:pPr>
        <w:pStyle w:val="TextBody"/>
        <w:bidi w:val="0"/>
        <w:spacing w:before="0" w:after="0"/>
        <w:jc w:val="left"/>
        <w:rPr>
          <w:rFonts w:ascii="Times New Roman" w:hAnsi="Times New Roman"/>
          <w:sz w:val="20"/>
        </w:rPr>
      </w:pPr>
      <w:r>
        <w:rPr>
          <w:rFonts w:ascii="Times New Roman" w:hAnsi="Times New Roman"/>
          <w:sz w:val="20"/>
        </w:rPr>
        <w:t xml:space="preserve">500 12th Street SW, Suite 3000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20536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copy to: </w:t>
      </w:r>
    </w:p>
    <w:p>
      <w:pPr>
        <w:pStyle w:val="TextBody"/>
        <w:bidi w:val="0"/>
        <w:spacing w:before="240" w:after="0"/>
        <w:jc w:val="left"/>
        <w:rPr>
          <w:rFonts w:ascii="Times New Roman" w:hAnsi="Times New Roman"/>
          <w:sz w:val="20"/>
        </w:rPr>
      </w:pPr>
      <w:r>
        <w:rPr>
          <w:rFonts w:ascii="Times New Roman" w:hAnsi="Times New Roman"/>
          <w:sz w:val="20"/>
        </w:rPr>
        <w:t xml:space="preserve">James Grossmann, SK2, LLC </w:t>
      </w:r>
    </w:p>
    <w:p>
      <w:pPr>
        <w:pStyle w:val="TextBody"/>
        <w:bidi w:val="0"/>
        <w:spacing w:before="0" w:after="0"/>
        <w:jc w:val="left"/>
        <w:rPr>
          <w:rFonts w:ascii="Times New Roman" w:hAnsi="Times New Roman"/>
          <w:sz w:val="20"/>
        </w:rPr>
      </w:pPr>
      <w:r>
        <w:rPr>
          <w:rFonts w:ascii="Times New Roman" w:hAnsi="Times New Roman"/>
          <w:sz w:val="20"/>
        </w:rPr>
        <w:t xml:space="preserve">6163 Chickering Ct. </w:t>
      </w:r>
    </w:p>
    <w:p>
      <w:pPr>
        <w:pStyle w:val="TextBody"/>
        <w:bidi w:val="0"/>
        <w:spacing w:before="0" w:after="0"/>
        <w:jc w:val="left"/>
        <w:rPr>
          <w:rFonts w:ascii="Times New Roman" w:hAnsi="Times New Roman"/>
          <w:sz w:val="20"/>
        </w:rPr>
      </w:pPr>
      <w:r>
        <w:rPr>
          <w:rFonts w:ascii="Times New Roman" w:hAnsi="Times New Roman"/>
          <w:sz w:val="20"/>
        </w:rPr>
        <w:t xml:space="preserve">Nashville, TN 37215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shall be deemed to have been duly given on (i) the date of receipt if delivered by hand, if sent by express courier service or sent by email (with a confirmation copy sent by first class mail) or (ii) the earlier of the date of receipt and the date of first attempted delivery by the U.S. Postal Service, if transmitted by mail as aforesaid. </w:t>
      </w:r>
    </w:p>
    <w:p>
      <w:pPr>
        <w:pStyle w:val="TextBody"/>
        <w:bidi w:val="0"/>
        <w:spacing w:before="120" w:after="0"/>
        <w:jc w:val="left"/>
        <w:rPr>
          <w:rFonts w:ascii="Times New Roman" w:hAnsi="Times New Roman"/>
          <w:sz w:val="20"/>
        </w:rPr>
      </w:pPr>
      <w:r>
        <w:rPr>
          <w:rFonts w:ascii="Times New Roman" w:hAnsi="Times New Roman"/>
          <w:sz w:val="20"/>
        </w:rPr>
        <w:t xml:space="preserve">Either Party may change the address to which any such notice, report, demand, request or other instrument or communication to such Party is to be delivered or mailed, by giving written notice of such change to the other parties, but no such notice of change shall be effective unless and until received by such other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14.9.</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Calculation of Time</w:t>
            </w:r>
            <w:r>
              <w:rPr>
                <w:rFonts w:ascii="Times New Roman" w:hAnsi="Times New Roman"/>
                <w:sz w:val="20"/>
              </w:rPr>
              <w:t>. Whenever in this Agreement a period of time is stated as a number of days, it shall be construed to mean calendar days; provided, however, that when any period of time so stated would end on a Saturday, Sunday or legal holiday, such period shall be deemed to end on the next day following that is not a Saturday, Sunday or legal holiday (such day that is not a Saturday, Sunday or legal holiday, a “</w:t>
            </w:r>
            <w:r>
              <w:rPr>
                <w:rFonts w:ascii="Times New Roman" w:hAnsi="Times New Roman"/>
                <w:sz w:val="20"/>
                <w:u w:val="single"/>
              </w:rPr>
              <w:t>Business Day</w:t>
            </w:r>
            <w:r>
              <w:rPr>
                <w:rFonts w:ascii="Times New Roman" w:hAnsi="Times New Roman"/>
                <w:sz w:val="20"/>
              </w:rPr>
              <w:t xml:space="preserve">”). Time is of the essence as to all dates and times specified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14.10.</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Expenses</w:t>
            </w:r>
            <w:r>
              <w:rPr>
                <w:rFonts w:ascii="Times New Roman" w:hAnsi="Times New Roman"/>
                <w:sz w:val="20"/>
              </w:rPr>
              <w:t xml:space="preserve">. If any action is brought to enforce or interpret any provision of this Agreement, then, consistent with federal law and only pursuant to an order of a federal court of competent jurisdiction, the prevailing Party in such action may seek to recover the reasonable legal fees and expenses incurred in connection with such action. The provisions of this </w:t>
            </w:r>
            <w:r>
              <w:rPr>
                <w:rFonts w:ascii="Times New Roman" w:hAnsi="Times New Roman"/>
                <w:sz w:val="20"/>
                <w:u w:val="single"/>
              </w:rPr>
              <w:t>Section 14.10</w:t>
            </w:r>
            <w:r>
              <w:rPr>
                <w:rFonts w:ascii="Times New Roman" w:hAnsi="Times New Roman"/>
                <w:sz w:val="20"/>
              </w:rPr>
              <w:t xml:space="preserve"> shall survive the Closing and the delivery and recording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Waivers; Extensions</w:t>
            </w:r>
            <w:r>
              <w:rPr>
                <w:rFonts w:ascii="Times New Roman" w:hAnsi="Times New Roman"/>
                <w:sz w:val="20"/>
              </w:rPr>
              <w:t xml:space="preserve">. No waiver of any breach of any agreement or provision herein contained shall be deemed a waiver of any preceding or succeeding breach thereof or of any other agreement or provision herein contained. No extension of time for the performance of any obligation or act shall be deemed an extension of time for the performance of any other obligation or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Exhibits and Schedules</w:t>
            </w:r>
            <w:r>
              <w:rPr>
                <w:rFonts w:ascii="Times New Roman" w:hAnsi="Times New Roman"/>
                <w:sz w:val="20"/>
              </w:rPr>
              <w:t xml:space="preserve">. All exhibits and schedules to this Agreement are hereby incorporated by this reference into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Counterparts; Captions</w:t>
            </w:r>
            <w:r>
              <w:rPr>
                <w:rFonts w:ascii="Times New Roman" w:hAnsi="Times New Roman"/>
                <w:sz w:val="20"/>
              </w:rPr>
              <w:t xml:space="preserve">. This Agreement may be executed in counterparts, each of which shall be deemed an original. Signatures of this Agreement transmitted by electronic mail (*.pdf or similar file types) shall be valid and effective to bind the Party so signing. The captions contained in this Agreement are for convenience of reference only and shall not affect the construction to be given to any of the provisions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2"/>
        <w:gridCol w:w="8879"/>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14.15.</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Insurance Obligation</w:t>
            </w:r>
            <w:r>
              <w:rPr>
                <w:rFonts w:ascii="Times New Roman" w:hAnsi="Times New Roman"/>
                <w:sz w:val="20"/>
              </w:rPr>
              <w:t xml:space="preserve">. Seller hereby agrees that, until the Closing, Seller shall maintain insurance on the Property with limits of coverage equal to the full replacement value of the Building. All risk of loss shall remain with Seller until the Deed is delivered and recorded.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14.17.</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14.18.</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 and Practice Standards</w:t>
            </w:r>
            <w:r>
              <w:rPr>
                <w:rFonts w:ascii="Times New Roman" w:hAnsi="Times New Roman"/>
                <w:sz w:val="20"/>
              </w:rPr>
              <w:t xml:space="preserve">. Any matter arising under or related to this Agreement shall be governed by The Regulations of the Attorney General Governing the Review and Approval of Title for Federal Land Acquisitions (2016) (DOJ Title Standards), and to the extent such laws and practice standards are not superseded by or conflict with the DOJ Title Standards or Federal law, the laws and practice standards of the State of Kansas.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14.19.</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Personal Liability</w:t>
            </w:r>
            <w:r>
              <w:rPr>
                <w:rFonts w:ascii="Times New Roman" w:hAnsi="Times New Roman"/>
                <w:sz w:val="20"/>
              </w:rPr>
              <w:t xml:space="preserve">. Subject to any applicable federal or state law, no trustee, beneficiary, shareholder, officer, director, representative, or agent of Seller or Buyer nor any person or entity in any way affiliated with Seller or Buyer shall have any personal liability with respect to this Agreement, any instrument delivered by such Party at Closing, or the transaction contemplated hereby, nor shall the property of any such person or entity be subject to attachment, levy, execution or other judicial process. The provisions of this </w:t>
            </w:r>
            <w:r>
              <w:rPr>
                <w:rFonts w:ascii="Times New Roman" w:hAnsi="Times New Roman"/>
                <w:sz w:val="20"/>
                <w:u w:val="single"/>
              </w:rPr>
              <w:t>Section 14.19</w:t>
            </w:r>
            <w:r>
              <w:rPr>
                <w:rFonts w:ascii="Times New Roman" w:hAnsi="Times New Roman"/>
                <w:sz w:val="20"/>
              </w:rPr>
              <w:t xml:space="preserve"> shall survive the Closing and the delivery and recording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14.20.</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Escrow Agent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1"/>
        <w:gridCol w:w="761"/>
        <w:gridCol w:w="8133"/>
      </w:tblGrid>
      <w:tr>
        <w:trPr/>
        <w:tc>
          <w:tcPr>
            <w:tcW w:w="1311" w:type="dxa"/>
            <w:tcBorders/>
            <w:vAlign w:val="center"/>
          </w:tcPr>
          <w:p>
            <w:pPr>
              <w:pStyle w:val="TableContents"/>
              <w:bidi w:val="0"/>
              <w:spacing w:before="0" w:after="283"/>
              <w:jc w:val="left"/>
              <w:rPr/>
            </w:pPr>
            <w:r>
              <w:rPr/>
              <w:t> </w:t>
            </w:r>
          </w:p>
        </w:tc>
        <w:tc>
          <w:tcPr>
            <w:tcW w:w="761" w:type="dxa"/>
            <w:tcBorders/>
          </w:tcPr>
          <w:p>
            <w:pPr>
              <w:pStyle w:val="TableContents"/>
              <w:bidi w:val="0"/>
              <w:spacing w:before="0" w:after="283"/>
              <w:jc w:val="left"/>
              <w:rPr/>
            </w:pPr>
            <w:r>
              <w:rPr/>
              <w:t>14.20.1.</w:t>
            </w:r>
          </w:p>
        </w:tc>
        <w:tc>
          <w:tcPr>
            <w:tcW w:w="813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Obligations</w:t>
            </w:r>
            <w:r>
              <w:rPr>
                <w:rFonts w:ascii="Times New Roman" w:hAnsi="Times New Roman"/>
                <w:sz w:val="20"/>
              </w:rPr>
              <w:t xml:space="preserve">. The Escrow Agent undertakes to perform only such duties as are expressly set forth in this Agreement and shall have no implied duties or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1"/>
        <w:gridCol w:w="763"/>
        <w:gridCol w:w="8131"/>
      </w:tblGrid>
      <w:tr>
        <w:trPr/>
        <w:tc>
          <w:tcPr>
            <w:tcW w:w="1311" w:type="dxa"/>
            <w:tcBorders/>
            <w:vAlign w:val="center"/>
          </w:tcPr>
          <w:p>
            <w:pPr>
              <w:pStyle w:val="TableContents"/>
              <w:bidi w:val="0"/>
              <w:spacing w:before="0" w:after="283"/>
              <w:jc w:val="left"/>
              <w:rPr/>
            </w:pPr>
            <w:r>
              <w:rPr/>
              <w:t> </w:t>
            </w:r>
          </w:p>
        </w:tc>
        <w:tc>
          <w:tcPr>
            <w:tcW w:w="763" w:type="dxa"/>
            <w:tcBorders/>
          </w:tcPr>
          <w:p>
            <w:pPr>
              <w:pStyle w:val="TableContents"/>
              <w:bidi w:val="0"/>
              <w:spacing w:before="0" w:after="283"/>
              <w:jc w:val="left"/>
              <w:rPr/>
            </w:pPr>
            <w:r>
              <w:rPr/>
              <w:t>14.20.2.</w:t>
            </w:r>
          </w:p>
        </w:tc>
        <w:tc>
          <w:tcPr>
            <w:tcW w:w="813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Reliance</w:t>
            </w:r>
            <w:r>
              <w:rPr>
                <w:rFonts w:ascii="Times New Roman" w:hAnsi="Times New Roman"/>
                <w:sz w:val="20"/>
              </w:rPr>
              <w:t xml:space="preserve">. The Escrow Agent may act in reliance upon any writing or instrument or signature which it, in good faith, believes to be genuine, and any statement or assertion contained in such writing or instrument, and may assume that any person purporting to give any writing, notice, advice or instrument in connection with the provisions of this Agreement has been duly authorized to do so. The Escrow Agent shall not be liable in any manner for the sufficiency or correctness as to form, manner and execution, or validity of any instrument deposited in escrow, nor as to the identity, authority, or right of any person executing the same, and the Escrow Agent’s duties under this Agreement shall be limited to those provided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02"/>
        <w:gridCol w:w="771"/>
        <w:gridCol w:w="8132"/>
      </w:tblGrid>
      <w:tr>
        <w:trPr/>
        <w:tc>
          <w:tcPr>
            <w:tcW w:w="1302" w:type="dxa"/>
            <w:tcBorders/>
            <w:vAlign w:val="center"/>
          </w:tcPr>
          <w:p>
            <w:pPr>
              <w:pStyle w:val="TableContents"/>
              <w:bidi w:val="0"/>
              <w:spacing w:before="0" w:after="283"/>
              <w:jc w:val="left"/>
              <w:rPr/>
            </w:pPr>
            <w:r>
              <w:rPr/>
              <w:t> </w:t>
            </w:r>
          </w:p>
        </w:tc>
        <w:tc>
          <w:tcPr>
            <w:tcW w:w="771" w:type="dxa"/>
            <w:tcBorders/>
          </w:tcPr>
          <w:p>
            <w:pPr>
              <w:pStyle w:val="TableContents"/>
              <w:bidi w:val="0"/>
              <w:spacing w:before="0" w:after="283"/>
              <w:jc w:val="left"/>
              <w:rPr/>
            </w:pPr>
            <w:r>
              <w:rPr/>
              <w:t>14.20.3.</w:t>
            </w:r>
          </w:p>
        </w:tc>
        <w:tc>
          <w:tcPr>
            <w:tcW w:w="813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Indemnification</w:t>
            </w:r>
            <w:r>
              <w:rPr>
                <w:rFonts w:ascii="Times New Roman" w:hAnsi="Times New Roman"/>
                <w:sz w:val="20"/>
              </w:rPr>
              <w:t xml:space="preserve">. Unless the Escrow Agent discharges any of its duties under this Agreement in a grossly negligent manner, or is guilty of willful misconduct with regard to its duties under this Agreement, Seller shall indemnify the Escrow Agent and hold it harmless from any and all claims, liabilities, losses, actions, suits or proceedings at law or in equity, or other expenses, fees, or charges of any character or nature, which it may incur or with which it may be threatened by reason of its acting as the Escrow Agent under this Agreement; and in such connection Seller shall indemnify Escrow Agent against any and all expenses including reasonable attorneys’ fees and the cost of defending any action, suit or proceeding or resisting any claim in such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2"/>
        <w:gridCol w:w="754"/>
        <w:gridCol w:w="8139"/>
      </w:tblGrid>
      <w:tr>
        <w:trPr/>
        <w:tc>
          <w:tcPr>
            <w:tcW w:w="1312" w:type="dxa"/>
            <w:tcBorders/>
            <w:vAlign w:val="center"/>
          </w:tcPr>
          <w:p>
            <w:pPr>
              <w:pStyle w:val="TableContents"/>
              <w:bidi w:val="0"/>
              <w:spacing w:before="0" w:after="283"/>
              <w:jc w:val="left"/>
              <w:rPr/>
            </w:pPr>
            <w:r>
              <w:rPr/>
              <w:t> </w:t>
            </w:r>
          </w:p>
        </w:tc>
        <w:tc>
          <w:tcPr>
            <w:tcW w:w="754" w:type="dxa"/>
            <w:tcBorders/>
          </w:tcPr>
          <w:p>
            <w:pPr>
              <w:pStyle w:val="TableContents"/>
              <w:bidi w:val="0"/>
              <w:spacing w:before="0" w:after="283"/>
              <w:jc w:val="left"/>
              <w:rPr/>
            </w:pPr>
            <w:r>
              <w:rPr/>
              <w:t>14.20.4.</w:t>
            </w:r>
          </w:p>
        </w:tc>
        <w:tc>
          <w:tcPr>
            <w:tcW w:w="813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Disputes</w:t>
            </w:r>
            <w:r>
              <w:rPr>
                <w:rFonts w:ascii="Times New Roman" w:hAnsi="Times New Roman"/>
                <w:sz w:val="20"/>
              </w:rPr>
              <w:t xml:space="preserve">. If the Parties (including the Escrow Agent) disagree about the interpretation of this Agreement, or about their respective rights and obligations, or the propriety of any action contemplated by the Escrow Agent, or the application of the Closing Proceeds, the Escrow Agent shall hold any Deposit or the Closing Proceeds until the receipt of (i) written instructions from both the Buyer and the Seller or (ii) a final order of a federal court of competent jurisdiction. The Escrow Agent may, but shall not be required to, file an action in interpleader to resolve the disagreement. The Escrow Agent shall be indemnified by Seller for all costs and reasonable attorneys’ fees in its capacity as the Escrow Agent in connection with any such interpleader action and shall be fully protected in suspending all or part of its activities under this Agreement until a final judgment in the interpleader action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2"/>
        <w:gridCol w:w="754"/>
        <w:gridCol w:w="8139"/>
      </w:tblGrid>
      <w:tr>
        <w:trPr/>
        <w:tc>
          <w:tcPr>
            <w:tcW w:w="1312" w:type="dxa"/>
            <w:tcBorders/>
            <w:vAlign w:val="center"/>
          </w:tcPr>
          <w:p>
            <w:pPr>
              <w:pStyle w:val="TableContents"/>
              <w:bidi w:val="0"/>
              <w:spacing w:before="0" w:after="283"/>
              <w:jc w:val="left"/>
              <w:rPr/>
            </w:pPr>
            <w:r>
              <w:rPr/>
              <w:t> </w:t>
            </w:r>
          </w:p>
        </w:tc>
        <w:tc>
          <w:tcPr>
            <w:tcW w:w="754" w:type="dxa"/>
            <w:tcBorders/>
          </w:tcPr>
          <w:p>
            <w:pPr>
              <w:pStyle w:val="TableContents"/>
              <w:bidi w:val="0"/>
              <w:spacing w:before="0" w:after="283"/>
              <w:jc w:val="left"/>
              <w:rPr/>
            </w:pPr>
            <w:r>
              <w:rPr/>
              <w:t>14.20.5</w:t>
            </w:r>
          </w:p>
        </w:tc>
        <w:tc>
          <w:tcPr>
            <w:tcW w:w="813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The provision of this </w:t>
            </w:r>
            <w:r>
              <w:rPr>
                <w:rFonts w:ascii="Times New Roman" w:hAnsi="Times New Roman"/>
                <w:sz w:val="20"/>
                <w:u w:val="single"/>
              </w:rPr>
              <w:t>Section 14.20</w:t>
            </w:r>
            <w:r>
              <w:rPr>
                <w:rFonts w:ascii="Times New Roman" w:hAnsi="Times New Roman"/>
                <w:sz w:val="20"/>
              </w:rPr>
              <w:t xml:space="preserve"> shall survive the Closing and the delivery and recording of the Deed or any expiration or termination of this Agreement for a period of two (2)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09"/>
        <w:gridCol w:w="758"/>
        <w:gridCol w:w="8138"/>
      </w:tblGrid>
      <w:tr>
        <w:trPr/>
        <w:tc>
          <w:tcPr>
            <w:tcW w:w="1309" w:type="dxa"/>
            <w:tcBorders/>
            <w:vAlign w:val="center"/>
          </w:tcPr>
          <w:p>
            <w:pPr>
              <w:pStyle w:val="TableContents"/>
              <w:bidi w:val="0"/>
              <w:spacing w:before="0" w:after="283"/>
              <w:jc w:val="left"/>
              <w:rPr/>
            </w:pPr>
            <w:r>
              <w:rPr/>
              <w:t> </w:t>
            </w:r>
          </w:p>
        </w:tc>
        <w:tc>
          <w:tcPr>
            <w:tcW w:w="758" w:type="dxa"/>
            <w:tcBorders/>
          </w:tcPr>
          <w:p>
            <w:pPr>
              <w:pStyle w:val="TableContents"/>
              <w:bidi w:val="0"/>
              <w:spacing w:before="0" w:after="283"/>
              <w:jc w:val="left"/>
              <w:rPr/>
            </w:pPr>
            <w:r>
              <w:rPr/>
              <w:t>14.20.6</w:t>
            </w:r>
          </w:p>
        </w:tc>
        <w:tc>
          <w:tcPr>
            <w:tcW w:w="813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Financial Transparency</w:t>
            </w:r>
            <w:r>
              <w:rPr>
                <w:rFonts w:ascii="Times New Roman" w:hAnsi="Times New Roman"/>
                <w:sz w:val="20"/>
              </w:rPr>
              <w:t xml:space="preserve">. Parties agree and consent to the escrow company sharing the Buyer’s and Seller’s settlement statement information with both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2"/>
        <w:gridCol w:w="8879"/>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Waiver of Jury Trial</w:t>
            </w:r>
            <w:r>
              <w:rPr>
                <w:rFonts w:ascii="Times New Roman" w:hAnsi="Times New Roman"/>
                <w:sz w:val="20"/>
              </w:rPr>
              <w:t xml:space="preserve">. The Seller shall and hereby does waive trial by jury in any action, proceeding or counterclaim brought by either of the Parties hereto against the other on any matters whatsoever arising out of or in any way connected with this Agreement, or for the enforcement of any remedy under any statute, emergency or otherwise.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Counsel</w:t>
            </w:r>
            <w:r>
              <w:rPr>
                <w:rFonts w:ascii="Times New Roman" w:hAnsi="Times New Roman"/>
                <w:sz w:val="20"/>
              </w:rPr>
              <w:t xml:space="preserve">. Buyer and Seller hereby acknowledge that they have been offered the opportunity to seek and confer with qualified legal counsel of their choice prior to signing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3"/>
        <w:gridCol w:w="8879"/>
      </w:tblGrid>
      <w:tr>
        <w:trPr/>
        <w:tc>
          <w:tcPr>
            <w:tcW w:w="713"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14.23.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Authorization</w:t>
            </w:r>
            <w:r>
              <w:rPr>
                <w:rFonts w:ascii="Times New Roman" w:hAnsi="Times New Roman"/>
                <w:sz w:val="20"/>
              </w:rPr>
              <w:t xml:space="preserve">. By executing this Agreement, Buyer and Seller authorize their respective attorneys to execute, on their behalf, any and all extensions in connection with this Agreement, including, but not limited to, extensions for completion of any and all Inspections and/or extensions for the date of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Confidentiality</w:t>
            </w:r>
            <w:r>
              <w:rPr>
                <w:rFonts w:ascii="Times New Roman" w:hAnsi="Times New Roman"/>
                <w:sz w:val="20"/>
              </w:rPr>
              <w:t>. Subject to applicable law, including any federal law and federal rules or regulations (which shall include federal securities laws, rules or regulations), any stock exchange rule or regulation, or written formal federal guidance of general applicability, Buyer and Seller agree that they shall not disclose the terms of this Agreement, or Buyer’s interest in the Property, to any person or entity other than to their respective attorneys, business consultants, and accountants and any and all persons and entities that Buyer may consult in conducting its due diligence and thereafter as Buyer deems necessary in connection with its purchase of the Property, except as may be approved in writing in advance by the other party in each instance, or as may be ordered by a federal court of competent jurisdiction. In addition to the foregoing, and subject to applicable law, including federal law and federal rules or regulations (which shall include federal securities laws, rules or regulations), any stock exchange rule or regulation, or written formal federal guidance of general applicability, in no event shall Buyer disclose the identity of Seller or any of its affiliates without Seller’s prior written consent. For the avoidance of doubt and notwithstanding anything to the contrary in this Agreement, Seller (and its affiliates) may, without Buyer’s prior consent, (i) file a Current Report on Form 8-K and any exhibits (including this Agreement) and make any other filings or disclosures with the U.S. Securities and Exchange Commission (the “</w:t>
            </w:r>
            <w:r>
              <w:rPr>
                <w:rFonts w:ascii="Times New Roman" w:hAnsi="Times New Roman"/>
                <w:sz w:val="20"/>
                <w:u w:val="single"/>
              </w:rPr>
              <w:t>SEC</w:t>
            </w:r>
            <w:r>
              <w:rPr>
                <w:rFonts w:ascii="Times New Roman" w:hAnsi="Times New Roman"/>
                <w:sz w:val="20"/>
              </w:rPr>
              <w:t xml:space="preserve">”) or any other regulatory authority (including any stock exchange) to the extent Seller determines that such filing or disclosure is required, necessary or advisable, and (ii) make public statements consistent with any such filing or disclosure (including via press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1"/>
        <w:gridCol w:w="8880"/>
      </w:tblGrid>
      <w:tr>
        <w:trPr/>
        <w:tc>
          <w:tcPr>
            <w:tcW w:w="7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14.25.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Buyer’s Remedies</w:t>
            </w:r>
            <w:r>
              <w:rPr>
                <w:rFonts w:ascii="Times New Roman" w:hAnsi="Times New Roman"/>
                <w:sz w:val="20"/>
              </w:rPr>
              <w:t xml:space="preserve">. In the event the Agreement is terminated by Seller prior to Closing, Buyer shall be entitled to pursue the same remedies against the Seller as it could pursue in the event of breach of the Agreement by the Seller, but in no event shall Seller’s monetary liability exceed $200,000.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w:t>
            </w:r>
            <w:r>
              <w:rPr>
                <w:rFonts w:ascii="Times New Roman" w:hAnsi="Times New Roman"/>
                <w:sz w:val="20"/>
              </w:rPr>
              <w:t xml:space="preserve"> The Seller represents and it is a condition of acceptance of this offer that no member or delegate to Congress, or resident commissioner, shall be admitted to or share any part of this Agreement, or to any benefits that may arise there from; but this provision shall not be construed to extend to any agreement if made with a corporation or other legal entity for its general benefit.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14.27.</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Displaced Person Status</w:t>
            </w:r>
            <w:r>
              <w:rPr>
                <w:rFonts w:ascii="Times New Roman" w:hAnsi="Times New Roman"/>
                <w:sz w:val="20"/>
              </w:rPr>
              <w:t xml:space="preserve">. The Seller agrees that Seller is not a “displaced person” as that term is defined by the Uniform Relocation Assistance and Real Property Acquisition Policies Act, 42 U.S.C. §§ 4602 </w:t>
            </w:r>
            <w:r>
              <w:rPr>
                <w:rFonts w:ascii="Times New Roman" w:hAnsi="Times New Roman"/>
                <w:i/>
                <w:sz w:val="20"/>
              </w:rPr>
              <w:t>et seq</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14.28</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Gratuities</w:t>
            </w:r>
            <w:r>
              <w:rPr>
                <w:rFonts w:ascii="Times New Roman" w:hAnsi="Times New Roman"/>
                <w:sz w:val="20"/>
              </w:rPr>
              <w:t xml:space="preserve">. The Buyer may, by written notice to the Seller, terminate the right of the Seller to proceed under this Agreement if it is found, after notice and hearing, by the Secretary of the U.S. Department of Homeland Security or her duly authorized representative, that gratuities (in the form of entertainment, gifts, or otherwise) were offered or given by the Seller, or any agent or representative of the Seller, to any officer or employee of the Buyer with a view toward securing this Agreement, or favorable treatment with respect to the awarding or amending of this Agreement, or the making of any determinations with respect to the performing of such agreement: Provided, that the existence of the facts upon which the Secretary or her duly authorized representative makes such findings shall be in issue and may be reviewed by any competent court.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of 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an instrument under seal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SELLER:</w:t>
            </w:r>
          </w:p>
          <w:p>
            <w:pPr>
              <w:pStyle w:val="TableContents"/>
              <w:bidi w:val="0"/>
              <w:spacing w:before="0" w:after="0"/>
              <w:jc w:val="left"/>
              <w:rPr>
                <w:rFonts w:ascii="Times New Roman" w:hAnsi="Times New Roman"/>
                <w:sz w:val="20"/>
              </w:rPr>
            </w:pPr>
            <w:r>
              <w:rPr>
                <w:rFonts w:ascii="Times New Roman" w:hAnsi="Times New Roman"/>
                <w:b/>
                <w:sz w:val="20"/>
              </w:rPr>
              <w:t>CORECIVIC, INC.</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 Maryland corporation</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Lucibeth Mayberry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Name: Lucibeth Mayberry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Title: Executive Vice President &amp; Chief Strategy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BUYER: UNITED STATES AND ITS ASSIGNS, BY AND THROUGH THE DEPARTMENT OF HOMELAND SECURITY</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Tamim Chowdhury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Tamim Chowdhury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Senior Real Estate Contracting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Escrow Agent is executing this Agreement only for the purpose of acknowledging and agreeing to be bound by the provisions of </w:t>
      </w:r>
      <w:r>
        <w:rPr>
          <w:rFonts w:ascii="Times New Roman" w:hAnsi="Times New Roman"/>
          <w:sz w:val="20"/>
          <w:u w:val="single"/>
        </w:rPr>
        <w:t>Section 14.20</w:t>
      </w:r>
      <w:r>
        <w:rPr>
          <w:rFonts w:ascii="Times New Roman" w:hAnsi="Times New Roman"/>
          <w:sz w:val="20"/>
        </w:rPr>
        <w:t xml:space="preserv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65"/>
        <w:gridCol w:w="60"/>
        <w:gridCol w:w="3157"/>
      </w:tblGrid>
      <w:tr>
        <w:trPr/>
        <w:tc>
          <w:tcPr>
            <w:tcW w:w="8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Chicago</w:t>
            </w:r>
          </w:p>
        </w:tc>
        <w:tc>
          <w:tcPr>
            <w:tcW w:w="60"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center"/>
              <w:rPr/>
            </w:pPr>
            <w:r>
              <w:rPr/>
              <w:t>Title Insurance Company</w:t>
            </w:r>
          </w:p>
        </w:tc>
      </w:tr>
      <w:tr>
        <w:trPr>
          <w:trHeight w:val="240" w:hRule="atLeast"/>
        </w:trPr>
        <w:tc>
          <w:tcPr>
            <w:tcW w:w="865" w:type="dxa"/>
            <w:tcBorders/>
            <w:vAlign w:val="center"/>
          </w:tcPr>
          <w:p>
            <w:pPr>
              <w:pStyle w:val="TableContents"/>
              <w:bidi w:val="0"/>
              <w:spacing w:before="0" w:after="283"/>
              <w:jc w:val="left"/>
              <w:rPr>
                <w:sz w:val="4"/>
                <w:szCs w:val="4"/>
              </w:rPr>
            </w:pPr>
            <w:r>
              <w:rPr>
                <w:sz w:val="4"/>
                <w:szCs w:val="4"/>
              </w:rPr>
            </w:r>
          </w:p>
        </w:tc>
        <w:tc>
          <w:tcPr>
            <w:tcW w:w="3217" w:type="dxa"/>
            <w:gridSpan w:val="2"/>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Chen</w:t>
            </w:r>
          </w:p>
        </w:tc>
      </w:tr>
      <w:tr>
        <w:trPr/>
        <w:tc>
          <w:tcPr>
            <w:tcW w:w="8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left"/>
              <w:rPr/>
            </w:pPr>
            <w:r>
              <w:rPr/>
              <w:t>Name: Jennifer Chen</w:t>
            </w:r>
          </w:p>
        </w:tc>
      </w:tr>
      <w:tr>
        <w:trPr/>
        <w:tc>
          <w:tcPr>
            <w:tcW w:w="8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left"/>
              <w:rPr/>
            </w:pPr>
            <w:r>
              <w:rPr/>
              <w:t>Title: VP/Senior Escrow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of 22 </w:t>
      </w:r>
    </w:p>
    <w:p>
      <w:pPr>
        <w:pStyle w:val="TextBody"/>
        <w:bidi w:val="0"/>
        <w:spacing w:before="0" w:after="0"/>
        <w:jc w:val="right"/>
        <w:rPr>
          <w:rFonts w:ascii="Times New Roman" w:hAnsi="Times New Roman"/>
          <w:b/>
          <w:sz w:val="20"/>
        </w:rPr>
      </w:pPr>
      <w:bookmarkStart w:id="4" w:name="d174637dex102.htm"/>
      <w:bookmarkStart w:id="5" w:name="ksd174637dex102"/>
      <w:bookmarkEnd w:id="4"/>
      <w:bookmarkEnd w:id="5"/>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 Certain personally identifiable information has been omitted from this exhibit pursuant to Item 601(a)(6) </w:t>
      </w:r>
    </w:p>
    <w:p>
      <w:pPr>
        <w:pStyle w:val="TextBody"/>
        <w:bidi w:val="0"/>
        <w:spacing w:before="0" w:after="0"/>
        <w:jc w:val="center"/>
        <w:rPr>
          <w:rFonts w:ascii="Times New Roman" w:hAnsi="Times New Roman"/>
          <w:b/>
          <w:sz w:val="20"/>
        </w:rPr>
      </w:pPr>
      <w:r>
        <w:rPr>
          <w:rFonts w:ascii="Times New Roman" w:hAnsi="Times New Roman"/>
          <w:b/>
          <w:sz w:val="20"/>
        </w:rPr>
        <w:t xml:space="preserve">under Regulation S-K.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CORECIVIC, INC. a Maryland corporation </w:t>
      </w:r>
    </w:p>
    <w:p>
      <w:pPr>
        <w:pStyle w:val="TextBody"/>
        <w:bidi w:val="0"/>
        <w:spacing w:before="0" w:after="0"/>
        <w:jc w:val="center"/>
        <w:rPr>
          <w:rFonts w:ascii="Times New Roman" w:hAnsi="Times New Roman"/>
          <w:sz w:val="20"/>
        </w:rPr>
      </w:pPr>
      <w:r>
        <w:rPr>
          <w:rFonts w:ascii="Times New Roman" w:hAnsi="Times New Roman"/>
          <w:sz w:val="20"/>
        </w:rPr>
        <w:t xml:space="preserve">as Seller,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THE UNITED STATES OF AMERICA AND ITS ASSIGNS, </w:t>
      </w:r>
    </w:p>
    <w:p>
      <w:pPr>
        <w:pStyle w:val="TextBody"/>
        <w:bidi w:val="0"/>
        <w:spacing w:before="0" w:after="0"/>
        <w:jc w:val="center"/>
        <w:rPr>
          <w:rFonts w:ascii="Times New Roman" w:hAnsi="Times New Roman"/>
          <w:sz w:val="20"/>
        </w:rPr>
      </w:pPr>
      <w:r>
        <w:rPr>
          <w:rFonts w:ascii="Times New Roman" w:hAnsi="Times New Roman"/>
          <w:sz w:val="20"/>
        </w:rPr>
        <w:t xml:space="preserve">BY AND THROUGH THE DEPARTMENT OF HOMELAND SECURITY </w:t>
      </w:r>
    </w:p>
    <w:p>
      <w:pPr>
        <w:pStyle w:val="TextBody"/>
        <w:bidi w:val="0"/>
        <w:spacing w:before="0" w:after="0"/>
        <w:jc w:val="center"/>
        <w:rPr>
          <w:rFonts w:ascii="Times New Roman" w:hAnsi="Times New Roman"/>
          <w:sz w:val="20"/>
        </w:rPr>
      </w:pPr>
      <w:r>
        <w:rPr>
          <w:rFonts w:ascii="Times New Roman" w:hAnsi="Times New Roman"/>
          <w:sz w:val="20"/>
        </w:rPr>
        <w:t xml:space="preserve">as Buyer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4, 2026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AND SALE AGREEMENT </w:t>
      </w:r>
    </w:p>
    <w:p>
      <w:pPr>
        <w:pStyle w:val="TextBody"/>
        <w:bidi w:val="0"/>
        <w:spacing w:before="240" w:after="0"/>
        <w:jc w:val="left"/>
        <w:rPr>
          <w:rFonts w:ascii="Times New Roman" w:hAnsi="Times New Roman"/>
          <w:sz w:val="20"/>
        </w:rPr>
      </w:pPr>
      <w:r>
        <w:rPr>
          <w:rFonts w:ascii="Times New Roman" w:hAnsi="Times New Roman"/>
          <w:sz w:val="20"/>
        </w:rPr>
        <w:t>THIS PURCHASE AND SALE AGREEMENT (this “</w:t>
      </w:r>
      <w:r>
        <w:rPr>
          <w:rFonts w:ascii="Times New Roman" w:hAnsi="Times New Roman"/>
          <w:sz w:val="20"/>
          <w:u w:val="single"/>
        </w:rPr>
        <w:t>Agreement</w:t>
      </w:r>
      <w:r>
        <w:rPr>
          <w:rFonts w:ascii="Times New Roman" w:hAnsi="Times New Roman"/>
          <w:sz w:val="20"/>
        </w:rPr>
        <w:t>”) is made as of the 4th day of August, 2026 (the “</w:t>
      </w:r>
      <w:r>
        <w:rPr>
          <w:rFonts w:ascii="Times New Roman" w:hAnsi="Times New Roman"/>
          <w:sz w:val="20"/>
          <w:u w:val="single"/>
        </w:rPr>
        <w:t>Effective Date</w:t>
      </w:r>
      <w:r>
        <w:rPr>
          <w:rFonts w:ascii="Times New Roman" w:hAnsi="Times New Roman"/>
          <w:sz w:val="20"/>
        </w:rPr>
        <w:t xml:space="preserve">”) pursuant to 6 U.S.C. §§ 202, 251, and 551, and 8 U.S.C. §§ 1226 and 1231 by and between </w:t>
      </w:r>
      <w:r>
        <w:rPr>
          <w:rFonts w:ascii="Times New Roman" w:hAnsi="Times New Roman"/>
          <w:b/>
          <w:sz w:val="20"/>
        </w:rPr>
        <w:t>CoreCivic, Inc.</w:t>
      </w:r>
      <w:r>
        <w:rPr>
          <w:rFonts w:ascii="Times New Roman" w:hAnsi="Times New Roman"/>
          <w:sz w:val="20"/>
        </w:rPr>
        <w:t xml:space="preserve"> a Maryland corporation (successor by name change to Corrections Corporation of America, a Maryland corporation) having an address of 5501 Virginia Way, Suite 110, Brentwood, Tennessee 37027 (“</w:t>
      </w:r>
      <w:r>
        <w:rPr>
          <w:rFonts w:ascii="Times New Roman" w:hAnsi="Times New Roman"/>
          <w:sz w:val="20"/>
          <w:u w:val="single"/>
        </w:rPr>
        <w:t>Seller</w:t>
      </w:r>
      <w:r>
        <w:rPr>
          <w:rFonts w:ascii="Times New Roman" w:hAnsi="Times New Roman"/>
          <w:sz w:val="20"/>
        </w:rPr>
        <w:t xml:space="preserve">”), and </w:t>
      </w:r>
      <w:r>
        <w:rPr>
          <w:rFonts w:ascii="Times New Roman" w:hAnsi="Times New Roman"/>
          <w:b/>
          <w:sz w:val="20"/>
        </w:rPr>
        <w:t xml:space="preserve">United States of America, by and through the Department of Homeland Security </w:t>
      </w:r>
      <w:r>
        <w:rPr>
          <w:rFonts w:ascii="Times New Roman" w:hAnsi="Times New Roman"/>
          <w:sz w:val="20"/>
        </w:rPr>
        <w:t>(“</w:t>
      </w:r>
      <w:r>
        <w:rPr>
          <w:rFonts w:ascii="Times New Roman" w:hAnsi="Times New Roman"/>
          <w:sz w:val="20"/>
          <w:u w:val="single"/>
        </w:rPr>
        <w:t>Buyer</w:t>
      </w:r>
      <w:r>
        <w:rPr>
          <w:rFonts w:ascii="Times New Roman" w:hAnsi="Times New Roman"/>
          <w:sz w:val="20"/>
        </w:rPr>
        <w:t>”) (each of Buyer and Seller being a “</w:t>
      </w:r>
      <w:r>
        <w:rPr>
          <w:rFonts w:ascii="Times New Roman" w:hAnsi="Times New Roman"/>
          <w:sz w:val="20"/>
          <w:u w:val="single"/>
        </w:rPr>
        <w:t>Party</w:t>
      </w:r>
      <w:r>
        <w:rPr>
          <w:rFonts w:ascii="Times New Roman" w:hAnsi="Times New Roman"/>
          <w:sz w:val="20"/>
        </w:rPr>
        <w:t>” and collectively being the “</w:t>
      </w:r>
      <w:r>
        <w:rPr>
          <w:rFonts w:ascii="Times New Roman" w:hAnsi="Times New Roman"/>
          <w:sz w:val="20"/>
          <w:u w:val="single"/>
        </w:rPr>
        <w:t>Parties</w:t>
      </w:r>
      <w:r>
        <w:rPr>
          <w:rFonts w:ascii="Times New Roman" w:hAnsi="Times New Roman"/>
          <w:sz w:val="20"/>
        </w:rPr>
        <w:t>”), and is joined in for the limited purposes set forth herein by Chicago Title Insurance Company, as escrow agent (the “</w:t>
      </w:r>
      <w:r>
        <w:rPr>
          <w:rFonts w:ascii="Times New Roman" w:hAnsi="Times New Roman"/>
          <w:sz w:val="20"/>
          <w:u w:val="single"/>
        </w:rPr>
        <w:t>Escrow Agent</w:t>
      </w:r>
      <w:r>
        <w:rPr>
          <w:rFonts w:ascii="Times New Roman" w:hAnsi="Times New Roman"/>
          <w:sz w:val="20"/>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PROPERTY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Land</w:t>
      </w:r>
      <w:r>
        <w:rPr>
          <w:rFonts w:ascii="Times New Roman" w:hAnsi="Times New Roman"/>
          <w:sz w:val="20"/>
        </w:rPr>
        <w:t xml:space="preserve">. That certain parcel of land legally described on </w:t>
      </w:r>
      <w:r>
        <w:rPr>
          <w:rFonts w:ascii="Times New Roman" w:hAnsi="Times New Roman"/>
          <w:sz w:val="20"/>
          <w:u w:val="single"/>
        </w:rPr>
        <w:t>Schedule A</w:t>
      </w:r>
      <w:r>
        <w:rPr>
          <w:rFonts w:ascii="Times New Roman" w:hAnsi="Times New Roman"/>
          <w:sz w:val="20"/>
        </w:rPr>
        <w:t xml:space="preserve"> attached hereto (the “</w:t>
      </w:r>
      <w:r>
        <w:rPr>
          <w:rFonts w:ascii="Times New Roman" w:hAnsi="Times New Roman"/>
          <w:sz w:val="20"/>
          <w:u w:val="single"/>
        </w:rPr>
        <w:t>Land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Building and Improvements</w:t>
      </w:r>
      <w:r>
        <w:rPr>
          <w:rFonts w:ascii="Times New Roman" w:hAnsi="Times New Roman"/>
          <w:sz w:val="20"/>
        </w:rPr>
        <w:t>. The building (the “</w:t>
      </w:r>
      <w:r>
        <w:rPr>
          <w:rFonts w:ascii="Times New Roman" w:hAnsi="Times New Roman"/>
          <w:sz w:val="20"/>
          <w:u w:val="single"/>
        </w:rPr>
        <w:t>Building</w:t>
      </w:r>
      <w:r>
        <w:rPr>
          <w:rFonts w:ascii="Times New Roman" w:hAnsi="Times New Roman"/>
          <w:sz w:val="20"/>
        </w:rPr>
        <w:t>”) containing approximately 437,232 square feet of space and all of Seller’s right, title, and interest in and to all other buildings, fixtures and other improvements located on the Land, and all fixtures related thereto (collectively, the “</w:t>
      </w:r>
      <w:r>
        <w:rPr>
          <w:rFonts w:ascii="Times New Roman" w:hAnsi="Times New Roman"/>
          <w:sz w:val="20"/>
          <w:u w:val="single"/>
        </w:rPr>
        <w:t>Improvements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Appurtenances</w:t>
      </w:r>
      <w:r>
        <w:rPr>
          <w:rFonts w:ascii="Times New Roman" w:hAnsi="Times New Roman"/>
          <w:sz w:val="20"/>
        </w:rPr>
        <w:t>. To the extent the same may be assigned or transferred to Buyer from Seller, all of Seller’s right, title, and interest in and to all easements, rights, interests, claims, privileges, and appurtenances, if any, belonging or appertaining to the Land or the Improvements, including without limitation, all rights relating to minerals, oil, gas and other materials, all development rights such as air rights or water rights, and all right, title, and interest of Seller, if any, in and to all adjoining streets, alleys, waterways, and rights of way (collectively, the “</w:t>
      </w:r>
      <w:r>
        <w:rPr>
          <w:rFonts w:ascii="Times New Roman" w:hAnsi="Times New Roman"/>
          <w:sz w:val="20"/>
          <w:u w:val="single"/>
        </w:rPr>
        <w:t>Appurtenances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u w:val="single"/>
        </w:rPr>
        <w:t>Tangible Personal Property</w:t>
      </w:r>
      <w:r>
        <w:rPr>
          <w:rFonts w:ascii="Times New Roman" w:hAnsi="Times New Roman"/>
          <w:sz w:val="20"/>
        </w:rPr>
        <w:t xml:space="preserve">. All tangible personal property owned by Seller and located on the Land and used exclusively in connection therewith, including without limitation the items listed on </w:t>
      </w:r>
      <w:r>
        <w:rPr>
          <w:rFonts w:ascii="Times New Roman" w:hAnsi="Times New Roman"/>
          <w:sz w:val="20"/>
          <w:u w:val="single"/>
        </w:rPr>
        <w:t>Schedule D</w:t>
      </w:r>
      <w:r>
        <w:rPr>
          <w:rFonts w:ascii="Times New Roman" w:hAnsi="Times New Roman"/>
          <w:sz w:val="20"/>
        </w:rPr>
        <w:t xml:space="preserve"> attached hereto (collectively, the “</w:t>
      </w:r>
      <w:r>
        <w:rPr>
          <w:rFonts w:ascii="Times New Roman" w:hAnsi="Times New Roman"/>
          <w:sz w:val="20"/>
          <w:u w:val="single"/>
        </w:rPr>
        <w:t>Personal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u w:val="single"/>
        </w:rPr>
        <w:t>Intangible Personal Property</w:t>
      </w:r>
      <w:r>
        <w:rPr>
          <w:rFonts w:ascii="Times New Roman" w:hAnsi="Times New Roman"/>
          <w:sz w:val="20"/>
        </w:rPr>
        <w:t>. To the extent the same may be assigned or transferred to Buyer from Seller, all of Seller’s right, title and interest, if any, in and to the following intangible assets relating to the Land, the Improvements, the Appurtenances or the Personal Property: (i) plans and specifications, (ii) licenses, permits, orders of condition, approvals and authorizations issued by a governmental authority, (iii) warranties, guaranties, express or implied, from contractors, builders, manufacturers and suppliers, inuring to the benefit of Seller and relating to the Improvements, and (iv) all other intangible personal property rights of Seller used in connection with the ownership, use, operation and enjoyment of the Land (collectively, the “</w:t>
      </w:r>
      <w:r>
        <w:rPr>
          <w:rFonts w:ascii="Times New Roman" w:hAnsi="Times New Roman"/>
          <w:sz w:val="20"/>
          <w:u w:val="single"/>
        </w:rPr>
        <w:t>Intangible Property</w:t>
      </w:r>
      <w:r>
        <w:rPr>
          <w:rFonts w:ascii="Times New Roman" w:hAnsi="Times New Roman"/>
          <w:sz w:val="20"/>
        </w:rPr>
        <w:t xml:space="preserve">”); and all of the items described in </w:t>
      </w:r>
      <w:r>
        <w:rPr>
          <w:rFonts w:ascii="Times New Roman" w:hAnsi="Times New Roman"/>
          <w:sz w:val="20"/>
          <w:u w:val="single"/>
        </w:rPr>
        <w:t>Section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above are the “</w:t>
      </w:r>
      <w:r>
        <w:rPr>
          <w:rFonts w:ascii="Times New Roman" w:hAnsi="Times New Roman"/>
          <w:sz w:val="20"/>
          <w:u w:val="single"/>
        </w:rPr>
        <w:t>Property</w:t>
      </w:r>
      <w:r>
        <w:rPr>
          <w:rFonts w:ascii="Times New Roman" w:hAnsi="Times New Roman"/>
          <w:sz w:val="20"/>
        </w:rPr>
        <w:t>.” Intangible Property will not include names, trademarks, and identifying materials of Seller or its affiliates; proprietary software and systems; insurance policies and related proceeds; tax refunds and credits for periods prior to Closing; claims and causes of action arising prior to Closing; appraisals, internal memoranda, and privileged communications; employee records; and accounts receivable accruing prior to the Closing Date (collectively, “</w:t>
      </w:r>
      <w:r>
        <w:rPr>
          <w:rFonts w:ascii="Times New Roman" w:hAnsi="Times New Roman"/>
          <w:sz w:val="20"/>
          <w:u w:val="single"/>
        </w:rPr>
        <w:t>Excluded Property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of 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For good and valuable consideration, the receipt and sufficiency of which are hereby acknowledged, Seller and Buyer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1.</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Sale and Purchase</w:t>
            </w:r>
            <w:r>
              <w:rPr>
                <w:rFonts w:ascii="Times New Roman" w:hAnsi="Times New Roman"/>
                <w:sz w:val="20"/>
              </w:rPr>
              <w:t xml:space="preserve">. Subject to the terms and conditions set forth herein, Seller agrees to sell and convey to Buyer, and Buyer agrees to purchase and accept from Seller,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2.</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Purchase Price</w:t>
            </w:r>
            <w:r>
              <w:rPr>
                <w:rFonts w:ascii="Times New Roman" w:hAnsi="Times New Roman"/>
                <w:sz w:val="20"/>
              </w:rPr>
              <w:t>. The purchase price for the Property shall be $495,639,588.00 (the “</w:t>
            </w:r>
            <w:r>
              <w:rPr>
                <w:rFonts w:ascii="Times New Roman" w:hAnsi="Times New Roman"/>
                <w:sz w:val="20"/>
                <w:u w:val="single"/>
              </w:rPr>
              <w:t>Purchase Price</w:t>
            </w:r>
            <w:r>
              <w:rPr>
                <w:rFonts w:ascii="Times New Roman" w:hAnsi="Times New Roman"/>
                <w:sz w:val="20"/>
              </w:rPr>
              <w:t xml:space="preserve">”) and shall be paid at the Closing (as defined in </w:t>
            </w:r>
            <w:r>
              <w:rPr>
                <w:rFonts w:ascii="Times New Roman" w:hAnsi="Times New Roman"/>
                <w:sz w:val="20"/>
                <w:u w:val="single"/>
              </w:rPr>
              <w:t>Section 12.1</w:t>
            </w:r>
            <w:r>
              <w:rPr>
                <w:rFonts w:ascii="Times New Roman" w:hAnsi="Times New Roman"/>
                <w:sz w:val="20"/>
              </w:rPr>
              <w:t xml:space="preserve"> below) by wire transfer or immediately available funds, subject to any prorations, adjustments, and credits made pursuant to the terms of this Agreement including without limitation </w:t>
            </w:r>
            <w:r>
              <w:rPr>
                <w:rFonts w:ascii="Times New Roman" w:hAnsi="Times New Roman"/>
                <w:sz w:val="20"/>
                <w:u w:val="single"/>
              </w:rPr>
              <w:t>Section 4</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3.</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u w:val="single"/>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4.</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Prorations, Credits, and Adjustments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real estate taxes, and installments of special assessments (if any), relating to the Property due and payable for the fiscal year in which the Closing occurs shall be prorated as of the Closing Date (as defined in </w:t>
            </w:r>
            <w:r>
              <w:rPr>
                <w:rFonts w:ascii="Times New Roman" w:hAnsi="Times New Roman"/>
                <w:sz w:val="20"/>
                <w:u w:val="single"/>
              </w:rPr>
              <w:t>Section 12.1</w:t>
            </w:r>
            <w:r>
              <w:rPr>
                <w:rFonts w:ascii="Times New Roman" w:hAnsi="Times New Roman"/>
                <w:sz w:val="20"/>
              </w:rPr>
              <w:t xml:space="preserve"> below), based on the full fiscal year, with the day of the Closing allocated to Seller. The Buyer is an entity of the federal government and is exempt from all state and local taxes, including real estate taxes. Once in possession, real estate taxes will no longer be assessed on the property and neither Party will be responsible for them going forward. Such state and local taxes shall be the responsibility of the Seller for the period up to and including Closing. To the extent that the Buyer receives a tax bill after Closing that relates to such period, the Buyer agrees to promptly forward the same to the Seller for payment. The provisions of this </w:t>
            </w:r>
            <w:r>
              <w:rPr>
                <w:rFonts w:ascii="Times New Roman" w:hAnsi="Times New Roman"/>
                <w:sz w:val="20"/>
                <w:u w:val="single"/>
              </w:rPr>
              <w:t>Section 4.1</w:t>
            </w:r>
            <w:r>
              <w:rPr>
                <w:rFonts w:ascii="Times New Roman" w:hAnsi="Times New Roman"/>
                <w:sz w:val="20"/>
              </w:rPr>
              <w:t xml:space="preserve"> shall survive the Closing and the delivery and recording of the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Seller agrees to keep all utility accounts in Seller’s name for fifteen (15) Business Days after Closing. Buyer agrees to credit $500.00 at Closing to Seller for payment of those utilities. In the event there is above average use from and after Closing during the 15 Business Days, Seller can seek reimbursement from Buyer for such additional usage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local, county, and state transfer taxes and recordation taxes or fees applicable to the purchase and sale transaction. Seller shall pay all deed or transfer taxes imposed by the state in which the Property is located, any premium for title insurance that Buyer may elect to obtain at Closing, and the recording costs of any and all instruments that may be necessary for Seller to deliver title to the Property as herein specified. Consistent with Minnesota custom, Seller shall pay the cost of recording the instruments of conveyance. Buyer shall pay any premium for title insurance endorsements that Buyer may elect to obtain at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provided herein, including without limitation by the provisions of </w:t>
            </w:r>
            <w:r>
              <w:rPr>
                <w:rFonts w:ascii="Times New Roman" w:hAnsi="Times New Roman"/>
                <w:sz w:val="20"/>
                <w:u w:val="single"/>
              </w:rPr>
              <w:t>Section 14.10</w:t>
            </w:r>
            <w:r>
              <w:rPr>
                <w:rFonts w:ascii="Times New Roman" w:hAnsi="Times New Roman"/>
                <w:sz w:val="20"/>
              </w:rPr>
              <w:t xml:space="preserve"> below, each of Seller and Buyer shall pay its own attorney’s fees incurred in connection with the negotiation of this Agreement and the consummation of the transactions contemplated by this Agreement. Buyer shall pay the costs of any survey or plan, environmental site assessment, appraisal, or title examination that Buyer may elect to obtain in connection with the Property, together with all of Buyer’s other due diligence expenses. Buyer and Seller shall each pay one half of any fees payable to the Escrow Agent for acting as escrow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Section 4.2, Seller shall be responsible for all expenses normal to the ownership, operation, and maintenance of the Property, including without limitation taxes, insurance, electrical, gas, oil, and water and sewer use charges for the periods prior to the Closing Date, and Buyer shall be responsible for all such applicable charges (excluding taxes so long as Buyer is exempt from the payment of taxes) allocable to periods including and following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4"/>
        <w:gridCol w:w="612"/>
        <w:gridCol w:w="8879"/>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4.7.</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error or omission, all prorations, adjustments, and credits made and determined as herein provided shall be final as of the Closing Date, unless otherwise specified herein. If, within nine (9) months following the Closing Date, an error or omission in the determination or computation of any of the prorations, adjustments and credits shall be discovered, then, promptly following discovery thereof, the Parties shall make the appropriate adjustments required to correct such error or omission. The provisions of this </w:t>
            </w:r>
            <w:r>
              <w:rPr>
                <w:rFonts w:ascii="Times New Roman" w:hAnsi="Times New Roman"/>
                <w:sz w:val="20"/>
                <w:u w:val="single"/>
              </w:rPr>
              <w:t>Section 4.7</w:t>
            </w:r>
            <w:r>
              <w:rPr>
                <w:rFonts w:ascii="Times New Roman" w:hAnsi="Times New Roman"/>
                <w:sz w:val="20"/>
              </w:rPr>
              <w:t xml:space="preserve"> shall survive the Closing and the delivery and recording of the Deed.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5.</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Due Diligence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Property Documents</w:t>
            </w:r>
            <w:r>
              <w:rPr>
                <w:rFonts w:ascii="Times New Roman" w:hAnsi="Times New Roman"/>
                <w:sz w:val="20"/>
              </w:rPr>
              <w:t xml:space="preserve">. Prior to the Effective Date, Seller shall provide to Buyer copies of all Property documentation including all relevant applications/certificates/designations/and energy audits, all permits and regulatory approvals required for the lawful operation of the Property, all environmental reports and documents, including reporting documents and correspondence received and sent to governmental authorities, structural reports, building maintenance reports, tax information including assessments and abatement appeals, service contracts, title reports, guarantees and warranties, certificates of occupancy, any pending litigation, reciprocal easement and CC&amp;R agreements, current budget including anticipated capital expenditures, ALTA survey, legal description of the Property, site plans, current and prior two (2) year tax bills, building plans, as-built plans and specifications, and all other documents, instruments, and materials as more specifically described on </w:t>
            </w:r>
            <w:r>
              <w:rPr>
                <w:rFonts w:ascii="Times New Roman" w:hAnsi="Times New Roman"/>
                <w:sz w:val="20"/>
                <w:u w:val="single"/>
              </w:rPr>
              <w:t>Schedule 5.1</w:t>
            </w:r>
            <w:r>
              <w:rPr>
                <w:rFonts w:ascii="Times New Roman" w:hAnsi="Times New Roman"/>
                <w:sz w:val="20"/>
              </w:rPr>
              <w:t xml:space="preserve"> attached hereto, but only to the extent in Seller’s immediate possession or control or otherwise can be obtained by exercising good faith, reasonable due diligence (the “</w:t>
            </w:r>
            <w:r>
              <w:rPr>
                <w:rFonts w:ascii="Times New Roman" w:hAnsi="Times New Roman"/>
                <w:sz w:val="20"/>
                <w:u w:val="single"/>
              </w:rPr>
              <w:t>Seller Property Documents</w:t>
            </w:r>
            <w:r>
              <w:rPr>
                <w:rFonts w:ascii="Times New Roman" w:hAnsi="Times New Roman"/>
                <w:sz w:val="20"/>
              </w:rPr>
              <w:t xml:space="preserve">”), but excluding the Excluded Property. Subject to federal law, regulation, and guidance, Buyer agrees not to disclose the Seller Property Documents pursuant to the terms of the Access Agreement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612"/>
        <w:gridCol w:w="8881"/>
      </w:tblGrid>
      <w:tr>
        <w:trPr/>
        <w:tc>
          <w:tcPr>
            <w:tcW w:w="712"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Due Diligence Period</w:t>
            </w:r>
            <w:r>
              <w:rPr>
                <w:rFonts w:ascii="Times New Roman" w:hAnsi="Times New Roman"/>
                <w:sz w:val="20"/>
              </w:rPr>
              <w:t>. The term “</w:t>
            </w:r>
            <w:r>
              <w:rPr>
                <w:rFonts w:ascii="Times New Roman" w:hAnsi="Times New Roman"/>
                <w:sz w:val="20"/>
                <w:u w:val="single"/>
              </w:rPr>
              <w:t>Due Diligence Period</w:t>
            </w:r>
            <w:r>
              <w:rPr>
                <w:rFonts w:ascii="Times New Roman" w:hAnsi="Times New Roman"/>
                <w:sz w:val="20"/>
              </w:rPr>
              <w:t>” as used in this Agreement shall mean the period commencing on the Effective Date of the Access and Confidentiality Agreement by and between Seller and SK2 LLC dated February 26, 2026 (“</w:t>
            </w:r>
            <w:r>
              <w:rPr>
                <w:rFonts w:ascii="Times New Roman" w:hAnsi="Times New Roman"/>
                <w:sz w:val="20"/>
                <w:u w:val="single"/>
              </w:rPr>
              <w:t>Access Agreement</w:t>
            </w:r>
            <w:r>
              <w:rPr>
                <w:rFonts w:ascii="Times New Roman" w:hAnsi="Times New Roman"/>
                <w:sz w:val="20"/>
              </w:rPr>
              <w:t>”), and terminating on the date (the “</w:t>
            </w:r>
            <w:r>
              <w:rPr>
                <w:rFonts w:ascii="Times New Roman" w:hAnsi="Times New Roman"/>
                <w:sz w:val="20"/>
                <w:u w:val="single"/>
              </w:rPr>
              <w:t>Due Diligence Period Expiration Date</w:t>
            </w:r>
            <w:r>
              <w:rPr>
                <w:rFonts w:ascii="Times New Roman" w:hAnsi="Times New Roman"/>
                <w:sz w:val="20"/>
              </w:rPr>
              <w:t xml:space="preserve">”) that is the earlier to occur of (i) 5:00 P.M. Washington, D.C., time on April 13, 2026 or (ii) Seller’s receipt of a Due Diligence Termination Notice in accordance with </w:t>
            </w:r>
            <w:r>
              <w:rPr>
                <w:rFonts w:ascii="Times New Roman" w:hAnsi="Times New Roman"/>
                <w:sz w:val="20"/>
                <w:u w:val="single"/>
              </w:rPr>
              <w:t>Section 5.4</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5.3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Inspections</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5.3.1.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Access</w:t>
            </w:r>
            <w:r>
              <w:rPr>
                <w:rFonts w:ascii="Times New Roman" w:hAnsi="Times New Roman"/>
                <w:sz w:val="20"/>
              </w:rPr>
              <w:t>. During the Due Diligence Period, Buyer and its agents, consultants, employees, contractors, and representatives (collectively, the “</w:t>
            </w:r>
            <w:r>
              <w:rPr>
                <w:rFonts w:ascii="Times New Roman" w:hAnsi="Times New Roman"/>
                <w:sz w:val="20"/>
                <w:u w:val="single"/>
              </w:rPr>
              <w:t>Buyer Inspection Parties</w:t>
            </w:r>
            <w:r>
              <w:rPr>
                <w:rFonts w:ascii="Times New Roman" w:hAnsi="Times New Roman"/>
                <w:sz w:val="20"/>
              </w:rPr>
              <w:t>”) shall conduct inspections of the Property pursuant to the terms of the Access Agreement (the “</w:t>
            </w:r>
            <w:r>
              <w:rPr>
                <w:rFonts w:ascii="Times New Roman" w:hAnsi="Times New Roman"/>
                <w:sz w:val="20"/>
                <w:u w:val="single"/>
              </w:rPr>
              <w:t>Inspections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5.3.2.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Disclosures</w:t>
            </w:r>
            <w:r>
              <w:rPr>
                <w:rFonts w:ascii="Times New Roman" w:hAnsi="Times New Roman"/>
                <w:sz w:val="20"/>
              </w:rPr>
              <w:t xml:space="preserve">. In the event that Buyer’s Inspections reveal any condition of the Property that in Buyer’s judgment requires disclosure to any governmental agency or authority, Buyer shall proceed with such disclosure pursuant to the Access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613"/>
        <w:gridCol w:w="8880"/>
      </w:tblGrid>
      <w:tr>
        <w:trPr/>
        <w:tc>
          <w:tcPr>
            <w:tcW w:w="712"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5.4.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Termination Right</w:t>
            </w:r>
            <w:r>
              <w:rPr>
                <w:rFonts w:ascii="Times New Roman" w:hAnsi="Times New Roman"/>
                <w:sz w:val="20"/>
              </w:rPr>
              <w:t>. If Buyer in its sole discretion is not satisfied with the results of its due diligence review of the Seller Property Documents or the Inspections, then Buyer shall have the right to terminate this Agreement by providing Seller with written notice (the “</w:t>
            </w:r>
            <w:r>
              <w:rPr>
                <w:rFonts w:ascii="Times New Roman" w:hAnsi="Times New Roman"/>
                <w:sz w:val="20"/>
                <w:u w:val="single"/>
              </w:rPr>
              <w:t>Due Diligence Termination Notice</w:t>
            </w:r>
            <w:r>
              <w:rPr>
                <w:rFonts w:ascii="Times New Roman" w:hAnsi="Times New Roman"/>
                <w:sz w:val="20"/>
              </w:rPr>
              <w:t xml:space="preserve">”) no later than 5:00 P.M. Washington, D.C., time on the Due Diligence Period Expiration Date, of Buyer’s election not to proceed with the consummation of the purchase and sale transaction contemplated by this Agreement. Upon receipt by Seller of a Due Diligence Termination Notice on or prior to the Due Diligence Period Expiration Date, this Agreement and the respective obligations of Seller and Buyer contained in this Agreement shall immediately terminate and become null and void, and Seller and Buyer shall be released and discharged from all further obligation and liability under this Agreement, except as to such matters as, by the terms of this Agreement, shall survive its termination. In the event Buyer timely exercises its right to terminate this Agreement pursuant to this </w:t>
            </w:r>
            <w:r>
              <w:rPr>
                <w:rFonts w:ascii="Times New Roman" w:hAnsi="Times New Roman"/>
                <w:sz w:val="20"/>
                <w:u w:val="single"/>
              </w:rPr>
              <w:t>Section 5.4</w:t>
            </w:r>
            <w:r>
              <w:rPr>
                <w:rFonts w:ascii="Times New Roman" w:hAnsi="Times New Roman"/>
                <w:sz w:val="20"/>
              </w:rPr>
              <w:t>, Buyer shall promptly return Seller’s Property Documents to Seller and destroy any copies thereof retained by Buyer. As independent consideration for the execution and delivery of this Agreement, and in addition to any other consideration provided herein, Buyer has paid to Seller the sum of One Hundred Dollars ($100.00) (the “</w:t>
            </w:r>
            <w:r>
              <w:rPr>
                <w:rFonts w:ascii="Times New Roman" w:hAnsi="Times New Roman"/>
                <w:sz w:val="20"/>
                <w:u w:val="single"/>
              </w:rPr>
              <w:t>Independent Consideration</w:t>
            </w:r>
            <w:r>
              <w:rPr>
                <w:rFonts w:ascii="Times New Roman" w:hAnsi="Times New Roman"/>
                <w:sz w:val="20"/>
              </w:rPr>
              <w:t xml:space="preserve">”), the receipt and sufficiency of which are hereby acknowledged by Seller. The Independent Consideration is non-refundable under any circumstances and shall be retained by Seller as consideration for Seller’s execution of this Agreement and the grant of the rights and options contained herein. The Independent Consideration shall not be applied to the Purchase Price at Closing. The Parties acknowledge and agree that this Agreement is binding and enforceable regardless of whether any other consideration is delivered or any conditions to Closing are satisfied or waived.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6.</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Environmental Representation</w:t>
            </w:r>
            <w:r>
              <w:rPr>
                <w:rFonts w:ascii="Times New Roman" w:hAnsi="Times New Roman"/>
                <w:sz w:val="20"/>
              </w:rPr>
              <w:t xml:space="preserve">. Seller represents that (i) there were no releases of hazardous substances or petroleum products to the environment at the Property by Seller and (ii) there were no violations of environmental laws (including CERCLA, RCRA, the Oil Pollution Act, and the Clean Water Act) by the Seller at the Property, in each case that requires further remediation or correction. Further, Seller represents that to its knowledge there are no hazardous substances or petroleum products in the environment at the Property from activities of previous owners or tenants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0"/>
        <w:gridCol w:w="9495"/>
      </w:tblGrid>
      <w:tr>
        <w:trPr/>
        <w:tc>
          <w:tcPr>
            <w:tcW w:w="710" w:type="dxa"/>
            <w:tcBorders/>
          </w:tcPr>
          <w:p>
            <w:pPr>
              <w:pStyle w:val="TableContents"/>
              <w:bidi w:val="0"/>
              <w:spacing w:before="0" w:after="283"/>
              <w:jc w:val="left"/>
              <w:rPr/>
            </w:pPr>
            <w:r>
              <w:rPr/>
              <w:t>7.</w:t>
            </w:r>
          </w:p>
        </w:tc>
        <w:tc>
          <w:tcPr>
            <w:tcW w:w="949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 and Survey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Objections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7.1.1.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Buyer, at its sole cost and expense, will order a title commitment (“</w:t>
            </w:r>
            <w:r>
              <w:rPr>
                <w:rFonts w:ascii="Times New Roman" w:hAnsi="Times New Roman"/>
                <w:sz w:val="20"/>
                <w:u w:val="single"/>
              </w:rPr>
              <w:t>Buyer’s Commitment</w:t>
            </w:r>
            <w:r>
              <w:rPr>
                <w:rFonts w:ascii="Times New Roman" w:hAnsi="Times New Roman"/>
                <w:sz w:val="20"/>
              </w:rPr>
              <w:t>”) issued by Chicago Title Insurance Company and such survey of the Property as Buyer shall desire (the “</w:t>
            </w:r>
            <w:r>
              <w:rPr>
                <w:rFonts w:ascii="Times New Roman" w:hAnsi="Times New Roman"/>
                <w:sz w:val="20"/>
                <w:u w:val="single"/>
              </w:rPr>
              <w:t>Survey</w:t>
            </w:r>
            <w:r>
              <w:rPr>
                <w:rFonts w:ascii="Times New Roman" w:hAnsi="Times New Roman"/>
                <w:sz w:val="20"/>
              </w:rPr>
              <w:t>”). Buyer shall provide written notice to Seller (the “</w:t>
            </w:r>
            <w:r>
              <w:rPr>
                <w:rFonts w:ascii="Times New Roman" w:hAnsi="Times New Roman"/>
                <w:sz w:val="20"/>
                <w:u w:val="single"/>
              </w:rPr>
              <w:t>Title Notice</w:t>
            </w:r>
            <w:r>
              <w:rPr>
                <w:rFonts w:ascii="Times New Roman" w:hAnsi="Times New Roman"/>
                <w:sz w:val="20"/>
              </w:rPr>
              <w:t>” and the date of such notice, the “</w:t>
            </w:r>
            <w:r>
              <w:rPr>
                <w:rFonts w:ascii="Times New Roman" w:hAnsi="Times New Roman"/>
                <w:sz w:val="20"/>
                <w:u w:val="single"/>
              </w:rPr>
              <w:t>Title Notice Date</w:t>
            </w:r>
            <w:r>
              <w:rPr>
                <w:rFonts w:ascii="Times New Roman" w:hAnsi="Times New Roman"/>
                <w:sz w:val="20"/>
              </w:rPr>
              <w:t>”) of any matters shown by Buyer’s Commitment or the Survey that are not satisfactory to Buyer (collectively, the “</w:t>
            </w:r>
            <w:r>
              <w:rPr>
                <w:rFonts w:ascii="Times New Roman" w:hAnsi="Times New Roman"/>
                <w:sz w:val="20"/>
                <w:u w:val="single"/>
              </w:rPr>
              <w:t>Title Objections</w:t>
            </w:r>
            <w:r>
              <w:rPr>
                <w:rFonts w:ascii="Times New Roman" w:hAnsi="Times New Roman"/>
                <w:sz w:val="20"/>
              </w:rPr>
              <w:t xml:space="preserve">”) before executing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7.1.2.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Within five (5) Business Days following receipt of the Title Notice, Seller shall give to Buyer a written notice (“</w:t>
            </w:r>
            <w:r>
              <w:rPr>
                <w:rFonts w:ascii="Times New Roman" w:hAnsi="Times New Roman"/>
                <w:sz w:val="20"/>
                <w:u w:val="single"/>
              </w:rPr>
              <w:t>Seller’s Response Title Notice</w:t>
            </w:r>
            <w:r>
              <w:rPr>
                <w:rFonts w:ascii="Times New Roman" w:hAnsi="Times New Roman"/>
                <w:sz w:val="20"/>
              </w:rPr>
              <w:t>”) stating that (i) Seller agrees to cure one or more of the Title Objections identified in the Title Objection Notice on or before the Closing Date, or (ii) Seller does not agree to, or cannot, cure one or more of the defects identified in the Title Objection Notice; it being understood and agreed that Seller shall be obligated to eliminate prior to or as of the Closing all mortgages and assignments of leases and rents, mechanic’s liens, tax liens, assessment liens, judgment liens, attachments, mortgage liens, and other monetary liens affecting the Property unless created by Buyer (“</w:t>
            </w:r>
            <w:r>
              <w:rPr>
                <w:rFonts w:ascii="Times New Roman" w:hAnsi="Times New Roman"/>
                <w:sz w:val="20"/>
                <w:u w:val="single"/>
              </w:rPr>
              <w:t>Monetary Encumbrances</w:t>
            </w:r>
            <w:r>
              <w:rPr>
                <w:rFonts w:ascii="Times New Roman" w:hAnsi="Times New Roman"/>
                <w:sz w:val="20"/>
              </w:rPr>
              <w:t xml:space="preserve">”). In the event Seller fails to timely deliver to Buyer a Seller’s Response Title Notice, Seller shall be deemed to have elected not to cure any Title Objections including, without limitation, Monetary Encumbrances.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7.1.3.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Seller is unable or unwilling to cure any of the Title Objections contained in Buyer’s Title Notice as set forth in Seller’s Response Title Notice, or if Seller fails to timely deliver Seller’s Response Title Notice, Buyer may terminate this Agreement by written termination notice to Seller received by Seller within five (5) days after delivery of Seller’s Response Title Notice (or if Seller fails to deliver a Seller Response Title Notice, within five (5) days after the date the Seller’s Response Title Notice was due to be delivered) (the “</w:t>
            </w:r>
            <w:r>
              <w:rPr>
                <w:rFonts w:ascii="Times New Roman" w:hAnsi="Times New Roman"/>
                <w:sz w:val="20"/>
                <w:u w:val="single"/>
              </w:rPr>
              <w:t>Title Termination Date</w:t>
            </w:r>
            <w:r>
              <w:rPr>
                <w:rFonts w:ascii="Times New Roman" w:hAnsi="Times New Roman"/>
                <w:sz w:val="20"/>
              </w:rPr>
              <w:t>”). For avoidance of doubt, it is understood that in the event that Seller fails to timely deliver Seller’s Response Title Notice, Buyer shall not be deemed to have waived any Title Objections. As used herein “</w:t>
            </w:r>
            <w:r>
              <w:rPr>
                <w:rFonts w:ascii="Times New Roman" w:hAnsi="Times New Roman"/>
                <w:sz w:val="20"/>
                <w:u w:val="single"/>
              </w:rPr>
              <w:t>Permitted Encumbrances</w:t>
            </w:r>
            <w:r>
              <w:rPr>
                <w:rFonts w:ascii="Times New Roman" w:hAnsi="Times New Roman"/>
                <w:sz w:val="20"/>
              </w:rPr>
              <w:t xml:space="preserve">” means all matters shown on the Buyer’s Commitment and Survey other than those matters Seller cures, or commits in the Seller Response Title Notice to cure, and Monetary Encumbrances.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7.2.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New Encumbrances</w:t>
            </w:r>
            <w:r>
              <w:rPr>
                <w:rFonts w:ascii="Times New Roman" w:hAnsi="Times New Roman"/>
                <w:sz w:val="20"/>
              </w:rPr>
              <w:t>. Seller shall notify Buyer within five (5) Business Days of Seller becoming aware of any new title or survey matter first occurring after the date of Buyer’s Commitment or the Survey that is not created by, through or under Buyer (each a “</w:t>
            </w:r>
            <w:r>
              <w:rPr>
                <w:rFonts w:ascii="Times New Roman" w:hAnsi="Times New Roman"/>
                <w:sz w:val="20"/>
                <w:u w:val="single"/>
              </w:rPr>
              <w:t>New Encumbrance</w:t>
            </w:r>
            <w:r>
              <w:rPr>
                <w:rFonts w:ascii="Times New Roman" w:hAnsi="Times New Roman"/>
                <w:sz w:val="20"/>
              </w:rPr>
              <w:t xml:space="preserve">”). Notwithstanding whether such notice is given, Buyer shall have the right to object to any New Encumbrance that is not acceptable to Buyer, by giving written notice of the New Encumbrance to which Buyer is objecting. In the event Buyer gives written notice of objection to any New Encumbrance as herein provided, the provisions of </w:t>
            </w:r>
            <w:r>
              <w:rPr>
                <w:rFonts w:ascii="Times New Roman" w:hAnsi="Times New Roman"/>
                <w:sz w:val="20"/>
                <w:u w:val="single"/>
              </w:rPr>
              <w:t>Section 7.1</w:t>
            </w:r>
            <w:r>
              <w:rPr>
                <w:rFonts w:ascii="Times New Roman" w:hAnsi="Times New Roman"/>
                <w:sz w:val="20"/>
              </w:rPr>
              <w:t xml:space="preserve"> shall apply with respect thereto as if set forth herein in full. Notwithstanding the foregoing, if any New Encumbrance is a Monetary Encumbrance, Seller must satisfy the same on or before the Closing in accordance with the provisions of </w:t>
            </w:r>
            <w:r>
              <w:rPr>
                <w:rFonts w:ascii="Times New Roman" w:hAnsi="Times New Roman"/>
                <w:sz w:val="20"/>
                <w:u w:val="single"/>
              </w:rPr>
              <w:t>Section 7.1</w:t>
            </w:r>
            <w:r>
              <w:rPr>
                <w:rFonts w:ascii="Times New Roman" w:hAnsi="Times New Roman"/>
                <w:sz w:val="20"/>
              </w:rPr>
              <w:t xml:space="preserve">. Seller covenants and agrees that it shall not grant any rights or otherwise accept any New Encumbrance (including any Monetary Encumbrance other than inchoate liens for real estate taxes) before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Deed Restrictions and Use Limitations</w:t>
            </w:r>
            <w:r>
              <w:rPr>
                <w:rFonts w:ascii="Times New Roman" w:hAnsi="Times New Roman"/>
                <w:sz w:val="20"/>
              </w:rPr>
              <w:t xml:space="preserve">. Seller represents and warrants that during the time period between the Effective Date and Closing, the Property has not been used for any use other than its ordinary and present 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The representations and warranties set forth in this Section 7.3 shall survive the Closing for a period of two (2) years and shall not be merged with the execution and delivery of the Deed or any other closing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8.</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Possession</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8.1.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Possession</w:t>
            </w:r>
            <w:r>
              <w:rPr>
                <w:rFonts w:ascii="Times New Roman" w:hAnsi="Times New Roman"/>
                <w:sz w:val="20"/>
              </w:rPr>
              <w:t xml:space="preserve">. On the Closing Date, except as otherwise agreed to by Buyer and Seller, Seller shall deliver possession of the Land and the Improvements to the Buyer, (i) free and clear of all tenants and parties in possession, (ii) with all personal property and debris removed, other than the Personal Property included in the Bill of Sale (see </w:t>
            </w:r>
            <w:r>
              <w:rPr>
                <w:rFonts w:ascii="Times New Roman" w:hAnsi="Times New Roman"/>
                <w:sz w:val="20"/>
                <w:u w:val="single"/>
              </w:rPr>
              <w:t>Section 12.2.2</w:t>
            </w:r>
            <w:r>
              <w:rPr>
                <w:rFonts w:ascii="Times New Roman" w:hAnsi="Times New Roman"/>
                <w:sz w:val="20"/>
              </w:rPr>
              <w:t xml:space="preserve">), and (iii) in substantially the same condition they were in as of the Due Diligence Period Expiration Date, ordinary wear and tear excepted. The Buyer shall be entitled to a re-inspection of the Property prior to the Closing to determine whether the condition thereof complies with the provisions of this </w:t>
            </w:r>
            <w:r>
              <w:rPr>
                <w:rFonts w:ascii="Times New Roman" w:hAnsi="Times New Roman"/>
                <w:sz w:val="20"/>
                <w:u w:val="single"/>
              </w:rPr>
              <w:t>Section 8.1</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0"/>
        <w:gridCol w:w="9495"/>
      </w:tblGrid>
      <w:tr>
        <w:trPr/>
        <w:tc>
          <w:tcPr>
            <w:tcW w:w="710" w:type="dxa"/>
            <w:tcBorders/>
          </w:tcPr>
          <w:p>
            <w:pPr>
              <w:pStyle w:val="TableContents"/>
              <w:bidi w:val="0"/>
              <w:spacing w:before="0" w:after="283"/>
              <w:jc w:val="left"/>
              <w:rPr/>
            </w:pPr>
            <w:r>
              <w:rPr/>
              <w:t>9.</w:t>
            </w:r>
          </w:p>
        </w:tc>
        <w:tc>
          <w:tcPr>
            <w:tcW w:w="949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Representations and Warranties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 and Warranties</w:t>
            </w:r>
            <w:r>
              <w:rPr>
                <w:rFonts w:ascii="Times New Roman" w:hAnsi="Times New Roman"/>
                <w:sz w:val="20"/>
              </w:rPr>
              <w:t xml:space="preserve">. The Seller represents and warrants to the Buyer that, except as disclosed in the Seller Property Documents, as of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Authority</w:t>
            </w:r>
            <w:r>
              <w:rPr>
                <w:rFonts w:ascii="Times New Roman" w:hAnsi="Times New Roman"/>
                <w:sz w:val="20"/>
              </w:rPr>
              <w:t xml:space="preserve">. Seller is a corporation, duly authorized, legally existing and in good standing under the laws of the State of Maryland. Seller has the full right and authority and has obtained any and all consents required to enter into this Agreement and to consummate or cause to be consummated the transaction contemplated hereby. This Agreement has been, and all of the documents to be executed and delivered by Seller at Closing shall be, duly authorized by all requisite company action and properly executed and shall constitute valid and binding obligations of Seller, subject to applicable bankruptcy and similar laws for the benefit of debtors.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9.1.2.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Bankruptcy</w:t>
            </w:r>
            <w:r>
              <w:rPr>
                <w:rFonts w:ascii="Times New Roman" w:hAnsi="Times New Roman"/>
                <w:sz w:val="20"/>
              </w:rPr>
              <w:t xml:space="preserve">. Seller has not (a) commenced a voluntary case, or had entered against it a petition, for relief under any federal bankruptcy act or any similar petition, order or decree under any federal or state law with respect to bankruptcy, insolvency or other relief for debtors, or (b) caused, suffered or consented to the appointment of a receiver, trustee, administrator, conservator, liquidator or similar official in any federal, state or foreign judicial or non-judicial proceeding to hold, administer and/or liquidate all or substantially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Litigation</w:t>
            </w:r>
            <w:r>
              <w:rPr>
                <w:rFonts w:ascii="Times New Roman" w:hAnsi="Times New Roman"/>
                <w:sz w:val="20"/>
              </w:rPr>
              <w:t xml:space="preserve">. There is no action, suit, or proceeding pending before a court or administrative body that remains outstanding against the Property or Seller that (i) relates to the physical condition of the Property or the Property’s compliance with applicable laws; or (ii) would materially and adversely affect Seller’s ability to consummate the transactions hereunder or the Buyer’s operation, beneficial enjoyment, or intended use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9.1.4.</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Foreclosure</w:t>
            </w:r>
            <w:r>
              <w:rPr>
                <w:rFonts w:ascii="Times New Roman" w:hAnsi="Times New Roman"/>
                <w:sz w:val="20"/>
              </w:rPr>
              <w:t xml:space="preserve">. Seller has not received any written notice from any lender, mortgagee, lienholder, or other secured party, of any pending or threatened foreclosure or execution action or proceeding affecting all or any portion of the Property, by either judicial or non-judicial foreclosure, or by public or private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9.1.5.</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FIRPTA</w:t>
            </w:r>
            <w:r>
              <w:rPr>
                <w:rFonts w:ascii="Times New Roman" w:hAnsi="Times New Roman"/>
                <w:sz w:val="20"/>
              </w:rPr>
              <w:t xml:space="preserve">. Seller is not a “foreign person” as defined in Section 1445(f)(3) of the Internal Revenue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9.1.6.</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Conflict</w:t>
            </w:r>
            <w:r>
              <w:rPr>
                <w:rFonts w:ascii="Times New Roman" w:hAnsi="Times New Roman"/>
                <w:sz w:val="20"/>
              </w:rPr>
              <w:t xml:space="preserve">. The execution and delivery of this Agreement and the consummation of the transactions contemplated hereunder on the part of Seller do not and will not conflict with or result in the breach of any material terms or provisions of, or constitute a default under, or result in the creation or imposition of any lien, charge, or encumbrance upon any of the Property or assets of Seller by reason of the terms of any contract, mortgage, lien, lease, agreement, indenture, instrument or judgment to which Seller is a party, that will not be discharged, assumed or released at Closing. No action by any federal, state or municipal or other governmental department, commission, board, bureau or instrumentality is necessary to make this Agreement a valid instrument binding upon Seller in accordance with its terms.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9.1.7.</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Condemnation</w:t>
            </w:r>
            <w:r>
              <w:rPr>
                <w:rFonts w:ascii="Times New Roman" w:hAnsi="Times New Roman"/>
                <w:sz w:val="20"/>
              </w:rPr>
              <w:t xml:space="preserve">. Seller has not received any written notice of any pending or contemplated condemnation, eminent domain or similar proceeding with respect to all or any material portion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9.1.8.</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Compliance with Law</w:t>
            </w:r>
            <w:r>
              <w:rPr>
                <w:rFonts w:ascii="Times New Roman" w:hAnsi="Times New Roman"/>
                <w:sz w:val="20"/>
              </w:rPr>
              <w:t xml:space="preserve">. Seller, or its agents, have not received notice from a governmental authority of any violations of applicable laws with respect to the Property that have not been cured and Seller has obtained all permits and regulatory approvals required for the lawful operation of the Property, which are valid and still in effect, and will transfer to Buyer and/or provide notice to the appropriate regulatory authority for any permits and regulatory approvals which require such transfer or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9.1.9.</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Third-Party Contracts</w:t>
            </w:r>
            <w:r>
              <w:rPr>
                <w:rFonts w:ascii="Times New Roman" w:hAnsi="Times New Roman"/>
                <w:sz w:val="20"/>
              </w:rPr>
              <w:t xml:space="preserve">. There are no third-party construction, management, leasing, service, equipment, supply, maintenance, or concession contracts or agreements in effect with respect to the Property which shall be binding upon Buyer or the Property after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9.1.10.</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Leases</w:t>
            </w:r>
            <w:r>
              <w:rPr>
                <w:rFonts w:ascii="Times New Roman" w:hAnsi="Times New Roman"/>
                <w:sz w:val="20"/>
              </w:rPr>
              <w:t xml:space="preserve">. There are no leases or occupancy agreements affecting the Land or the Improvements and there are no tenants, licensees or occupants of all or any portion of the Land and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9.1.11.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Patriot Act</w:t>
            </w:r>
            <w:r>
              <w:rPr>
                <w:rFonts w:ascii="Times New Roman" w:hAnsi="Times New Roman"/>
                <w:sz w:val="20"/>
              </w:rPr>
              <w:t>. Seller is in compliance with the requirements of Executive Order No. 13224, 66 Fed. Reg. 49079 (Sept. 25, 2001) (the “</w:t>
            </w:r>
            <w:r>
              <w:rPr>
                <w:rFonts w:ascii="Times New Roman" w:hAnsi="Times New Roman"/>
                <w:sz w:val="20"/>
                <w:u w:val="single"/>
              </w:rPr>
              <w:t>Order</w:t>
            </w:r>
            <w:r>
              <w:rPr>
                <w:rFonts w:ascii="Times New Roman" w:hAnsi="Times New Roman"/>
                <w:sz w:val="20"/>
              </w:rPr>
              <w:t>”) and other similar requirements contained in the rules and regulations of the Office of Foreign Assets Control, Department of the Treasury (“</w:t>
            </w:r>
            <w:r>
              <w:rPr>
                <w:rFonts w:ascii="Times New Roman" w:hAnsi="Times New Roman"/>
                <w:sz w:val="20"/>
                <w:u w:val="single"/>
              </w:rPr>
              <w:t>OFAC</w:t>
            </w:r>
            <w:r>
              <w:rPr>
                <w:rFonts w:ascii="Times New Roman" w:hAnsi="Times New Roman"/>
                <w:sz w:val="20"/>
              </w:rPr>
              <w:t>”) and in any enabling legislation or other Executive Orders or regulations in respect thereof (the Order and such other rules, regulations, legislation or orders are collectively called the “</w:t>
            </w:r>
            <w:r>
              <w:rPr>
                <w:rFonts w:ascii="Times New Roman" w:hAnsi="Times New Roman"/>
                <w:sz w:val="20"/>
                <w:u w:val="single"/>
              </w:rPr>
              <w:t>Orders</w:t>
            </w:r>
            <w:r>
              <w:rPr>
                <w:rFonts w:ascii="Times New Roman" w:hAnsi="Times New Roman"/>
                <w:sz w:val="20"/>
              </w:rPr>
              <w:t>”). Neither the Seller nor any of its affiliates (A) is listed on the Specially Designated Nationals and Blocked Person List maintained by OFAC pursuant to the Order and/or on any other list of terrorists or terrorist organizations maintained pursuant to any of the rules and regulations of OFAC or pursuant to any other applicable Orders (such lists are collectively referred to as the “</w:t>
            </w:r>
            <w:r>
              <w:rPr>
                <w:rFonts w:ascii="Times New Roman" w:hAnsi="Times New Roman"/>
                <w:sz w:val="20"/>
                <w:u w:val="single"/>
              </w:rPr>
              <w:t>Lists</w:t>
            </w:r>
            <w:r>
              <w:rPr>
                <w:rFonts w:ascii="Times New Roman" w:hAnsi="Times New Roman"/>
                <w:sz w:val="20"/>
              </w:rPr>
              <w:t xml:space="preserve">”), (B) is a Person (as defined in the Order) who has been determined by competent authority to be subject to the prohibitions contained in the Orders; or (C) is owned or controlled by (including without limitation by virtue of such Person being a director or owning voting shares or interests), or acts for or on behalf of, any person on the Lists or any other Person who has been determined by competent authority to be subject to the prohibitions contained in the Orders.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Seller shall notify Buyer in writing if, after the execution of this Agreement, Seller receives notice that any event occurs or condition exists which renders any of the foregoing materially untrue or misleading.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9.2.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Representations</w:t>
            </w:r>
            <w:r>
              <w:rPr>
                <w:rFonts w:ascii="Times New Roman" w:hAnsi="Times New Roman"/>
                <w:sz w:val="20"/>
              </w:rPr>
              <w:t xml:space="preserve">. The Buyer represents to the Seller that, as of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9.2.1.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Buyer executes this Agreement under the authority of 6 U.S.C. §§ 202, 251, and 551, and 8 U.S.C. §§ 1226 and 1231. The property is delivered and subject to the rules and regulations as may be prescribed by the Secretary of the U.S. Department of Homeland Security, the Federal Property and Administrative Services Act, 40 U.S.C. §§ 101–1315, and the Federal Land Policy and Management Act, 43 U.S.C. §§ 1701–1787, provided that Seller is not responsible for compliance with the foregoing. Buyer has the full right and authority and has obtained any and all consents and appropriations required to enter into this Agreement and to consummate or cause to be consummated the transaction contemplated hereby. This Agreement has been, and all of the documents to be executed and delivered by Buyer at Closing shall be, duly authorized by all requisite Federal government action and properly executed and shall constitute valid and binding obligations of Buyer.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Buyer shall notify Seller in writing if, after the execution of this Agreement, Buyer receives notice that any event occurs or condition exists which renders any of the foregoing materially untrue or misleading.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Seller’s representations set forth in </w:t>
            </w:r>
            <w:r>
              <w:rPr>
                <w:rFonts w:ascii="Times New Roman" w:hAnsi="Times New Roman"/>
                <w:sz w:val="20"/>
                <w:u w:val="single"/>
              </w:rPr>
              <w:t>Section 9.1</w:t>
            </w:r>
            <w:r>
              <w:rPr>
                <w:rFonts w:ascii="Times New Roman" w:hAnsi="Times New Roman"/>
                <w:sz w:val="20"/>
              </w:rPr>
              <w:t xml:space="preserve"> shall survive the Closing for a period of two (2) years (the “</w:t>
            </w:r>
            <w:r>
              <w:rPr>
                <w:rFonts w:ascii="Times New Roman" w:hAnsi="Times New Roman"/>
                <w:sz w:val="20"/>
                <w:u w:val="single"/>
              </w:rPr>
              <w:t>Survival Period</w:t>
            </w:r>
            <w:r>
              <w:rPr>
                <w:rFonts w:ascii="Times New Roman" w:hAnsi="Times New Roman"/>
                <w:sz w:val="20"/>
              </w:rPr>
              <w:t xml:space="preserve">”) and shall not be merged with the execution and delivery of the Deed and other closing documents hereunder. Each of Seller and Buyer shall execute and deliver to the other at the Closing a certificate to the effect that (i) the representations and warranties of such Party which are set forth in this </w:t>
            </w:r>
            <w:r>
              <w:rPr>
                <w:rFonts w:ascii="Times New Roman" w:hAnsi="Times New Roman"/>
                <w:sz w:val="20"/>
                <w:u w:val="single"/>
              </w:rPr>
              <w:t>Section 9</w:t>
            </w:r>
            <w:r>
              <w:rPr>
                <w:rFonts w:ascii="Times New Roman" w:hAnsi="Times New Roman"/>
                <w:sz w:val="20"/>
              </w:rPr>
              <w:t xml:space="preserve"> remain true and correct in all material respects as of the Closing Date, and (ii) such Party has complied with all of the covenants of such Party which are set forth in </w:t>
            </w:r>
            <w:r>
              <w:rPr>
                <w:rFonts w:ascii="Times New Roman" w:hAnsi="Times New Roman"/>
                <w:sz w:val="20"/>
                <w:u w:val="single"/>
              </w:rPr>
              <w:t>Section 10</w:t>
            </w:r>
            <w:r>
              <w:rPr>
                <w:rFonts w:ascii="Times New Roman" w:hAnsi="Times New Roman"/>
                <w:sz w:val="20"/>
              </w:rPr>
              <w:t xml:space="preserve">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9.4</w:t>
            </w:r>
          </w:p>
        </w:tc>
        <w:tc>
          <w:tcPr>
            <w:tcW w:w="8880" w:type="dxa"/>
            <w:tcBorders/>
          </w:tcPr>
          <w:p>
            <w:pPr>
              <w:pStyle w:val="TableContents"/>
              <w:bidi w:val="0"/>
              <w:spacing w:before="0" w:after="0"/>
              <w:jc w:val="left"/>
              <w:rPr/>
            </w:pPr>
            <w:r>
              <w:rPr/>
              <w:t>“</w:t>
            </w:r>
            <w:r>
              <w:rPr>
                <w:rFonts w:ascii="Times New Roman" w:hAnsi="Times New Roman"/>
                <w:b/>
                <w:sz w:val="20"/>
                <w:u w:val="single"/>
              </w:rPr>
              <w:t>As Is” Sale</w:t>
            </w:r>
            <w:r>
              <w:rPr>
                <w:rFonts w:ascii="Times New Roman" w:hAnsi="Times New Roman"/>
                <w:b/>
                <w:sz w:val="20"/>
              </w:rPr>
              <w:t xml:space="preserve">. </w:t>
            </w:r>
            <w:r>
              <w:rPr>
                <w:rFonts w:ascii="Times New Roman" w:hAnsi="Times New Roman"/>
                <w:sz w:val="20"/>
              </w:rPr>
              <w:t xml:space="preserve">Except as otherwise provided herein, in the Deed, and the other documents delivered by Seller pursuant to this Agreement, Buyer acknowledges and agrees that Seller has not made, does not make, and specifically negates and disclaims any representations or warranties whatsoever, whether expressed or implied, oral or written, past, present, or future concerning the Property, including, but not limited to, the condition thereof and the suitability thereof for any or all activities and uses which the Buyer might conduct thereon. Except as otherwise provided herein, and in the Deed or the other documents delivered by Seller pursuant to this Agreement, Buyer acknowledges that to the maximum extent allowed by law, the sale of the Property will be made in an “AS IS”, “WHERE IS” and “SUBJECT TO ALL FAULTS” condition, provided that Seller has not made use of the Property different from its ordinary and present use during the time period between the Effective Date and Closing, and that Seller has provided all disclosures as required by local, state, and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10.</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Covenants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10.1.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Affirmative Covenants</w:t>
            </w:r>
            <w:r>
              <w:rPr>
                <w:rFonts w:ascii="Times New Roman" w:hAnsi="Times New Roman"/>
                <w:sz w:val="20"/>
              </w:rPr>
              <w:t xml:space="preserve">. Between the Effective Date and the Closing Date, Seller agrees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10.1.1.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and operate the Property only in a prudent and usual and customary manner </w:t>
            </w:r>
            <w:r>
              <w:rPr>
                <w:rFonts w:ascii="Times New Roman" w:hAnsi="Times New Roman"/>
                <w:b/>
                <w:sz w:val="20"/>
              </w:rPr>
              <w:t xml:space="preserve">as required under Article 8 of this Agreement </w:t>
            </w:r>
            <w:r>
              <w:rPr>
                <w:rFonts w:ascii="Times New Roman" w:hAnsi="Times New Roman"/>
                <w:sz w:val="20"/>
              </w:rPr>
              <w:t xml:space="preserve">and in accordance with all applicable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10.1.2.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the Property in its present order and condition, and deliver the Property on the Closing Date in the condition required under Article 8 of this Agreement, usual wear and tear excepted;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10.1.3.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 prompt written notice to Buyer of any fire or other casualty affecting any portion of the Property after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10.1.4.</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to Buyer promptly after receipt by Seller copies of all written notices of violation, taking, or eminent domain issued by any board, bureau, commission, department, or body of any municipal, county, state, or federal government unit, or any subdivision thereof, with respect to the Property received by Seller after the Effective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5"/>
        <w:gridCol w:w="8165"/>
      </w:tblGrid>
      <w:tr>
        <w:trPr/>
        <w:tc>
          <w:tcPr>
            <w:tcW w:w="1325"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10.1.5.</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Seller becomes aware that any representation or warranty of Seller set forth in </w:t>
            </w:r>
            <w:r>
              <w:rPr>
                <w:rFonts w:ascii="Times New Roman" w:hAnsi="Times New Roman"/>
                <w:sz w:val="20"/>
                <w:u w:val="single"/>
              </w:rPr>
              <w:t>Section 9</w:t>
            </w:r>
            <w:r>
              <w:rPr>
                <w:rFonts w:ascii="Times New Roman" w:hAnsi="Times New Roman"/>
                <w:sz w:val="20"/>
              </w:rPr>
              <w:t xml:space="preserve"> hereof will not be true and correct in all material respects on the Closing Date, as if made at and as of the Closing Date, give prompt written notice thereof to Buyer, which notice shall include all appropriate information related thereto that is in Seller’s possession or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1"/>
        <w:gridCol w:w="8880"/>
      </w:tblGrid>
      <w:tr>
        <w:trPr/>
        <w:tc>
          <w:tcPr>
            <w:tcW w:w="7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10.2.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Negative Covenants</w:t>
            </w:r>
            <w:r>
              <w:rPr>
                <w:rFonts w:ascii="Times New Roman" w:hAnsi="Times New Roman"/>
                <w:sz w:val="20"/>
              </w:rPr>
              <w:t xml:space="preserve">. Between the Effective Date and the Closing Date, Seller agrees that, without Buyer’s written consent in each case, it will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10.2.1.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voluntarily grant, create, assume, or permit to be created any mortgage in excess of any presently outstanding principal sum, lien, encumbrance, easement, covenant, condition, right-of-way, or restriction upon the Property, or voluntarily take or permit any action adversely affecting the title to the Property, as it exists on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10.2.2.</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leases upon the Property or enter into any contracts concerning the Property that would be binding on the Buyer after the Closing;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10.2.3.</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or indirectly transfer or market the Property to others, employ or direct any agent with respect to the marketing or disposition of the Property, directly or indirectly solicit, accept, or consider any such offer or expression of interest, or negotiate or enter into any “back up” or contingent offers or agreements with respect to the sale of the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Closing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11.1.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Buyer’s Obligations</w:t>
            </w:r>
            <w:r>
              <w:rPr>
                <w:rFonts w:ascii="Times New Roman" w:hAnsi="Times New Roman"/>
                <w:sz w:val="20"/>
              </w:rPr>
              <w:t>. Buyer’s obligation to purchase the Property as contemplated in this Agreement is subject to satisfaction of the following conditions precedent for Buyer’s benefit (each, a “</w:t>
            </w:r>
            <w:r>
              <w:rPr>
                <w:rFonts w:ascii="Times New Roman" w:hAnsi="Times New Roman"/>
                <w:sz w:val="20"/>
                <w:u w:val="single"/>
              </w:rPr>
              <w:t>Buyer’s Condition Precedent</w:t>
            </w:r>
            <w:r>
              <w:rPr>
                <w:rFonts w:ascii="Times New Roman" w:hAnsi="Times New Roman"/>
                <w:sz w:val="20"/>
              </w:rPr>
              <w:t xml:space="preserve">”), or Buyer’s waiver thereof, it being agreed that Buyer may waive any or all of such conditions, on or prior to the Closing Date or the dates designated below for the satisfaction of such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11.1.1.</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Obligations</w:t>
            </w:r>
            <w:r>
              <w:rPr>
                <w:rFonts w:ascii="Times New Roman" w:hAnsi="Times New Roman"/>
                <w:sz w:val="20"/>
              </w:rPr>
              <w:t xml:space="preserve">. As of the Closing Date, Seller shall have performed all of the material covenants and obligations required to be performed by Seller under this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11.1.2.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 and Warranties</w:t>
            </w:r>
            <w:r>
              <w:rPr>
                <w:rFonts w:ascii="Times New Roman" w:hAnsi="Times New Roman"/>
                <w:sz w:val="20"/>
              </w:rPr>
              <w:t xml:space="preserve">. All representations and warranties made by Seller in this Agreement as set forth in </w:t>
            </w:r>
            <w:r>
              <w:rPr>
                <w:rFonts w:ascii="Times New Roman" w:hAnsi="Times New Roman"/>
                <w:sz w:val="20"/>
                <w:u w:val="single"/>
              </w:rPr>
              <w:t>Section 9.1</w:t>
            </w:r>
            <w:r>
              <w:rPr>
                <w:rFonts w:ascii="Times New Roman" w:hAnsi="Times New Roman"/>
                <w:sz w:val="20"/>
              </w:rPr>
              <w:t xml:space="preserve"> above shall be true and correct in all material respects on and as of the Closing Date, as if made on and as of such date except to the extent they relate to an earlier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11.1.3.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Documents and Deliveries</w:t>
            </w:r>
            <w:r>
              <w:rPr>
                <w:rFonts w:ascii="Times New Roman" w:hAnsi="Times New Roman"/>
                <w:sz w:val="20"/>
              </w:rPr>
              <w:t xml:space="preserve">. All instruments and documents required to be delivered by Seller under </w:t>
            </w:r>
            <w:r>
              <w:rPr>
                <w:rFonts w:ascii="Times New Roman" w:hAnsi="Times New Roman"/>
                <w:sz w:val="20"/>
                <w:u w:val="single"/>
              </w:rPr>
              <w:t>Section 12.2</w:t>
            </w:r>
            <w:r>
              <w:rPr>
                <w:rFonts w:ascii="Times New Roman" w:hAnsi="Times New Roman"/>
                <w:sz w:val="20"/>
              </w:rPr>
              <w:t xml:space="preserve"> below shall be delivered to the Escrow Agent and shall be in form and substance consistent with the requirements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11.1.4.</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w:t>
            </w:r>
            <w:r>
              <w:rPr>
                <w:rFonts w:ascii="Times New Roman" w:hAnsi="Times New Roman"/>
                <w:sz w:val="20"/>
              </w:rPr>
              <w:t xml:space="preserve">. Title to the Property as of the Closing Date shall not be subject to any encumbrances, except for the Permitted Encumbrances, substantially in the form attached as </w:t>
            </w:r>
            <w:r>
              <w:rPr>
                <w:rFonts w:ascii="Times New Roman" w:hAnsi="Times New Roman"/>
                <w:sz w:val="20"/>
                <w:u w:val="single"/>
              </w:rPr>
              <w:t>Exhibit A</w:t>
            </w:r>
            <w:r>
              <w:rPr>
                <w:rFonts w:ascii="Times New Roman" w:hAnsi="Times New Roman"/>
                <w:sz w:val="20"/>
              </w:rPr>
              <w:t xml:space="preserve"> hereto, duly executed and acknowledged by Seller (the “</w:t>
            </w:r>
            <w:r>
              <w:rPr>
                <w:rFonts w:ascii="Times New Roman" w:hAnsi="Times New Roman"/>
                <w:sz w:val="20"/>
                <w:u w:val="single"/>
              </w:rPr>
              <w:t>Deed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11.2.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Conditions to Seller’s Obligations</w:t>
            </w:r>
            <w:r>
              <w:rPr>
                <w:rFonts w:ascii="Times New Roman" w:hAnsi="Times New Roman"/>
                <w:sz w:val="20"/>
              </w:rPr>
              <w:t>. Seller’s obligation to sell the Property as contemplated in this Agreement is subject to satisfaction of the following conditions precedent for Seller’s benefit (each, a “</w:t>
            </w:r>
            <w:r>
              <w:rPr>
                <w:rFonts w:ascii="Times New Roman" w:hAnsi="Times New Roman"/>
                <w:sz w:val="20"/>
                <w:u w:val="single"/>
              </w:rPr>
              <w:t>Seller’s Condition Precedent</w:t>
            </w:r>
            <w:r>
              <w:rPr>
                <w:rFonts w:ascii="Times New Roman" w:hAnsi="Times New Roman"/>
                <w:sz w:val="20"/>
              </w:rPr>
              <w:t xml:space="preserve">”) or Seller’s waiver thereof, it being agreed that Seller may waive any or all of such conditions, on or prior to the Closing Date or the dates designated below for the satisfaction of such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11.2.1.</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Buyer’s Obligations</w:t>
            </w:r>
            <w:r>
              <w:rPr>
                <w:rFonts w:ascii="Times New Roman" w:hAnsi="Times New Roman"/>
                <w:sz w:val="20"/>
              </w:rPr>
              <w:t xml:space="preserve">. As of the Closing Date, Buyer shall have performed all of the covenants and obligations required to be performed by Buyer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11.2.2.</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Representations</w:t>
            </w:r>
            <w:r>
              <w:rPr>
                <w:rFonts w:ascii="Times New Roman" w:hAnsi="Times New Roman"/>
                <w:sz w:val="20"/>
              </w:rPr>
              <w:t xml:space="preserve">. All representations and warranties made by Buyer in this Agreement as set forth in </w:t>
            </w:r>
            <w:r>
              <w:rPr>
                <w:rFonts w:ascii="Times New Roman" w:hAnsi="Times New Roman"/>
                <w:sz w:val="20"/>
                <w:u w:val="single"/>
              </w:rPr>
              <w:t>Section 9.2</w:t>
            </w:r>
            <w:r>
              <w:rPr>
                <w:rFonts w:ascii="Times New Roman" w:hAnsi="Times New Roman"/>
                <w:sz w:val="20"/>
              </w:rPr>
              <w:t xml:space="preserve"> above shall be made in good faith in all material respects on and as of the Closing Date, as if made on and as of such date except to the extent they relate to an earlier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11.2.3.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Documents and Deliveries</w:t>
            </w:r>
            <w:r>
              <w:rPr>
                <w:rFonts w:ascii="Times New Roman" w:hAnsi="Times New Roman"/>
                <w:sz w:val="20"/>
              </w:rPr>
              <w:t xml:space="preserve">. All payments, instruments and documents required to be delivered by Buyer under </w:t>
            </w:r>
            <w:r>
              <w:rPr>
                <w:rFonts w:ascii="Times New Roman" w:hAnsi="Times New Roman"/>
                <w:sz w:val="20"/>
                <w:u w:val="single"/>
              </w:rPr>
              <w:t>Section 12.3</w:t>
            </w:r>
            <w:r>
              <w:rPr>
                <w:rFonts w:ascii="Times New Roman" w:hAnsi="Times New Roman"/>
                <w:sz w:val="20"/>
              </w:rPr>
              <w:t xml:space="preserve"> below shall be delivered to the Escrow Agent and shall be in form and substance consistent with the requirements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12.</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Closing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12.1.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Time of Closing</w:t>
            </w:r>
            <w:r>
              <w:rPr>
                <w:rFonts w:ascii="Times New Roman" w:hAnsi="Times New Roman"/>
                <w:sz w:val="20"/>
              </w:rPr>
              <w:t>. The consummation of the purchase and sale of the Property (the “</w:t>
            </w:r>
            <w:r>
              <w:rPr>
                <w:rFonts w:ascii="Times New Roman" w:hAnsi="Times New Roman"/>
                <w:sz w:val="20"/>
                <w:u w:val="single"/>
              </w:rPr>
              <w:t>Closing</w:t>
            </w:r>
            <w:r>
              <w:rPr>
                <w:rFonts w:ascii="Times New Roman" w:hAnsi="Times New Roman"/>
                <w:sz w:val="20"/>
              </w:rPr>
              <w:t>”) shall be held at 11:00 A.M. Washington, D.C., time at a place agreed upon by the Seller and the Buyer, on or before August 4, 2026 (the “</w:t>
            </w:r>
            <w:r>
              <w:rPr>
                <w:rFonts w:ascii="Times New Roman" w:hAnsi="Times New Roman"/>
                <w:sz w:val="20"/>
                <w:u w:val="single"/>
              </w:rPr>
              <w:t>Closing Date</w:t>
            </w:r>
            <w:r>
              <w:rPr>
                <w:rFonts w:ascii="Times New Roman" w:hAnsi="Times New Roman"/>
                <w:sz w:val="20"/>
              </w:rPr>
              <w:t xml:space="preserve">”). The parties may also choose to use an Escrow procedure instead and shall consummate the transaction through Escrow Agent on or before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1"/>
        <w:gridCol w:w="8880"/>
      </w:tblGrid>
      <w:tr>
        <w:trPr/>
        <w:tc>
          <w:tcPr>
            <w:tcW w:w="7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12.2.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Deliveries</w:t>
            </w:r>
            <w:r>
              <w:rPr>
                <w:rFonts w:ascii="Times New Roman" w:hAnsi="Times New Roman"/>
                <w:sz w:val="20"/>
              </w:rPr>
              <w:t xml:space="preserve">. At the Closing, Seller shall deliver to the Escrow Agent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12.2.1.</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general warranty deed to the Land, the Improvements, and the Appurtenances from Seller, free from encumbrances except for the Permitted Encumbrances, substantially in the form attached as </w:t>
            </w:r>
            <w:r>
              <w:rPr>
                <w:rFonts w:ascii="Times New Roman" w:hAnsi="Times New Roman"/>
                <w:sz w:val="20"/>
                <w:u w:val="single"/>
              </w:rPr>
              <w:t>Exhibit A</w:t>
            </w:r>
            <w:r>
              <w:rPr>
                <w:rFonts w:ascii="Times New Roman" w:hAnsi="Times New Roman"/>
                <w:sz w:val="20"/>
              </w:rPr>
              <w:t xml:space="preserve"> hereto, duly executed and acknowledged by Seller (the “</w:t>
            </w:r>
            <w:r>
              <w:rPr>
                <w:rFonts w:ascii="Times New Roman" w:hAnsi="Times New Roman"/>
                <w:sz w:val="20"/>
                <w:u w:val="single"/>
              </w:rPr>
              <w:t>Deed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bill of sale for the Personal Property, substantially in the form attached as </w:t>
            </w:r>
            <w:r>
              <w:rPr>
                <w:rFonts w:ascii="Times New Roman" w:hAnsi="Times New Roman"/>
                <w:sz w:val="20"/>
                <w:u w:val="single"/>
              </w:rPr>
              <w:t>Exhibit B</w:t>
            </w:r>
            <w:r>
              <w:rPr>
                <w:rFonts w:ascii="Times New Roman" w:hAnsi="Times New Roman"/>
                <w:sz w:val="20"/>
              </w:rPr>
              <w:t xml:space="preserve"> hereto, duly executed by Seller (the “</w:t>
            </w:r>
            <w:r>
              <w:rPr>
                <w:rFonts w:ascii="Times New Roman" w:hAnsi="Times New Roman"/>
                <w:sz w:val="20"/>
                <w:u w:val="single"/>
              </w:rPr>
              <w:t>Bill of Sale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assignment and acceptance of the Intangible Property, substantially in the form attached as </w:t>
            </w:r>
            <w:r>
              <w:rPr>
                <w:rFonts w:ascii="Times New Roman" w:hAnsi="Times New Roman"/>
                <w:sz w:val="20"/>
                <w:u w:val="single"/>
              </w:rPr>
              <w:t>Exhibit C</w:t>
            </w:r>
            <w:r>
              <w:rPr>
                <w:rFonts w:ascii="Times New Roman" w:hAnsi="Times New Roman"/>
                <w:sz w:val="20"/>
              </w:rPr>
              <w:t xml:space="preserve"> hereto, duly executed by Seller (the “</w:t>
            </w:r>
            <w:r>
              <w:rPr>
                <w:rFonts w:ascii="Times New Roman" w:hAnsi="Times New Roman"/>
                <w:sz w:val="20"/>
                <w:u w:val="single"/>
              </w:rPr>
              <w:t>Assignment and Acceptance of Intangible 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12.2.4.</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reasonably satisfactory to Buyer that any third party contracts affecting the Property have be terminated as of the Closing Date, and that no obligations thereof are or will be binding on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12.2.6.</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affidavit of the Seller dated as of the Closing Date that, to Seller’s knowledge, (A) no services have been performed or materials supplied for or to the Seller with respect to the Property during the 90 days immediately preceding the Closing Date for which mechanic’s or materialman’s lien rights may exist and for which payment in full has not been made (or, in the event that any such services shall have been performed or materials delivered within said period and not been paid for in full, waivers of mechanic’s and materialman’s liens as a result thereof), and (B) no tenants or other parties are in, or claim or assert rights to, possession of the Land or the Building;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12.2.7.</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affidavit of the Seller to the effect that the Seller is not a “foreign person” as that term is defined in Internal Revenue Code Section 1445(f)(3);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12.2.8.</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Internal Revenue Service 1099-S form duly executed by the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12.2.9.</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concerning representations and warranties of the Seller contemplated by </w:t>
            </w:r>
            <w:r>
              <w:rPr>
                <w:rFonts w:ascii="Times New Roman" w:hAnsi="Times New Roman"/>
                <w:sz w:val="20"/>
                <w:u w:val="single"/>
              </w:rPr>
              <w:t>Section 9.3</w:t>
            </w:r>
            <w:r>
              <w:rPr>
                <w:rFonts w:ascii="Times New Roman" w:hAnsi="Times New Roman"/>
                <w:sz w:val="20"/>
              </w:rPr>
              <w:t xml:space="preserve"> above duly executed by the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0"/>
        <w:gridCol w:w="770"/>
        <w:gridCol w:w="8125"/>
      </w:tblGrid>
      <w:tr>
        <w:trPr/>
        <w:tc>
          <w:tcPr>
            <w:tcW w:w="1310" w:type="dxa"/>
            <w:tcBorders/>
            <w:vAlign w:val="center"/>
          </w:tcPr>
          <w:p>
            <w:pPr>
              <w:pStyle w:val="TableContents"/>
              <w:bidi w:val="0"/>
              <w:spacing w:before="0" w:after="283"/>
              <w:jc w:val="left"/>
              <w:rPr/>
            </w:pPr>
            <w:r>
              <w:rPr/>
              <w:t> </w:t>
            </w:r>
          </w:p>
        </w:tc>
        <w:tc>
          <w:tcPr>
            <w:tcW w:w="770" w:type="dxa"/>
            <w:tcBorders/>
          </w:tcPr>
          <w:p>
            <w:pPr>
              <w:pStyle w:val="TableContents"/>
              <w:bidi w:val="0"/>
              <w:spacing w:before="0" w:after="283"/>
              <w:jc w:val="left"/>
              <w:rPr/>
            </w:pPr>
            <w:r>
              <w:rPr/>
              <w:t>12.2.10.</w:t>
            </w:r>
          </w:p>
        </w:tc>
        <w:tc>
          <w:tcPr>
            <w:tcW w:w="8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joint settlement statement duly executed by Seller;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06"/>
        <w:gridCol w:w="780"/>
        <w:gridCol w:w="8119"/>
      </w:tblGrid>
      <w:tr>
        <w:trPr/>
        <w:tc>
          <w:tcPr>
            <w:tcW w:w="1306" w:type="dxa"/>
            <w:tcBorders/>
            <w:vAlign w:val="center"/>
          </w:tcPr>
          <w:p>
            <w:pPr>
              <w:pStyle w:val="TableContents"/>
              <w:bidi w:val="0"/>
              <w:spacing w:before="0" w:after="283"/>
              <w:jc w:val="left"/>
              <w:rPr/>
            </w:pPr>
            <w:r>
              <w:rPr/>
              <w:t> </w:t>
            </w:r>
          </w:p>
        </w:tc>
        <w:tc>
          <w:tcPr>
            <w:tcW w:w="780" w:type="dxa"/>
            <w:tcBorders/>
          </w:tcPr>
          <w:p>
            <w:pPr>
              <w:pStyle w:val="TableContents"/>
              <w:bidi w:val="0"/>
              <w:spacing w:before="0" w:after="283"/>
              <w:jc w:val="left"/>
              <w:rPr/>
            </w:pPr>
            <w:r>
              <w:rPr/>
              <w:t>12.2.11.</w:t>
            </w:r>
          </w:p>
        </w:tc>
        <w:tc>
          <w:tcPr>
            <w:tcW w:w="8119" w:type="dxa"/>
            <w:tcBorders/>
          </w:tcPr>
          <w:p>
            <w:pPr>
              <w:pStyle w:val="TableContents"/>
              <w:bidi w:val="0"/>
              <w:spacing w:before="0" w:after="0"/>
              <w:jc w:val="left"/>
              <w:rPr>
                <w:rFonts w:ascii="Times New Roman" w:hAnsi="Times New Roman"/>
                <w:sz w:val="20"/>
              </w:rPr>
            </w:pPr>
            <w:r>
              <w:rPr>
                <w:rFonts w:ascii="Times New Roman" w:hAnsi="Times New Roman"/>
                <w:sz w:val="20"/>
              </w:rPr>
              <w:t>such other documents as Seller may be required to deliver to Buyer at Closing hereunder or as may be required to comply with applicable law, or are reasonably required by the Escrow Agent, and/or are usual and customary in transactions of this type</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1"/>
        <w:gridCol w:w="8880"/>
      </w:tblGrid>
      <w:tr>
        <w:trPr/>
        <w:tc>
          <w:tcPr>
            <w:tcW w:w="7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12.3.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 Deliveries</w:t>
            </w:r>
            <w:r>
              <w:rPr>
                <w:rFonts w:ascii="Times New Roman" w:hAnsi="Times New Roman"/>
                <w:sz w:val="20"/>
              </w:rPr>
              <w:t xml:space="preserve">. At the Closing, the Buyer shall deliver to the Escrow Agent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4"/>
        <w:gridCol w:w="8165"/>
      </w:tblGrid>
      <w:tr>
        <w:trPr/>
        <w:tc>
          <w:tcPr>
            <w:tcW w:w="132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12.3.1.</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the Escrow Agent’s instructions, a wire transfer in the amount of the balance of the Purchase Price specified in </w:t>
            </w:r>
            <w:r>
              <w:rPr>
                <w:rFonts w:ascii="Times New Roman" w:hAnsi="Times New Roman"/>
                <w:sz w:val="20"/>
                <w:u w:val="single"/>
              </w:rPr>
              <w:t>Section 2.3</w:t>
            </w:r>
            <w:r>
              <w:rPr>
                <w:rFonts w:ascii="Times New Roman" w:hAnsi="Times New Roman"/>
                <w:sz w:val="20"/>
              </w:rPr>
              <w:t xml:space="preserv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12.3.2.</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Assignment and Acceptance of Intangibles, duly executed by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12.3.3.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concerning representations of Buyer contemplated by </w:t>
            </w:r>
            <w:r>
              <w:rPr>
                <w:rFonts w:ascii="Times New Roman" w:hAnsi="Times New Roman"/>
                <w:sz w:val="20"/>
                <w:u w:val="single"/>
              </w:rPr>
              <w:t>Section 9.3</w:t>
            </w:r>
            <w:r>
              <w:rPr>
                <w:rFonts w:ascii="Times New Roman" w:hAnsi="Times New Roman"/>
                <w:sz w:val="20"/>
              </w:rPr>
              <w:t xml:space="preserve"> above duly executed by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5"/>
        <w:gridCol w:w="8165"/>
      </w:tblGrid>
      <w:tr>
        <w:trPr/>
        <w:tc>
          <w:tcPr>
            <w:tcW w:w="1325"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12.3.4.</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joint settlement statement duly executed by Buyer;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12.3.5.</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documents as Buyer may be required to deliver to Seller at Closing hereunder or as may be required to comply with applicable law and/or are usual and customary in transactions of this type.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13.</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Default / Remedies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13.1.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Limitation</w:t>
            </w:r>
            <w:r>
              <w:rPr>
                <w:rFonts w:ascii="Times New Roman" w:hAnsi="Times New Roman"/>
                <w:sz w:val="20"/>
              </w:rPr>
              <w:t xml:space="preserve">. Seller shall not be entitled to recover any consequential, incidental, punitive, or special damages from Buyer in connection with the breach or default of any term or condition of this Agreement. The provisions of this </w:t>
            </w:r>
            <w:r>
              <w:rPr>
                <w:rFonts w:ascii="Times New Roman" w:hAnsi="Times New Roman"/>
                <w:sz w:val="20"/>
                <w:u w:val="single"/>
              </w:rPr>
              <w:t>Section 13.1</w:t>
            </w:r>
            <w:r>
              <w:rPr>
                <w:rFonts w:ascii="Times New Roman" w:hAnsi="Times New Roman"/>
                <w:sz w:val="20"/>
              </w:rPr>
              <w:t xml:space="preserve"> shall survive the Closing and the delivery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14.</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Brokers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5"/>
        <w:gridCol w:w="8165"/>
      </w:tblGrid>
      <w:tr>
        <w:trPr/>
        <w:tc>
          <w:tcPr>
            <w:tcW w:w="1325"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14.1.1.</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5"/>
        <w:gridCol w:w="8165"/>
      </w:tblGrid>
      <w:tr>
        <w:trPr/>
        <w:tc>
          <w:tcPr>
            <w:tcW w:w="1325" w:type="dxa"/>
            <w:tcBorders/>
            <w:vAlign w:val="center"/>
          </w:tcPr>
          <w:p>
            <w:pPr>
              <w:pStyle w:val="TableContents"/>
              <w:bidi w:val="0"/>
              <w:spacing w:before="0" w:after="283"/>
              <w:jc w:val="left"/>
              <w:rPr/>
            </w:pPr>
            <w:r>
              <w:rPr/>
              <w:t> </w:t>
            </w:r>
          </w:p>
        </w:tc>
        <w:tc>
          <w:tcPr>
            <w:tcW w:w="715" w:type="dxa"/>
            <w:tcBorders/>
          </w:tcPr>
          <w:p>
            <w:pPr>
              <w:pStyle w:val="TableContents"/>
              <w:bidi w:val="0"/>
              <w:spacing w:before="0" w:after="283"/>
              <w:jc w:val="left"/>
              <w:rPr/>
            </w:pPr>
            <w:r>
              <w:rPr/>
              <w:t>14.1.2.</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Seller represents and warrants that it has not dealt with any person in connection with the transaction contemplated hereby that would be entitled to a brokerage commission, finder’s fee, or other similar compensation, except CBRE (the “</w:t>
            </w:r>
            <w:r>
              <w:rPr>
                <w:rFonts w:ascii="Times New Roman" w:hAnsi="Times New Roman"/>
                <w:sz w:val="20"/>
                <w:u w:val="single"/>
              </w:rPr>
              <w:t>Broker</w:t>
            </w:r>
            <w:r>
              <w:rPr>
                <w:rFonts w:ascii="Times New Roman" w:hAnsi="Times New Roman"/>
                <w:sz w:val="20"/>
              </w:rPr>
              <w:t xml:space="preserve">”). The Seller shall indemnify, protect, and save Buyer, and hold Buyer forever harmless, from and against, and reimburse Buyer for, any and all obligations, claims, demands, causes of action, liabilities, losses, damages, judgments, penalties, and costs and expenses (including, without limitation, reasonable attorneys’ fees) which may be imposed upon, asserted against, or incurred or paid by Buyer, or for which Buyer may become obligated or liable, by reason of, on account of, or in connection with a breach of the aforesaid representation and warranty by Seller.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713"/>
        <w:gridCol w:w="8166"/>
      </w:tblGrid>
      <w:tr>
        <w:trPr/>
        <w:tc>
          <w:tcPr>
            <w:tcW w:w="132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14.1.3.</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agree that Seller shall be solely responsible for all commissions due and payable to the Broker in connection with the sale of the Property to the Buyer hereunder pursuant to a separate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714"/>
        <w:gridCol w:w="8166"/>
      </w:tblGrid>
      <w:tr>
        <w:trPr/>
        <w:tc>
          <w:tcPr>
            <w:tcW w:w="132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14.1.4.</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14.1</w:t>
            </w:r>
            <w:r>
              <w:rPr>
                <w:rFonts w:ascii="Times New Roman" w:hAnsi="Times New Roman"/>
                <w:sz w:val="20"/>
              </w:rPr>
              <w:t xml:space="preserve"> shall survive the Closing and the delivery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2"/>
        <w:gridCol w:w="8879"/>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Binding Effect</w:t>
            </w:r>
            <w:r>
              <w:rPr>
                <w:rFonts w:ascii="Times New Roman" w:hAnsi="Times New Roman"/>
                <w:sz w:val="20"/>
              </w:rPr>
              <w:t xml:space="preserve">. This Agreement shall be binding upon and inure to the benefit of the Parties hereto and, to the extent permitted hereby, their respective legal representatives, successors and assigns.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611"/>
        <w:gridCol w:w="8881"/>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Entire Agreement; Modifications</w:t>
            </w:r>
            <w:r>
              <w:rPr>
                <w:rFonts w:ascii="Times New Roman" w:hAnsi="Times New Roman"/>
                <w:sz w:val="20"/>
              </w:rPr>
              <w:t xml:space="preserve">. Except the Access Agreement to the extent applicable, this Agreement embodies the entire agreement between the Parties hereto with respect to the Property and the subject matter hereof, and supersedes any and all prior negotiations, agreements and understandings, written or oral, formal or informal, all of which are deemed to be merged herein. No representations, statements, warranties, covenants, undertakings or promises of Seller or Buyer or any representative or agent of either of them, whether oral, implied or otherwise and whether made before or after the date hereof, shall be considered a part hereof or binding upon such Party unless set forth herein or agreed to by the Parties in writing, nor shall any provision of this Agreement be supplemented, terminated, modified or waived except by a writing signed by both Parties. No modification or amendment to this Agreement of any kind whatsoever, shall be made or claimed by Seller or Buyer, and no notice of any extension, change, modification or amendment made or claimed by Seller or Buyer shall have any force or effect whatsoever unless the same shall have been reduced to writing and executed by Seller and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2"/>
        <w:gridCol w:w="8879"/>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14.4.</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Acceptance of Deed</w:t>
            </w:r>
            <w:r>
              <w:rPr>
                <w:rFonts w:ascii="Times New Roman" w:hAnsi="Times New Roman"/>
                <w:sz w:val="20"/>
              </w:rPr>
              <w:t xml:space="preserve">. The Parties agree that, except to the extent expressly provided herein or by way of a specific agreement in writing which by its terms shall expressly survive the Closing, the delivery by Seller and the acceptance by Buyer of the Deed and the other documents and instruments to be delivered by Seller at the Closing shall be deemed to constitute full compliance by Seller with all of the terms, conditions and covenants of this Agreement on Seller’s part to be performed.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Pronouns</w:t>
            </w:r>
            <w:r>
              <w:rPr>
                <w:rFonts w:ascii="Times New Roman" w:hAnsi="Times New Roman"/>
                <w:sz w:val="20"/>
              </w:rPr>
              <w:t xml:space="preserve">. All pronouns and nouns and any variations thereof shall be deemed to refer to the masculine, feminine or neuter, singular or plural, as the identity of the parties or the context may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Recording</w:t>
            </w:r>
            <w:r>
              <w:rPr>
                <w:rFonts w:ascii="Times New Roman" w:hAnsi="Times New Roman"/>
                <w:sz w:val="20"/>
              </w:rPr>
              <w:t xml:space="preserve">. Subject to federal law, regulation, and guidance, the Buyer agrees not to record or file this Agreement or any notice or memorandum hereof or reference hereto on any public records, including without limitation the Swift County Registry of Deeds. Any such recording or filing shall constitute a default hereunder, and this Agreement shall become void at the option of Seller, which option shall be exercised by Seller by recording or filing notice thereof in such public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1"/>
        <w:gridCol w:w="8880"/>
      </w:tblGrid>
      <w:tr>
        <w:trPr/>
        <w:tc>
          <w:tcPr>
            <w:tcW w:w="7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14.7.</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Applicable Law</w:t>
            </w:r>
            <w:r>
              <w:rPr>
                <w:rFonts w:ascii="Times New Roman" w:hAnsi="Times New Roman"/>
                <w:sz w:val="20"/>
              </w:rPr>
              <w:t xml:space="preserve">. The Buyer is executing this Agreement pursuant to authority under of 6 U.S.C. §§ 202, 251, and 551, and 8 U.S.C. §§ 1226 and 1231. The Property is delivered and subject to the rules and regulations as may be prescribed by the Secretary of the U.S. Department of Homeland Security, the Federal Property and Administrative Services Act, 40 U.S.C. §§ 101–1315, and the Federal Land Policy and Management Act, 43 U.S.C. §§ 1701–1787, provided that Seller is not responsible for compliance with such rules and regulations. Any action brought by either Party with respect to this Agreement shall be brought a federal court of competent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14.8.</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Notices</w:t>
            </w:r>
            <w:r>
              <w:rPr>
                <w:rFonts w:ascii="Times New Roman" w:hAnsi="Times New Roman"/>
                <w:sz w:val="20"/>
              </w:rPr>
              <w:t xml:space="preserve">. Any notice, report, demand, request or other instrument or communication authorized, required or desired to be given under this Agreement by the Buyer or the Seller shall be in writing and delivered by hand, by first class certified mail, postage prepaid, return receipt requested, by express mail or express courier service, or by email, if addressed to the Party intended to receive the same or their attorney, to the address set forth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Seller: </w:t>
      </w:r>
    </w:p>
    <w:p>
      <w:pPr>
        <w:pStyle w:val="TextBody"/>
        <w:bidi w:val="0"/>
        <w:spacing w:before="120" w:after="0"/>
        <w:jc w:val="left"/>
        <w:rPr>
          <w:rFonts w:ascii="Times New Roman" w:hAnsi="Times New Roman"/>
          <w:sz w:val="20"/>
        </w:rPr>
      </w:pPr>
      <w:r>
        <w:rPr>
          <w:rFonts w:ascii="Times New Roman" w:hAnsi="Times New Roman"/>
          <w:sz w:val="20"/>
        </w:rPr>
        <w:t xml:space="preserve">CoreCivic, Inc. </w:t>
      </w:r>
    </w:p>
    <w:p>
      <w:pPr>
        <w:pStyle w:val="TextBody"/>
        <w:bidi w:val="0"/>
        <w:spacing w:before="0" w:after="0"/>
        <w:jc w:val="left"/>
        <w:rPr>
          <w:rFonts w:ascii="Times New Roman" w:hAnsi="Times New Roman"/>
          <w:sz w:val="20"/>
        </w:rPr>
      </w:pPr>
      <w:r>
        <w:rPr>
          <w:rFonts w:ascii="Times New Roman" w:hAnsi="Times New Roman"/>
          <w:sz w:val="20"/>
        </w:rPr>
        <w:t xml:space="preserve">5501 Virginia Way, Suite 110 </w:t>
      </w:r>
    </w:p>
    <w:p>
      <w:pPr>
        <w:pStyle w:val="TextBody"/>
        <w:bidi w:val="0"/>
        <w:spacing w:before="0" w:after="0"/>
        <w:jc w:val="left"/>
        <w:rPr>
          <w:rFonts w:ascii="Times New Roman" w:hAnsi="Times New Roman"/>
          <w:sz w:val="20"/>
        </w:rPr>
      </w:pPr>
      <w:r>
        <w:rPr>
          <w:rFonts w:ascii="Times New Roman" w:hAnsi="Times New Roman"/>
          <w:sz w:val="20"/>
        </w:rPr>
        <w:t xml:space="preserve">Brentwood, TN 37027 </w:t>
      </w:r>
    </w:p>
    <w:p>
      <w:pPr>
        <w:pStyle w:val="TextBody"/>
        <w:bidi w:val="0"/>
        <w:spacing w:before="0" w:after="0"/>
        <w:jc w:val="left"/>
        <w:rPr>
          <w:rFonts w:ascii="Times New Roman" w:hAnsi="Times New Roman"/>
          <w:sz w:val="20"/>
        </w:rPr>
      </w:pPr>
      <w:r>
        <w:rPr>
          <w:rFonts w:ascii="Times New Roman" w:hAnsi="Times New Roman"/>
          <w:sz w:val="20"/>
        </w:rPr>
        <w:t xml:space="preserve">Attention: Erik Rasmussen and Stephen Hargraves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copy to: </w:t>
      </w:r>
    </w:p>
    <w:p>
      <w:pPr>
        <w:pStyle w:val="TextBody"/>
        <w:bidi w:val="0"/>
        <w:spacing w:before="120" w:after="0"/>
        <w:jc w:val="left"/>
        <w:rPr>
          <w:rFonts w:ascii="Times New Roman" w:hAnsi="Times New Roman"/>
          <w:sz w:val="20"/>
        </w:rPr>
      </w:pPr>
      <w:r>
        <w:rPr>
          <w:rFonts w:ascii="Times New Roman" w:hAnsi="Times New Roman"/>
          <w:sz w:val="20"/>
        </w:rPr>
        <w:t xml:space="preserve">Bass Berry &amp; Sims, PLC </w:t>
      </w:r>
    </w:p>
    <w:p>
      <w:pPr>
        <w:pStyle w:val="TextBody"/>
        <w:bidi w:val="0"/>
        <w:spacing w:before="0" w:after="0"/>
        <w:jc w:val="left"/>
        <w:rPr>
          <w:rFonts w:ascii="Times New Roman" w:hAnsi="Times New Roman"/>
          <w:sz w:val="20"/>
        </w:rPr>
      </w:pPr>
      <w:r>
        <w:rPr>
          <w:rFonts w:ascii="Times New Roman" w:hAnsi="Times New Roman"/>
          <w:sz w:val="20"/>
        </w:rPr>
        <w:t xml:space="preserve">21 Platform Way South, Suite 3500 </w:t>
      </w:r>
    </w:p>
    <w:p>
      <w:pPr>
        <w:pStyle w:val="TextBody"/>
        <w:bidi w:val="0"/>
        <w:spacing w:before="0" w:after="0"/>
        <w:jc w:val="left"/>
        <w:rPr>
          <w:rFonts w:ascii="Times New Roman" w:hAnsi="Times New Roman"/>
          <w:sz w:val="20"/>
        </w:rPr>
      </w:pPr>
      <w:r>
        <w:rPr>
          <w:rFonts w:ascii="Times New Roman" w:hAnsi="Times New Roman"/>
          <w:sz w:val="20"/>
        </w:rPr>
        <w:t xml:space="preserve">Nashville, TN 37203 </w:t>
      </w:r>
    </w:p>
    <w:p>
      <w:pPr>
        <w:pStyle w:val="TextBody"/>
        <w:bidi w:val="0"/>
        <w:spacing w:before="0" w:after="0"/>
        <w:jc w:val="left"/>
        <w:rPr>
          <w:rFonts w:ascii="Times New Roman" w:hAnsi="Times New Roman"/>
          <w:sz w:val="20"/>
        </w:rPr>
      </w:pPr>
      <w:r>
        <w:rPr>
          <w:rFonts w:ascii="Times New Roman" w:hAnsi="Times New Roman"/>
          <w:sz w:val="20"/>
        </w:rPr>
        <w:t xml:space="preserve">Attention: Eric Knox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of 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Buyer: </w:t>
      </w:r>
    </w:p>
    <w:p>
      <w:pPr>
        <w:pStyle w:val="TextBody"/>
        <w:bidi w:val="0"/>
        <w:spacing w:before="120" w:after="0"/>
        <w:jc w:val="left"/>
        <w:rPr>
          <w:rFonts w:ascii="Times New Roman" w:hAnsi="Times New Roman"/>
          <w:sz w:val="20"/>
        </w:rPr>
      </w:pPr>
      <w:r>
        <w:rPr>
          <w:rFonts w:ascii="Times New Roman" w:hAnsi="Times New Roman"/>
          <w:sz w:val="20"/>
        </w:rPr>
        <w:t xml:space="preserve">Tamim Chowdhury, Senior Real Estate Contracting Officer, DHS </w:t>
      </w:r>
    </w:p>
    <w:p>
      <w:pPr>
        <w:pStyle w:val="TextBody"/>
        <w:bidi w:val="0"/>
        <w:spacing w:before="0" w:after="0"/>
        <w:jc w:val="left"/>
        <w:rPr>
          <w:rFonts w:ascii="Times New Roman" w:hAnsi="Times New Roman"/>
          <w:sz w:val="20"/>
        </w:rPr>
      </w:pPr>
      <w:r>
        <w:rPr>
          <w:rFonts w:ascii="Times New Roman" w:hAnsi="Times New Roman"/>
          <w:sz w:val="20"/>
        </w:rPr>
        <w:t xml:space="preserve">Facilities Management Division </w:t>
      </w:r>
    </w:p>
    <w:p>
      <w:pPr>
        <w:pStyle w:val="TextBody"/>
        <w:bidi w:val="0"/>
        <w:spacing w:before="0" w:after="0"/>
        <w:jc w:val="left"/>
        <w:rPr>
          <w:rFonts w:ascii="Times New Roman" w:hAnsi="Times New Roman"/>
          <w:sz w:val="20"/>
        </w:rPr>
      </w:pPr>
      <w:r>
        <w:rPr>
          <w:rFonts w:ascii="Times New Roman" w:hAnsi="Times New Roman"/>
          <w:sz w:val="20"/>
        </w:rPr>
        <w:t xml:space="preserve">500 12th Street SW, Suite 3000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20536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copy to: </w:t>
      </w:r>
    </w:p>
    <w:p>
      <w:pPr>
        <w:pStyle w:val="TextBody"/>
        <w:bidi w:val="0"/>
        <w:spacing w:before="120" w:after="0"/>
        <w:jc w:val="left"/>
        <w:rPr>
          <w:rFonts w:ascii="Times New Roman" w:hAnsi="Times New Roman"/>
          <w:sz w:val="20"/>
        </w:rPr>
      </w:pPr>
      <w:r>
        <w:rPr>
          <w:rFonts w:ascii="Times New Roman" w:hAnsi="Times New Roman"/>
          <w:sz w:val="20"/>
        </w:rPr>
        <w:t xml:space="preserve">James Grossmann, SK2, LLC </w:t>
      </w:r>
    </w:p>
    <w:p>
      <w:pPr>
        <w:pStyle w:val="TextBody"/>
        <w:bidi w:val="0"/>
        <w:spacing w:before="0" w:after="0"/>
        <w:jc w:val="left"/>
        <w:rPr>
          <w:rFonts w:ascii="Times New Roman" w:hAnsi="Times New Roman"/>
          <w:sz w:val="20"/>
        </w:rPr>
      </w:pPr>
      <w:r>
        <w:rPr>
          <w:rFonts w:ascii="Times New Roman" w:hAnsi="Times New Roman"/>
          <w:sz w:val="20"/>
        </w:rPr>
        <w:t xml:space="preserve">6163 Chickering Ct. </w:t>
      </w:r>
    </w:p>
    <w:p>
      <w:pPr>
        <w:pStyle w:val="TextBody"/>
        <w:bidi w:val="0"/>
        <w:spacing w:before="0" w:after="0"/>
        <w:jc w:val="left"/>
        <w:rPr>
          <w:rFonts w:ascii="Times New Roman" w:hAnsi="Times New Roman"/>
          <w:sz w:val="20"/>
        </w:rPr>
      </w:pPr>
      <w:r>
        <w:rPr>
          <w:rFonts w:ascii="Times New Roman" w:hAnsi="Times New Roman"/>
          <w:sz w:val="20"/>
        </w:rPr>
        <w:t xml:space="preserve">Nashville, TN 37215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All such notices shall be deemed to have been duly given on (i) the date of receipt if delivered by hand, if sent by express courier service or sent by email (with a confirmation copy sent by first class mail) or (ii) the earlier of the date of receipt and the date of first attempted delivery by the U.S. Postal Service, if transmitted by mail as aforesaid. </w:t>
      </w:r>
    </w:p>
    <w:p>
      <w:pPr>
        <w:pStyle w:val="TextBody"/>
        <w:bidi w:val="0"/>
        <w:spacing w:before="120" w:after="0"/>
        <w:jc w:val="left"/>
        <w:rPr>
          <w:rFonts w:ascii="Times New Roman" w:hAnsi="Times New Roman"/>
          <w:sz w:val="20"/>
        </w:rPr>
      </w:pPr>
      <w:r>
        <w:rPr>
          <w:rFonts w:ascii="Times New Roman" w:hAnsi="Times New Roman"/>
          <w:sz w:val="20"/>
        </w:rPr>
        <w:t xml:space="preserve">Either Party may change the address to which any such notice, report, demand, request or other instrument or communication to such Party is to be delivered or mailed, by giving written notice of such change to the other parties, but no such notice of change shall be effective unless and until received by such other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14.9.</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Calculation of Time</w:t>
            </w:r>
            <w:r>
              <w:rPr>
                <w:rFonts w:ascii="Times New Roman" w:hAnsi="Times New Roman"/>
                <w:sz w:val="20"/>
              </w:rPr>
              <w:t>. Whenever in this Agreement a period of time is stated as a number of days, it shall be construed to mean calendar days; provided, however, that when any period of time so stated would end on a Saturday, Sunday or legal holiday, such period shall be deemed to end on the next day following that is not a Saturday, Sunday or legal holiday (such day that is not a Saturday, Sunday or legal holiday, a “</w:t>
            </w:r>
            <w:r>
              <w:rPr>
                <w:rFonts w:ascii="Times New Roman" w:hAnsi="Times New Roman"/>
                <w:sz w:val="20"/>
                <w:u w:val="single"/>
              </w:rPr>
              <w:t>Business Day</w:t>
            </w:r>
            <w:r>
              <w:rPr>
                <w:rFonts w:ascii="Times New Roman" w:hAnsi="Times New Roman"/>
                <w:sz w:val="20"/>
              </w:rPr>
              <w:t xml:space="preserve">”). Time is of the essence as to all dates and times specified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14.10.</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Expenses</w:t>
            </w:r>
            <w:r>
              <w:rPr>
                <w:rFonts w:ascii="Times New Roman" w:hAnsi="Times New Roman"/>
                <w:sz w:val="20"/>
              </w:rPr>
              <w:t xml:space="preserve">. If any action is brought to enforce or interpret any provision of this Agreement, then, consistent with federal law and only pursuant to an order of a federal court of competent jurisdiction, the prevailing Party in such action may seek to recover the reasonable legal fees and expenses incurred in connection with such action. The provisions of this </w:t>
            </w:r>
            <w:r>
              <w:rPr>
                <w:rFonts w:ascii="Times New Roman" w:hAnsi="Times New Roman"/>
                <w:sz w:val="20"/>
                <w:u w:val="single"/>
              </w:rPr>
              <w:t>Section 14.10</w:t>
            </w:r>
            <w:r>
              <w:rPr>
                <w:rFonts w:ascii="Times New Roman" w:hAnsi="Times New Roman"/>
                <w:sz w:val="20"/>
              </w:rPr>
              <w:t xml:space="preserve"> shall survive the Closing and the delivery and recording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Waivers; Extensions</w:t>
            </w:r>
            <w:r>
              <w:rPr>
                <w:rFonts w:ascii="Times New Roman" w:hAnsi="Times New Roman"/>
                <w:sz w:val="20"/>
              </w:rPr>
              <w:t xml:space="preserve">. No waiver of any breach of any agreement or provision herein contained shall be deemed a waiver of any preceding or succeeding breach thereof or of any other agreement or provision herein contained. No extension of time for the performance of any obligation or act shall be deemed an extension of time for the performance of any other obligation or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Exhibits and Schedules</w:t>
            </w:r>
            <w:r>
              <w:rPr>
                <w:rFonts w:ascii="Times New Roman" w:hAnsi="Times New Roman"/>
                <w:sz w:val="20"/>
              </w:rPr>
              <w:t xml:space="preserve">. All exhibits and schedules to this Agreement are hereby incorporated by this reference into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Counterparts; Captions</w:t>
            </w:r>
            <w:r>
              <w:rPr>
                <w:rFonts w:ascii="Times New Roman" w:hAnsi="Times New Roman"/>
                <w:sz w:val="20"/>
              </w:rPr>
              <w:t xml:space="preserve">. This Agreement may be executed in counterparts, each of which shall be deemed an original. Signatures of this Agreement transmitted by electronic mail (*.pdf or similar file types) shall be valid and effective to bind the Party so signing. The captions contained in this Agreement are for convenience of reference only and shall not affect the construction to be given to any of the provisions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2"/>
        <w:gridCol w:w="8879"/>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14.15.</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Insurance Obligation</w:t>
            </w:r>
            <w:r>
              <w:rPr>
                <w:rFonts w:ascii="Times New Roman" w:hAnsi="Times New Roman"/>
                <w:sz w:val="20"/>
              </w:rPr>
              <w:t xml:space="preserve">. Seller hereby agrees that, until the Closing, Seller shall maintain insurance on the Property with limits of coverage equal to the full replacement value of the Building. All risk of loss shall remain with Seller until the Deed is delivered and recorded.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14.17.</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RESERVED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14.18.</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Title and Practice Standards</w:t>
            </w:r>
            <w:r>
              <w:rPr>
                <w:rFonts w:ascii="Times New Roman" w:hAnsi="Times New Roman"/>
                <w:sz w:val="20"/>
              </w:rPr>
              <w:t xml:space="preserve">. Any matter arising under or related to this Agreement shall be governed by The Regulations of the Attorney General Governing the Review and Approval of Title for Federal Land Acquisitions (2016) (DOJ Title Standards), and to the extent such laws and practice standards are not superseded by or conflict with the DOJ Title Standards or Federal law, the laws and practice standards of the State of Minnesota.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14.19.</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Personal Liability</w:t>
            </w:r>
            <w:r>
              <w:rPr>
                <w:rFonts w:ascii="Times New Roman" w:hAnsi="Times New Roman"/>
                <w:sz w:val="20"/>
              </w:rPr>
              <w:t xml:space="preserve">. Subject to any applicable federal or state law, no trustee, beneficiary, shareholder, officer, director, representative, or agent of Seller or Buyer nor any person or entity in any way affiliated with Seller or Buyer shall have any personal liability with respect to this Agreement, any instrument delivered by such Party at Closing, or the transaction contemplated hereby, nor shall the property of any such person or entity be subject to attachment, levy, execution or other judicial process. The provisions of this </w:t>
            </w:r>
            <w:r>
              <w:rPr>
                <w:rFonts w:ascii="Times New Roman" w:hAnsi="Times New Roman"/>
                <w:sz w:val="20"/>
                <w:u w:val="single"/>
              </w:rPr>
              <w:t>Section 14.19</w:t>
            </w:r>
            <w:r>
              <w:rPr>
                <w:rFonts w:ascii="Times New Roman" w:hAnsi="Times New Roman"/>
                <w:sz w:val="20"/>
              </w:rPr>
              <w:t xml:space="preserve"> shall survive the Closing and the delivery and recording of the Deed or any expiration or termination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14.20.</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Escrow Agent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1"/>
        <w:gridCol w:w="761"/>
        <w:gridCol w:w="8133"/>
      </w:tblGrid>
      <w:tr>
        <w:trPr/>
        <w:tc>
          <w:tcPr>
            <w:tcW w:w="1311" w:type="dxa"/>
            <w:tcBorders/>
            <w:vAlign w:val="center"/>
          </w:tcPr>
          <w:p>
            <w:pPr>
              <w:pStyle w:val="TableContents"/>
              <w:bidi w:val="0"/>
              <w:spacing w:before="0" w:after="283"/>
              <w:jc w:val="left"/>
              <w:rPr/>
            </w:pPr>
            <w:r>
              <w:rPr/>
              <w:t> </w:t>
            </w:r>
          </w:p>
        </w:tc>
        <w:tc>
          <w:tcPr>
            <w:tcW w:w="761" w:type="dxa"/>
            <w:tcBorders/>
          </w:tcPr>
          <w:p>
            <w:pPr>
              <w:pStyle w:val="TableContents"/>
              <w:bidi w:val="0"/>
              <w:spacing w:before="0" w:after="283"/>
              <w:jc w:val="left"/>
              <w:rPr/>
            </w:pPr>
            <w:r>
              <w:rPr/>
              <w:t>14.20.1.</w:t>
            </w:r>
          </w:p>
        </w:tc>
        <w:tc>
          <w:tcPr>
            <w:tcW w:w="8133"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Obligations</w:t>
            </w:r>
            <w:r>
              <w:rPr>
                <w:rFonts w:ascii="Times New Roman" w:hAnsi="Times New Roman"/>
                <w:sz w:val="20"/>
              </w:rPr>
              <w:t xml:space="preserve">. The Escrow Agent undertakes to perform only such duties as are expressly set forth in this Agreement and shall have no implied duties or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1"/>
        <w:gridCol w:w="763"/>
        <w:gridCol w:w="8131"/>
      </w:tblGrid>
      <w:tr>
        <w:trPr/>
        <w:tc>
          <w:tcPr>
            <w:tcW w:w="1311" w:type="dxa"/>
            <w:tcBorders/>
            <w:vAlign w:val="center"/>
          </w:tcPr>
          <w:p>
            <w:pPr>
              <w:pStyle w:val="TableContents"/>
              <w:bidi w:val="0"/>
              <w:spacing w:before="0" w:after="283"/>
              <w:jc w:val="left"/>
              <w:rPr/>
            </w:pPr>
            <w:r>
              <w:rPr/>
              <w:t> </w:t>
            </w:r>
          </w:p>
        </w:tc>
        <w:tc>
          <w:tcPr>
            <w:tcW w:w="763" w:type="dxa"/>
            <w:tcBorders/>
          </w:tcPr>
          <w:p>
            <w:pPr>
              <w:pStyle w:val="TableContents"/>
              <w:bidi w:val="0"/>
              <w:spacing w:before="0" w:after="283"/>
              <w:jc w:val="left"/>
              <w:rPr/>
            </w:pPr>
            <w:r>
              <w:rPr/>
              <w:t>14.20.2.</w:t>
            </w:r>
          </w:p>
        </w:tc>
        <w:tc>
          <w:tcPr>
            <w:tcW w:w="813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Reliance</w:t>
            </w:r>
            <w:r>
              <w:rPr>
                <w:rFonts w:ascii="Times New Roman" w:hAnsi="Times New Roman"/>
                <w:sz w:val="20"/>
              </w:rPr>
              <w:t xml:space="preserve">. The Escrow Agent may act in reliance upon any writing or instrument or signature which it, in good faith, believes to be genuine, and any statement or assertion contained in such writing or instrument, and may assume that any person purporting to give any writing, notice, advice or instrument in connection with the provisions of this Agreement has been duly authorized to do so. The Escrow Agent shall not be liable in any manner for the sufficiency or correctness as to form, manner and execution, or validity of any instrument deposited in escrow, nor as to the identity, authority, or right of any person executing the same, and the Escrow Agent’s duties under this Agreement shall be limited to those provided in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02"/>
        <w:gridCol w:w="771"/>
        <w:gridCol w:w="8132"/>
      </w:tblGrid>
      <w:tr>
        <w:trPr/>
        <w:tc>
          <w:tcPr>
            <w:tcW w:w="1302" w:type="dxa"/>
            <w:tcBorders/>
            <w:vAlign w:val="center"/>
          </w:tcPr>
          <w:p>
            <w:pPr>
              <w:pStyle w:val="TableContents"/>
              <w:bidi w:val="0"/>
              <w:spacing w:before="0" w:after="283"/>
              <w:jc w:val="left"/>
              <w:rPr/>
            </w:pPr>
            <w:r>
              <w:rPr/>
              <w:t> </w:t>
            </w:r>
          </w:p>
        </w:tc>
        <w:tc>
          <w:tcPr>
            <w:tcW w:w="771" w:type="dxa"/>
            <w:tcBorders/>
          </w:tcPr>
          <w:p>
            <w:pPr>
              <w:pStyle w:val="TableContents"/>
              <w:bidi w:val="0"/>
              <w:spacing w:before="0" w:after="283"/>
              <w:jc w:val="left"/>
              <w:rPr/>
            </w:pPr>
            <w:r>
              <w:rPr/>
              <w:t>14.20.3.</w:t>
            </w:r>
          </w:p>
        </w:tc>
        <w:tc>
          <w:tcPr>
            <w:tcW w:w="8132"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Indemnification</w:t>
            </w:r>
            <w:r>
              <w:rPr>
                <w:rFonts w:ascii="Times New Roman" w:hAnsi="Times New Roman"/>
                <w:sz w:val="20"/>
              </w:rPr>
              <w:t xml:space="preserve">. Unless the Escrow Agent discharges any of its duties under this Agreement in a grossly negligent manner, or is guilty of willful misconduct with regard to its duties under this Agreement, Seller shall indemnify the Escrow Agent and hold it harmless from any and all claims, liabilities, losses, actions, suits or proceedings at law or in equity, or other expenses, fees, or charges of any character or nature, which it may incur or with which it may be threatened by reason of its acting as the Escrow Agent under this Agreement; and in such connection Seller shall indemnify Escrow Agent against any and all expenses including reasonable attorneys’ fees and the cost of defending any action, suit or proceeding or resisting any claim in such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2"/>
        <w:gridCol w:w="754"/>
        <w:gridCol w:w="8139"/>
      </w:tblGrid>
      <w:tr>
        <w:trPr/>
        <w:tc>
          <w:tcPr>
            <w:tcW w:w="1312" w:type="dxa"/>
            <w:tcBorders/>
            <w:vAlign w:val="center"/>
          </w:tcPr>
          <w:p>
            <w:pPr>
              <w:pStyle w:val="TableContents"/>
              <w:bidi w:val="0"/>
              <w:spacing w:before="0" w:after="283"/>
              <w:jc w:val="left"/>
              <w:rPr/>
            </w:pPr>
            <w:r>
              <w:rPr/>
              <w:t> </w:t>
            </w:r>
          </w:p>
        </w:tc>
        <w:tc>
          <w:tcPr>
            <w:tcW w:w="754" w:type="dxa"/>
            <w:tcBorders/>
          </w:tcPr>
          <w:p>
            <w:pPr>
              <w:pStyle w:val="TableContents"/>
              <w:bidi w:val="0"/>
              <w:spacing w:before="0" w:after="283"/>
              <w:jc w:val="left"/>
              <w:rPr/>
            </w:pPr>
            <w:r>
              <w:rPr/>
              <w:t>14.20.4.</w:t>
            </w:r>
          </w:p>
        </w:tc>
        <w:tc>
          <w:tcPr>
            <w:tcW w:w="813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Disputes</w:t>
            </w:r>
            <w:r>
              <w:rPr>
                <w:rFonts w:ascii="Times New Roman" w:hAnsi="Times New Roman"/>
                <w:sz w:val="20"/>
              </w:rPr>
              <w:t xml:space="preserve">. If the Parties (including the Escrow Agent) disagree about the interpretation of this Agreement, or about their respective rights and obligations, or the propriety of any action contemplated by the Escrow Agent, or the application of the Closing Proceeds, the Escrow Agent shall hold any Deposit or the Closing Proceeds until the receipt of (i) written instructions from both the Buyer and the Seller or (ii) a final order of a federal court of competent jurisdiction. The Escrow Agent may, but shall not be required to, file an action in interpleader to resolve the disagreement. The Escrow Agent shall be indemnified by Seller for all costs and reasonable attorneys’ fees in its capacity as the Escrow Agent in connection with any such interpleader action and shall be fully protected in suspending all or part of its activities under this Agreement until a final judgment in the interpleader action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2"/>
        <w:gridCol w:w="754"/>
        <w:gridCol w:w="8139"/>
      </w:tblGrid>
      <w:tr>
        <w:trPr/>
        <w:tc>
          <w:tcPr>
            <w:tcW w:w="1312" w:type="dxa"/>
            <w:tcBorders/>
            <w:vAlign w:val="center"/>
          </w:tcPr>
          <w:p>
            <w:pPr>
              <w:pStyle w:val="TableContents"/>
              <w:bidi w:val="0"/>
              <w:spacing w:before="0" w:after="283"/>
              <w:jc w:val="left"/>
              <w:rPr/>
            </w:pPr>
            <w:r>
              <w:rPr/>
              <w:t> </w:t>
            </w:r>
          </w:p>
        </w:tc>
        <w:tc>
          <w:tcPr>
            <w:tcW w:w="754" w:type="dxa"/>
            <w:tcBorders/>
          </w:tcPr>
          <w:p>
            <w:pPr>
              <w:pStyle w:val="TableContents"/>
              <w:bidi w:val="0"/>
              <w:spacing w:before="0" w:after="283"/>
              <w:jc w:val="left"/>
              <w:rPr/>
            </w:pPr>
            <w:r>
              <w:rPr/>
              <w:t>14.20.5</w:t>
            </w:r>
          </w:p>
        </w:tc>
        <w:tc>
          <w:tcPr>
            <w:tcW w:w="813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Survival</w:t>
            </w:r>
            <w:r>
              <w:rPr>
                <w:rFonts w:ascii="Times New Roman" w:hAnsi="Times New Roman"/>
                <w:sz w:val="20"/>
              </w:rPr>
              <w:t xml:space="preserve">. The provision of this </w:t>
            </w:r>
            <w:r>
              <w:rPr>
                <w:rFonts w:ascii="Times New Roman" w:hAnsi="Times New Roman"/>
                <w:sz w:val="20"/>
                <w:u w:val="single"/>
              </w:rPr>
              <w:t>Section 14.20</w:t>
            </w:r>
            <w:r>
              <w:rPr>
                <w:rFonts w:ascii="Times New Roman" w:hAnsi="Times New Roman"/>
                <w:sz w:val="20"/>
              </w:rPr>
              <w:t xml:space="preserve"> shall survive the Closing and the delivery and recording of the Deed or any expiration or termination of this Agreement for a period of two (2)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09"/>
        <w:gridCol w:w="758"/>
        <w:gridCol w:w="8138"/>
      </w:tblGrid>
      <w:tr>
        <w:trPr/>
        <w:tc>
          <w:tcPr>
            <w:tcW w:w="1309" w:type="dxa"/>
            <w:tcBorders/>
            <w:vAlign w:val="center"/>
          </w:tcPr>
          <w:p>
            <w:pPr>
              <w:pStyle w:val="TableContents"/>
              <w:bidi w:val="0"/>
              <w:spacing w:before="0" w:after="283"/>
              <w:jc w:val="left"/>
              <w:rPr/>
            </w:pPr>
            <w:r>
              <w:rPr/>
              <w:t> </w:t>
            </w:r>
          </w:p>
        </w:tc>
        <w:tc>
          <w:tcPr>
            <w:tcW w:w="758" w:type="dxa"/>
            <w:tcBorders/>
          </w:tcPr>
          <w:p>
            <w:pPr>
              <w:pStyle w:val="TableContents"/>
              <w:bidi w:val="0"/>
              <w:spacing w:before="0" w:after="283"/>
              <w:jc w:val="left"/>
              <w:rPr/>
            </w:pPr>
            <w:r>
              <w:rPr/>
              <w:t>14.20.6</w:t>
            </w:r>
          </w:p>
        </w:tc>
        <w:tc>
          <w:tcPr>
            <w:tcW w:w="813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Financial Transparency</w:t>
            </w:r>
            <w:r>
              <w:rPr>
                <w:rFonts w:ascii="Times New Roman" w:hAnsi="Times New Roman"/>
                <w:sz w:val="20"/>
              </w:rPr>
              <w:t xml:space="preserve">. Parties agree and consent to the escrow company sharing the Buyer’s and Seller’s settlement statement information with both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2"/>
        <w:gridCol w:w="8879"/>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Waiver of Jury Trial</w:t>
            </w:r>
            <w:r>
              <w:rPr>
                <w:rFonts w:ascii="Times New Roman" w:hAnsi="Times New Roman"/>
                <w:sz w:val="20"/>
              </w:rPr>
              <w:t xml:space="preserve">. The Seller shall and hereby does waive trial by jury in any action, proceeding or counterclaim brought by either of the Parties hereto against the other on any matters whatsoever arising out of or in any way connected with this Agreement, or for the enforcement of any remedy under any statute, emergency or otherwise.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of 22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Counsel</w:t>
            </w:r>
            <w:r>
              <w:rPr>
                <w:rFonts w:ascii="Times New Roman" w:hAnsi="Times New Roman"/>
                <w:sz w:val="20"/>
              </w:rPr>
              <w:t xml:space="preserve">. Buyer and Seller hereby acknowledge that they have been offered the opportunity to seek and confer with qualified legal counsel of their choice prior to signing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3"/>
        <w:gridCol w:w="8879"/>
      </w:tblGrid>
      <w:tr>
        <w:trPr/>
        <w:tc>
          <w:tcPr>
            <w:tcW w:w="713"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14.23.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Authorization</w:t>
            </w:r>
            <w:r>
              <w:rPr>
                <w:rFonts w:ascii="Times New Roman" w:hAnsi="Times New Roman"/>
                <w:sz w:val="20"/>
              </w:rPr>
              <w:t xml:space="preserve">. By executing this Agreement, Buyer and Seller authorize their respective attorneys to execute, on their behalf, any and all extensions in connection with this Agreement, including, but not limited to, extensions for completion of any and all Inspections and/or extensions for the date of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Confidentiality</w:t>
            </w:r>
            <w:r>
              <w:rPr>
                <w:rFonts w:ascii="Times New Roman" w:hAnsi="Times New Roman"/>
                <w:sz w:val="20"/>
              </w:rPr>
              <w:t>. Subject to applicable law, including any federal law and federal rules or regulations (which shall include federal securities laws, rules or regulations), any stock exchange rule or regulation, or written formal federal guidance of general applicability, Buyer and Seller agree that they shall not disclose the terms of this Agreement, or Buyer’s interest in the Property, to any person or entity other than to their respective attorneys, business consultants, and accountants and any and all persons and entities that Buyer may consult in conducting its due diligence and thereafter as Buyer deems necessary in connection with its purchase of the Property, except as may be approved in writing in advance by the other party in each instance, or as may be ordered by a federal court of competent jurisdiction. In addition to the foregoing, and subject to applicable law, including federal law and federal rules or regulations (which shall include federal securities laws, rules or regulations), any stock exchange rule or regulation, or written formal federal guidance of general applicability, in no event shall Buyer disclose the identity of Seller or any of its affiliates without Seller’s prior written consent. For the avoidance of doubt and notwithstanding anything to the contrary in this Agreement, Seller (and its affiliates) may, without Buyer’s prior consent, (i) file a Current Report on Form 8-K and any exhibits (including this Agreement) and make any other filings or disclosures with the U.S. Securities and Exchange Commission (the “</w:t>
            </w:r>
            <w:r>
              <w:rPr>
                <w:rFonts w:ascii="Times New Roman" w:hAnsi="Times New Roman"/>
                <w:sz w:val="20"/>
                <w:u w:val="single"/>
              </w:rPr>
              <w:t>SEC</w:t>
            </w:r>
            <w:r>
              <w:rPr>
                <w:rFonts w:ascii="Times New Roman" w:hAnsi="Times New Roman"/>
                <w:sz w:val="20"/>
              </w:rPr>
              <w:t xml:space="preserve">”) or any other regulatory authority (including any stock exchange) to the extent Seller determines that such filing or disclosure is required, necessary or advisable, and (ii) make public statements consistent with any such filing or disclosure (including via press release).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611"/>
        <w:gridCol w:w="8880"/>
      </w:tblGrid>
      <w:tr>
        <w:trPr/>
        <w:tc>
          <w:tcPr>
            <w:tcW w:w="7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14.25.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Buyer’s Remedies</w:t>
            </w:r>
            <w:r>
              <w:rPr>
                <w:rFonts w:ascii="Times New Roman" w:hAnsi="Times New Roman"/>
                <w:sz w:val="20"/>
              </w:rPr>
              <w:t xml:space="preserve">. In the event the Agreement is terminated by Seller prior to Closing, Buyer shall be entitled to pursue the same remedies against the Seller as it could pursue in the event of breach of the Agreement by the Seller, but in no event shall Seller’s monetary liability exceed $200,000.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Seller Representations.</w:t>
            </w:r>
            <w:r>
              <w:rPr>
                <w:rFonts w:ascii="Times New Roman" w:hAnsi="Times New Roman"/>
                <w:sz w:val="20"/>
              </w:rPr>
              <w:t xml:space="preserve"> The Seller represents and it is a condition of acceptance of this offer that no member or delegate to Congress, or resident commissioner, shall be admitted to or share any part of this Agreement, or to any benefits that may arise there from; but this provision shall not be construed to extend to any agreement if made with a corporation or other legal entity for its general benefit.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14.27.</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Displaced Person Status</w:t>
            </w:r>
            <w:r>
              <w:rPr>
                <w:rFonts w:ascii="Times New Roman" w:hAnsi="Times New Roman"/>
                <w:sz w:val="20"/>
              </w:rPr>
              <w:t xml:space="preserve">. The Seller agrees that Seller is not a “displaced person” as that term is defined by the Uniform Relocation Assistance and Real Property Acquisition Policies Act, 42 U.S.C. §§ 4602 </w:t>
            </w:r>
            <w:r>
              <w:rPr>
                <w:rFonts w:ascii="Times New Roman" w:hAnsi="Times New Roman"/>
                <w:i/>
                <w:sz w:val="20"/>
              </w:rPr>
              <w:t>et seq</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88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14.28</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Gratuities</w:t>
            </w:r>
            <w:r>
              <w:rPr>
                <w:rFonts w:ascii="Times New Roman" w:hAnsi="Times New Roman"/>
                <w:sz w:val="20"/>
              </w:rPr>
              <w:t xml:space="preserve">. The Buyer may, by written notice to the Seller, terminate the right of the Seller to proceed under this Agreement if it is found, after notice and hearing, by the Secretary of the U.S. Department of Homeland Security or her duly authorized representative, that gratuities (in the form of entertainment, gifts, or otherwise) were offered or given by the Seller, or any agent or representative of the Seller, to any officer or employee of the Buyer with a view toward securing this Agreement, or favorable treatment with respect to the awarding or amending of this Agreement, or the making of any determinations with respect to the performing of such agreement: Provided, that the existence of the facts upon which the Secretary or her duly authorized representative makes such findings shall be in issue and may be reviewed by any competent court.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of 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an instrument under seal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SELLER:</w:t>
            </w:r>
          </w:p>
          <w:p>
            <w:pPr>
              <w:pStyle w:val="TableContents"/>
              <w:bidi w:val="0"/>
              <w:spacing w:before="0" w:after="0"/>
              <w:jc w:val="left"/>
              <w:rPr>
                <w:rFonts w:ascii="Times New Roman" w:hAnsi="Times New Roman"/>
                <w:sz w:val="20"/>
              </w:rPr>
            </w:pPr>
            <w:r>
              <w:rPr>
                <w:rFonts w:ascii="Times New Roman" w:hAnsi="Times New Roman"/>
                <w:b/>
                <w:sz w:val="20"/>
              </w:rPr>
              <w:t>CORECIVIC, INC.</w:t>
            </w: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 Maryland corporation</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Lucibeth Mayberry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Name: Lucibeth Mayberry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Title: Executive Vice President &amp; Chief Strategy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BUYER: UNITED STATES AND ITS ASSIGNS, BY AND THROUGH THE DEPARTMENT OF HOMELAND SECURITY</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Tamim Chowdhury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Tamim Chowdhury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tcPr>
          <w:p>
            <w:pPr>
              <w:pStyle w:val="TableContents"/>
              <w:bidi w:val="0"/>
              <w:spacing w:before="0" w:after="283"/>
              <w:jc w:val="left"/>
              <w:rPr/>
            </w:pPr>
            <w:r>
              <w:rPr/>
              <w:t>Senior Real Estate Contracting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Escrow Agent is executing this Agreement only for the purpose of acknowledging and agreeing to be bound by the provisions of </w:t>
      </w:r>
      <w:r>
        <w:rPr>
          <w:rFonts w:ascii="Times New Roman" w:hAnsi="Times New Roman"/>
          <w:sz w:val="20"/>
          <w:u w:val="single"/>
        </w:rPr>
        <w:t>Section 14.20</w:t>
      </w:r>
      <w:r>
        <w:rPr>
          <w:rFonts w:ascii="Times New Roman" w:hAnsi="Times New Roman"/>
          <w:sz w:val="20"/>
        </w:rPr>
        <w:t xml:space="preserv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65"/>
        <w:gridCol w:w="60"/>
        <w:gridCol w:w="3157"/>
      </w:tblGrid>
      <w:tr>
        <w:trPr/>
        <w:tc>
          <w:tcPr>
            <w:tcW w:w="8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Chicago</w:t>
            </w:r>
          </w:p>
        </w:tc>
        <w:tc>
          <w:tcPr>
            <w:tcW w:w="60"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center"/>
              <w:rPr/>
            </w:pPr>
            <w:r>
              <w:rPr/>
              <w:t>Title Insurance Company</w:t>
            </w:r>
          </w:p>
        </w:tc>
      </w:tr>
      <w:tr>
        <w:trPr>
          <w:trHeight w:val="240" w:hRule="atLeast"/>
        </w:trPr>
        <w:tc>
          <w:tcPr>
            <w:tcW w:w="865" w:type="dxa"/>
            <w:tcBorders/>
            <w:vAlign w:val="center"/>
          </w:tcPr>
          <w:p>
            <w:pPr>
              <w:pStyle w:val="TableContents"/>
              <w:bidi w:val="0"/>
              <w:spacing w:before="0" w:after="283"/>
              <w:jc w:val="left"/>
              <w:rPr>
                <w:sz w:val="4"/>
                <w:szCs w:val="4"/>
              </w:rPr>
            </w:pPr>
            <w:r>
              <w:rPr>
                <w:sz w:val="4"/>
                <w:szCs w:val="4"/>
              </w:rPr>
            </w:r>
          </w:p>
        </w:tc>
        <w:tc>
          <w:tcPr>
            <w:tcW w:w="3217" w:type="dxa"/>
            <w:gridSpan w:val="2"/>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Chen</w:t>
            </w:r>
          </w:p>
        </w:tc>
      </w:tr>
      <w:tr>
        <w:trPr/>
        <w:tc>
          <w:tcPr>
            <w:tcW w:w="8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left"/>
              <w:rPr/>
            </w:pPr>
            <w:r>
              <w:rPr/>
              <w:t>Name: Jennifer Chen</w:t>
            </w:r>
          </w:p>
        </w:tc>
      </w:tr>
      <w:tr>
        <w:trPr/>
        <w:tc>
          <w:tcPr>
            <w:tcW w:w="86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left"/>
              <w:rPr/>
            </w:pPr>
            <w:r>
              <w:rPr/>
              <w:t>Title: VP/Senior Escrow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of 22 </w:t>
      </w:r>
    </w:p>
    <w:p>
      <w:pPr>
        <w:pStyle w:val="TextBody"/>
        <w:bidi w:val="0"/>
        <w:spacing w:before="0" w:after="0"/>
        <w:jc w:val="right"/>
        <w:rPr>
          <w:rFonts w:ascii="Times New Roman" w:hAnsi="Times New Roman"/>
          <w:sz w:val="20"/>
        </w:rPr>
      </w:pPr>
      <w:bookmarkStart w:id="6" w:name="d174637dex991.htm"/>
      <w:bookmarkStart w:id="7" w:name="ksd174637dex991"/>
      <w:bookmarkEnd w:id="6"/>
      <w:bookmarkEnd w:id="7"/>
      <w:r>
        <w:rPr>
          <w:rFonts w:ascii="Times New Roman" w:hAnsi="Times New Roman"/>
          <w:b/>
          <w:sz w:val="20"/>
        </w:rPr>
        <w:t>Exhibit 99.1</w:t>
      </w:r>
      <w:r>
        <w:rPr>
          <w:rFonts w:ascii="Times New Roman" w:hAnsi="Times New Roman"/>
          <w:sz w:val="20"/>
        </w:rPr>
        <w:t xml:space="preserve">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48"/>
        <w:gridCol w:w="120"/>
        <w:gridCol w:w="5237"/>
      </w:tblGrid>
      <w:tr>
        <w:trPr/>
        <w:tc>
          <w:tcPr>
            <w:tcW w:w="48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237" w:type="dxa"/>
            <w:tcBorders/>
            <w:vAlign w:val="center"/>
          </w:tcPr>
          <w:p>
            <w:pPr>
              <w:pStyle w:val="TableContents"/>
              <w:bidi w:val="0"/>
              <w:spacing w:before="0" w:after="283"/>
              <w:jc w:val="left"/>
              <w:rPr>
                <w:sz w:val="4"/>
                <w:szCs w:val="4"/>
              </w:rPr>
            </w:pPr>
            <w:r>
              <w:rPr>
                <w:sz w:val="4"/>
                <w:szCs w:val="4"/>
              </w:rPr>
            </w:r>
          </w:p>
        </w:tc>
      </w:tr>
      <w:tr>
        <w:trPr/>
        <w:tc>
          <w:tcPr>
            <w:tcW w:w="4848" w:type="dxa"/>
            <w:tcBorders/>
          </w:tcPr>
          <w:p>
            <w:pPr>
              <w:pStyle w:val="TableContents"/>
              <w:bidi w:val="0"/>
              <w:spacing w:before="0" w:after="283"/>
              <w:jc w:val="left"/>
              <w:rPr/>
            </w:pPr>
            <w:r>
              <w:rPr/>
              <w:t>News Release</w:t>
            </w:r>
          </w:p>
        </w:tc>
        <w:tc>
          <w:tcPr>
            <w:tcW w:w="120" w:type="dxa"/>
            <w:tcBorders/>
            <w:vAlign w:val="bottom"/>
          </w:tcPr>
          <w:p>
            <w:pPr>
              <w:pStyle w:val="TableContents"/>
              <w:bidi w:val="0"/>
              <w:spacing w:before="0" w:after="283"/>
              <w:jc w:val="left"/>
              <w:rPr/>
            </w:pPr>
            <w:r>
              <w:rPr/>
              <w:t>  </w:t>
            </w:r>
          </w:p>
        </w:tc>
        <w:tc>
          <w:tcPr>
            <w:tcW w:w="5237" w:type="dxa"/>
            <w:tcBorders/>
          </w:tcPr>
          <w:p>
            <w:pPr>
              <w:pStyle w:val="TableContents"/>
              <w:bidi w:val="0"/>
              <w:spacing w:before="0" w:after="283"/>
              <w:jc w:val="right"/>
              <w:rPr/>
            </w:pPr>
            <w:r>
              <w:rPr/>
              <w:drawing>
                <wp:inline distT="0" distB="0" distL="0" distR="0">
                  <wp:extent cx="215265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4000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8"/>
        <w:gridCol w:w="225"/>
        <w:gridCol w:w="9202"/>
      </w:tblGrid>
      <w:tr>
        <w:trPr/>
        <w:tc>
          <w:tcPr>
            <w:tcW w:w="778"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9202" w:type="dxa"/>
            <w:tcBorders/>
            <w:vAlign w:val="center"/>
          </w:tcPr>
          <w:p>
            <w:pPr>
              <w:pStyle w:val="TableContents"/>
              <w:bidi w:val="0"/>
              <w:spacing w:before="0" w:after="283"/>
              <w:jc w:val="left"/>
              <w:rPr>
                <w:sz w:val="4"/>
                <w:szCs w:val="4"/>
              </w:rPr>
            </w:pPr>
            <w:r>
              <w:rPr>
                <w:sz w:val="4"/>
                <w:szCs w:val="4"/>
              </w:rPr>
            </w:r>
          </w:p>
        </w:tc>
      </w:tr>
      <w:tr>
        <w:trPr/>
        <w:tc>
          <w:tcPr>
            <w:tcW w:w="778" w:type="dxa"/>
            <w:tcBorders/>
          </w:tcPr>
          <w:p>
            <w:pPr>
              <w:pStyle w:val="TableContents"/>
              <w:bidi w:val="0"/>
              <w:spacing w:before="0" w:after="283"/>
              <w:jc w:val="left"/>
              <w:rPr/>
            </w:pPr>
            <w:r>
              <w:rPr/>
              <w:t>Contact:</w:t>
            </w:r>
          </w:p>
        </w:tc>
        <w:tc>
          <w:tcPr>
            <w:tcW w:w="225" w:type="dxa"/>
            <w:tcBorders/>
            <w:vAlign w:val="bottom"/>
          </w:tcPr>
          <w:p>
            <w:pPr>
              <w:pStyle w:val="TableContents"/>
              <w:bidi w:val="0"/>
              <w:spacing w:before="0" w:after="283"/>
              <w:jc w:val="left"/>
              <w:rPr/>
            </w:pPr>
            <w:r>
              <w:rPr/>
              <w:t>  </w:t>
            </w:r>
          </w:p>
        </w:tc>
        <w:tc>
          <w:tcPr>
            <w:tcW w:w="9202" w:type="dxa"/>
            <w:tcBorders/>
          </w:tcPr>
          <w:p>
            <w:pPr>
              <w:pStyle w:val="TableContents"/>
              <w:bidi w:val="0"/>
              <w:spacing w:before="0" w:after="0"/>
              <w:jc w:val="left"/>
              <w:rPr>
                <w:rFonts w:ascii="Times New Roman" w:hAnsi="Times New Roman"/>
                <w:sz w:val="20"/>
              </w:rPr>
            </w:pPr>
            <w:r>
              <w:rPr>
                <w:rFonts w:ascii="Times New Roman" w:hAnsi="Times New Roman"/>
                <w:sz w:val="20"/>
              </w:rPr>
              <w:t>Investors: Jeb Bachmann - Managing Director, Investor Relations - (615) 263-3024</w:t>
            </w:r>
          </w:p>
          <w:p>
            <w:pPr>
              <w:pStyle w:val="TableContents"/>
              <w:bidi w:val="0"/>
              <w:spacing w:before="0" w:after="20"/>
              <w:jc w:val="left"/>
              <w:rPr>
                <w:rFonts w:ascii="Times New Roman" w:hAnsi="Times New Roman"/>
                <w:sz w:val="20"/>
              </w:rPr>
            </w:pPr>
            <w:r>
              <w:rPr>
                <w:rFonts w:ascii="Times New Roman" w:hAnsi="Times New Roman"/>
                <w:sz w:val="20"/>
              </w:rPr>
              <w:t>Media - Steve Owen - Vice President, Communications - (615) 263-3107</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CORECIVIC SELLS TWO ADDITIONAL DETENTION FACILITIES </w:t>
      </w:r>
    </w:p>
    <w:p>
      <w:pPr>
        <w:pStyle w:val="TextBody"/>
        <w:bidi w:val="0"/>
        <w:spacing w:before="240" w:after="0"/>
        <w:jc w:val="center"/>
        <w:rPr>
          <w:rFonts w:ascii="Times New Roman" w:hAnsi="Times New Roman"/>
          <w:b/>
          <w:sz w:val="20"/>
        </w:rPr>
      </w:pPr>
      <w:r>
        <w:rPr>
          <w:rFonts w:ascii="Times New Roman" w:hAnsi="Times New Roman"/>
          <w:b/>
          <w:sz w:val="20"/>
        </w:rPr>
        <w:t xml:space="preserve">FOLLOWS SALES OF TWO DETENTION FACILITIES IN CALIFORNIA </w:t>
      </w:r>
    </w:p>
    <w:p>
      <w:pPr>
        <w:pStyle w:val="TextBody"/>
        <w:bidi w:val="0"/>
        <w:spacing w:before="240" w:after="0"/>
        <w:jc w:val="left"/>
        <w:rPr>
          <w:rFonts w:ascii="Times New Roman" w:hAnsi="Times New Roman"/>
          <w:sz w:val="20"/>
        </w:rPr>
      </w:pPr>
      <w:r>
        <w:rPr>
          <w:rFonts w:ascii="Times New Roman" w:hAnsi="Times New Roman"/>
          <w:b/>
          <w:sz w:val="20"/>
        </w:rPr>
        <w:t>BRENTWOOD, Tenn. – August</w:t>
      </w:r>
      <w:r>
        <w:rPr>
          <w:rFonts w:ascii="Times New Roman" w:hAnsi="Times New Roman"/>
          <w:sz w:val="20"/>
        </w:rPr>
        <w:t> </w:t>
      </w:r>
      <w:r>
        <w:rPr>
          <w:rFonts w:ascii="Times New Roman" w:hAnsi="Times New Roman"/>
          <w:b/>
          <w:sz w:val="20"/>
        </w:rPr>
        <w:t>5, 2026 –</w:t>
      </w:r>
      <w:r>
        <w:rPr>
          <w:rFonts w:ascii="Times New Roman" w:hAnsi="Times New Roman"/>
          <w:sz w:val="20"/>
        </w:rPr>
        <w:t xml:space="preserve"> </w:t>
      </w:r>
      <w:r>
        <w:rPr>
          <w:rFonts w:ascii="Times New Roman" w:hAnsi="Times New Roman"/>
          <w:b/>
          <w:sz w:val="20"/>
        </w:rPr>
        <w:t>CoreCivic, Inc. (NYSE: CXW)</w:t>
      </w:r>
      <w:r>
        <w:rPr>
          <w:rFonts w:ascii="Times New Roman" w:hAnsi="Times New Roman"/>
          <w:sz w:val="20"/>
        </w:rPr>
        <w:t xml:space="preserve"> (CoreCivic or the Company) announced today that it has completed the sales of its 1,600-bed Prairie Correctional Facility in Appleton, Minnesota and its 1,033-bed Midwest Regional Reception Center in Leavenworth, Kansas to the United States of America and its assigns, by and through the Department of Homeland Security for an aggregate gross sales price of $734.0 million, including $495.6 million for the Prairie Correctional Facility and $238.4 million for the Midwest Regional Reception Center. These purpose-built facilities were specifically designed to care for individuals in a secure environment. After federal and state income taxes of approximately $182.2 million and transaction costs, the Company anticipates its net proceeds from these asset sales to be approximately $522.5 million. The Company currently expects to use the net proceeds for general corporate purposes, which may include debt reduction and the repurchase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currently expects to continue to operate the Prairie Correctional Facility and Midwest Regional Reception Center under the existing management contracts with Immigration &amp; Customs Enforcement (ICE), although the terms of the management contracts may be modified to reflect the change in ownership. However, the Company can provide no assurance that it will continue to manage these facilities in the future, or that the terms of the existing management agreements will remain the same. As has always been the case, ICE has the ability to terminate the management contracts for non-appropriation of funds or for convenience. The management contracts for the Prairie Correctional Facility and Midwest Regional Reception Center expire in August 2031 and September 2027, respectively. Following the sale of these facilities, the Company will own or control via a long-term lease 61 correctional, detention, and reentry facilities with a total design capacity of approximately 67,000 beds and manage an additional eight facilities it does not own with a total design capacity of 13,000 beds. </w:t>
      </w:r>
    </w:p>
    <w:p>
      <w:pPr>
        <w:pStyle w:val="TextBody"/>
        <w:bidi w:val="0"/>
        <w:spacing w:before="240" w:after="0"/>
        <w:jc w:val="left"/>
        <w:rPr>
          <w:rFonts w:ascii="Times New Roman" w:hAnsi="Times New Roman"/>
          <w:sz w:val="20"/>
        </w:rPr>
      </w:pPr>
      <w:r>
        <w:rPr>
          <w:rFonts w:ascii="Times New Roman" w:hAnsi="Times New Roman"/>
          <w:sz w:val="20"/>
        </w:rPr>
        <w:t xml:space="preserve">Patrick Swindle, CoreCivic’s President and Chief Executive Officer, commented, “We are further demonstrating the value of the Company’s underlying real estate portfolio through the sales of our Prairie Correctional Facility and Midwest Regional Reception Center, following our sales of two detention centers in California last month. We remain committed to growing the Company’s businesses and returning value to our shareholders, while remaining a dependable and flexible partner for government.”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recently completed facility sales, the Company has recently begun discussions with ICE about the potential acquisition of additional detention facilities from the Company. These discussions are in preliminary stages, and the Company can provide no assurance that any additional sales will occur. </w:t>
      </w:r>
    </w:p>
    <w:p>
      <w:pPr>
        <w:pStyle w:val="TextBody"/>
        <w:bidi w:val="0"/>
        <w:spacing w:before="240" w:after="0"/>
        <w:jc w:val="center"/>
        <w:rPr>
          <w:rFonts w:ascii="Times New Roman" w:hAnsi="Times New Roman"/>
          <w:sz w:val="20"/>
        </w:rPr>
      </w:pPr>
      <w:r>
        <w:rPr>
          <w:rFonts w:ascii="Times New Roman" w:hAnsi="Times New Roman"/>
          <w:sz w:val="20"/>
        </w:rPr>
        <w:t xml:space="preserve">5501 Virginia Way, Brentwood, Tennessee 37027, Phone: 615-263-3000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CoreCivic </w:t>
      </w:r>
    </w:p>
    <w:p>
      <w:pPr>
        <w:pStyle w:val="TextBody"/>
        <w:bidi w:val="0"/>
        <w:spacing w:before="120" w:after="0"/>
        <w:jc w:val="left"/>
        <w:rPr>
          <w:rFonts w:ascii="Times New Roman" w:hAnsi="Times New Roman"/>
          <w:sz w:val="20"/>
        </w:rPr>
      </w:pPr>
      <w:r>
        <w:rPr>
          <w:rFonts w:ascii="Times New Roman" w:hAnsi="Times New Roman"/>
          <w:sz w:val="20"/>
        </w:rPr>
        <w:t xml:space="preserve">CoreCivic is a diversified, government-solutions company with the scale and experience needed to solve tough government challenges in flexible, cost-effective ways. CoreCivic provides a broad range of solutions to government partners that help build safer, healthier, and more productive communities one person at a time through residential corrections, detention, and reentry management, complementary service offerings to the corrections industry that include pharmaceutical, transportation, and alternatives to incarceration, and government real estate solutions. CoreCivic is the nation’s largest owner of partnership correctional, detention and residential reentry facilities, and one of the largest operators of such facilities in the United States. CoreCivic has been a flexible and dependable partner for government for more than 40 years. CoreCivic’s employees are driven by a deep sense of service, high standards of professionalism and a responsibility to help government better the public good. Learn more at </w:t>
      </w:r>
      <w:r>
        <w:rPr>
          <w:rFonts w:ascii="Times New Roman" w:hAnsi="Times New Roman"/>
          <w:sz w:val="20"/>
          <w:u w:val="single"/>
        </w:rPr>
        <w:t>www.corecivic.com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as to our beliefs and expectations of the outcome of future events that are “forward-looking” statements as defined within the meaning of the Private Securities Litigation Reform Act of 1995, as amended. These forward-looking statements are subject to risks and uncertainties that could cause actual results to differ materially from the statements made. These include, but are not limited to, the risks and uncertainties associated with: (i) changes in government policy, legislation and regulations that affect utilization of the private sector for corrections, detention, and residential reentry services, in general, or our business, in particular, including, but not limited to, the continued utilization of our correctional and detention facilities by the federal government as a consequence of presidential executive orders, changes in how the federal government, including ICE, elects to use our detention capacity or otherwise procures alternative detention capacity, and the impact of any changes to immigration reform and sentencing laws (we do not, under longstanding policy, lobby for or against policies or legislation that would determine the basis for, or duration of, an individual’s incarceration or detention); (ii) our ability to obtain and maintain correctional, detention, and residential reentry facility management contracts because of reasons including, but not limited to, sufficient governmental appropriations, contract compliance, negative publicity and effects of inmate disturbances; (iii) changes in the privatization of the corrections and detention industry, the acceptance of our services, the timing of the opening of new facilities and the commencement of new management contracts (including the extent and pace at which new contracts are utilized), as well as our ability to utilize available beds; (iv) our ability to successfully activate idle facilities in a timely manner in order to meet the growth in demand for our facilities and services from the federal government that has occurred as a result of changes in policies and actions of the current presidential administration, and to realize projected returns resulting therefrom; (v) general economic and market conditions, including, but not limited to, the impact governmental budgets can have on our contract renewals and renegotiations, per diem rates, and occupancy; (vi) fluctuations in our operating results because of, among other things, changes in occupancy levels; competition; contract renegotiations or terminations including as a result of a change in facility ownership; inflation and other increases in costs of operations, including a rise in labor costs; fluctuations in interest rates and risks of operations; (vii) government budget uncertainty, the impact of debt ceilings and government shutdowns, including partial shutdowns, and changing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budget priorities; (viii) our ability to successfully identify and consummate future development and acquisition opportunities, integrate their operations, and realize projected returns resulting therefrom; (ix) the availability of debt and equity financing on terms that are favorable to us, or at all; (x) our ability to successfully consummate the sales of additional company-owned assets, including the potential sale of additional facilities to ICE, on a timely basis and on commercially favorable terms; and (xi) the intended use of proceeds from the facility sales described in this press release. Other factors that could cause operating and financial results to differ are described in the filings we make from time to time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We take no responsibility for updating the information contained in this press release following the date hereof to reflect events or circumstances occurring after the date hereof or the occurrence of unanticipated events or for any changes or modifications made to this press release or the information contained herein by any third-parties, including, but not limited to, any wire or internet services, except as may be required by law.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20153</Words>
  <Characters>107526</Characters>
  <CharactersWithSpaces>127897</CharactersWithSpaces>
  <Paragraphs>1360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