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 xml:space="preserve">QUARTERLY REPORT PURSUANT TO SECTION 13 OR 15(d) OF THE </w:t>
      </w:r>
      <w:r>
        <w:rPr>
          <w:rFonts w:ascii="Times New Roman" w:cs="Times New Roman" w:eastAsia="Times New Roman" w:hAnsi="Times New Roman"/>
          <w:sz w:val="19"/>
          <w:szCs w:val="19"/>
          <w:b w:val="1"/>
          <w:bCs w:val="1"/>
          <w:color w:val="auto"/>
        </w:rPr>
        <w:t>SECURITIES EXCHANGE ACT OF 1934</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 xml:space="preserve">TRANSITION REPORT PURSUANT TO SECTION 13 OR 15(d) OF THE </w:t>
      </w:r>
      <w:r>
        <w:rPr>
          <w:rFonts w:ascii="Times New Roman" w:cs="Times New Roman" w:eastAsia="Times New Roman" w:hAnsi="Times New Roman"/>
          <w:sz w:val="19"/>
          <w:szCs w:val="19"/>
          <w:b w:val="1"/>
          <w:bCs w:val="1"/>
          <w:color w:val="auto"/>
        </w:rPr>
        <w:t>SECURITIES EXCHANGE ACT OF 1934</w:t>
      </w:r>
    </w:p>
    <w:p>
      <w:pPr>
        <w:spacing w:after="0" w:line="32" w:lineRule="exact"/>
        <w:rPr>
          <w:sz w:val="24"/>
          <w:szCs w:val="24"/>
          <w:color w:val="auto"/>
        </w:rPr>
      </w:pPr>
    </w:p>
    <w:p>
      <w:pPr>
        <w:ind w:left="314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-20320</wp:posOffset>
            </wp:positionV>
            <wp:extent cx="381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CORECIVIC,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p>
      <w:pPr>
        <w:spacing w:after="0" w:line="201"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62-1763875</w:t>
      </w:r>
    </w:p>
    <w:p>
      <w:pPr>
        <w:spacing w:after="0" w:line="1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47" w:lineRule="exact"/>
        <w:rPr>
          <w:sz w:val="24"/>
          <w:szCs w:val="24"/>
          <w:color w:val="auto"/>
        </w:rPr>
      </w:pPr>
    </w:p>
    <w:p>
      <w:pPr>
        <w:sectPr>
          <w:pgSz w:w="11900" w:h="16838" w:orient="portrait"/>
          <w:cols w:equalWidth="0" w:num="2">
            <w:col w:w="7000" w:space="720"/>
            <w:col w:w="3520"/>
          </w:cols>
          <w:pgMar w:left="320" w:top="1064" w:right="339" w:bottom="1440" w:gutter="0" w:footer="0" w:header="0"/>
          <w:type w:val="continuous"/>
        </w:sectPr>
      </w:pPr>
    </w:p>
    <w:tbl>
      <w:tblPr>
        <w:tblLayout w:type="fixed"/>
        <w:tblInd w:w="1600" w:type="dxa"/>
        <w:tblCellMar>
          <w:top w:w="0" w:type="dxa"/>
          <w:left w:w="0" w:type="dxa"/>
          <w:bottom w:w="0" w:type="dxa"/>
          <w:right w:w="0" w:type="dxa"/>
        </w:tblCellMar>
      </w:tblPr>
      <w:tr>
        <w:trPr>
          <w:trHeight w:val="214"/>
        </w:trPr>
        <w:tc>
          <w:tcPr>
            <w:tcW w:w="2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5501 VIRGINIA WAY</w:t>
            </w:r>
          </w:p>
        </w:tc>
        <w:tc>
          <w:tcPr>
            <w:tcW w:w="458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37027</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BRENTWOOD, TENNESSEE</w:t>
            </w:r>
          </w:p>
        </w:tc>
        <w:tc>
          <w:tcPr>
            <w:tcW w:w="4580" w:type="dxa"/>
            <w:vAlign w:val="bottom"/>
          </w:tcPr>
          <w:p>
            <w:pPr>
              <w:jc w:val="center"/>
              <w:ind w:left="38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80" w:type="dxa"/>
            <w:vAlign w:val="bottom"/>
          </w:tcPr>
          <w:p>
            <w:pPr>
              <w:spacing w:after="0"/>
              <w:rPr>
                <w:sz w:val="16"/>
                <w:szCs w:val="16"/>
                <w:color w:val="auto"/>
              </w:rPr>
            </w:pPr>
          </w:p>
        </w:tc>
      </w:tr>
      <w:tr>
        <w:trPr>
          <w:trHeight w:val="361"/>
        </w:trPr>
        <w:tc>
          <w:tcPr>
            <w:tcW w:w="2580" w:type="dxa"/>
            <w:vAlign w:val="bottom"/>
          </w:tcPr>
          <w:p>
            <w:pPr>
              <w:spacing w:after="0"/>
              <w:rPr>
                <w:sz w:val="24"/>
                <w:szCs w:val="24"/>
                <w:color w:val="auto"/>
              </w:rPr>
            </w:pPr>
          </w:p>
        </w:tc>
        <w:tc>
          <w:tcPr>
            <w:tcW w:w="4580" w:type="dxa"/>
            <w:vAlign w:val="bottom"/>
          </w:tcPr>
          <w:p>
            <w:pPr>
              <w:jc w:val="right"/>
              <w:ind w:right="2499"/>
              <w:spacing w:after="0"/>
              <w:rPr>
                <w:sz w:val="20"/>
                <w:szCs w:val="20"/>
                <w:color w:val="auto"/>
              </w:rPr>
            </w:pPr>
            <w:r>
              <w:rPr>
                <w:rFonts w:ascii="Times New Roman" w:cs="Times New Roman" w:eastAsia="Times New Roman" w:hAnsi="Times New Roman"/>
                <w:sz w:val="18"/>
                <w:szCs w:val="18"/>
                <w:b w:val="1"/>
                <w:bCs w:val="1"/>
                <w:color w:val="auto"/>
              </w:rPr>
              <w:t>(615) 263-3000</w:t>
            </w:r>
          </w:p>
        </w:tc>
      </w:tr>
      <w:tr>
        <w:trPr>
          <w:trHeight w:val="206"/>
        </w:trPr>
        <w:tc>
          <w:tcPr>
            <w:tcW w:w="2580" w:type="dxa"/>
            <w:vAlign w:val="bottom"/>
          </w:tcPr>
          <w:p>
            <w:pPr>
              <w:spacing w:after="0"/>
              <w:rPr>
                <w:sz w:val="17"/>
                <w:szCs w:val="17"/>
                <w:color w:val="auto"/>
              </w:rPr>
            </w:pPr>
          </w:p>
        </w:tc>
        <w:tc>
          <w:tcPr>
            <w:tcW w:w="4580" w:type="dxa"/>
            <w:vAlign w:val="bottom"/>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2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CXW</w:t>
            </w:r>
          </w:p>
        </w:tc>
        <w:tc>
          <w:tcPr>
            <w:tcW w:w="4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4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7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9"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Accelerated filer</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35" w:lineRule="exact"/>
        <w:rPr>
          <w:sz w:val="24"/>
          <w:szCs w:val="24"/>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9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class of Common Stock as of May 1, 2026:</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 $0.01 par value per share: 98,888,460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60" w:type="dxa"/>
            <w:vAlign w:val="bottom"/>
            <w:gridSpan w:val="11"/>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CORECIVIC,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520" w:type="dxa"/>
            <w:vAlign w:val="bottom"/>
            <w:gridSpan w:val="10"/>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00" w:type="dxa"/>
            <w:vAlign w:val="bottom"/>
            <w:gridSpan w:val="13"/>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2026</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520" w:type="dxa"/>
            <w:vAlign w:val="bottom"/>
            <w:gridSpan w:val="10"/>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1 – FINANCIAL INFORMATION</w:t>
            </w:r>
          </w:p>
        </w:tc>
        <w:tc>
          <w:tcPr>
            <w:tcW w:w="7380" w:type="dxa"/>
            <w:vAlign w:val="bottom"/>
            <w:gridSpan w:val="12"/>
            <w:vMerge w:val="restart"/>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3220" w:type="dxa"/>
            <w:vAlign w:val="bottom"/>
            <w:tcBorders>
              <w:bottom w:val="single" w:sz="8" w:color="0000FF"/>
            </w:tcBorders>
            <w:gridSpan w:val="14"/>
            <w:vMerge w:val="continue"/>
          </w:tcPr>
          <w:p>
            <w:pPr>
              <w:spacing w:after="0"/>
              <w:rPr>
                <w:sz w:val="14"/>
                <w:szCs w:val="14"/>
                <w:color w:val="auto"/>
              </w:rPr>
            </w:pPr>
          </w:p>
        </w:tc>
        <w:tc>
          <w:tcPr>
            <w:tcW w:w="7380" w:type="dxa"/>
            <w:vAlign w:val="bottom"/>
            <w:gridSpan w:val="12"/>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20" w:type="dxa"/>
            <w:vAlign w:val="bottom"/>
            <w:tcBorders>
              <w:bottom w:val="single" w:sz="8" w:color="0000EE"/>
            </w:tcBorders>
          </w:tcPr>
          <w:p>
            <w:pPr>
              <w:spacing w:after="0"/>
              <w:rPr>
                <w:sz w:val="24"/>
                <w:szCs w:val="24"/>
                <w:color w:val="auto"/>
              </w:rPr>
            </w:pPr>
          </w:p>
        </w:tc>
        <w:tc>
          <w:tcPr>
            <w:tcW w:w="806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a)</w:t>
            </w:r>
          </w:p>
        </w:tc>
        <w:tc>
          <w:tcPr>
            <w:tcW w:w="640" w:type="dxa"/>
            <w:vAlign w:val="bottom"/>
          </w:tcPr>
          <w:p>
            <w:pPr>
              <w:spacing w:after="0"/>
              <w:rPr>
                <w:sz w:val="17"/>
                <w:szCs w:val="17"/>
                <w:color w:val="auto"/>
              </w:rPr>
            </w:pPr>
          </w:p>
        </w:tc>
        <w:tc>
          <w:tcPr>
            <w:tcW w:w="63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March 31, 2026 (Unaudited) and December 31, 2025</w:t>
            </w:r>
          </w:p>
        </w:tc>
        <w:tc>
          <w:tcPr>
            <w:tcW w:w="20" w:type="dxa"/>
            <w:vAlign w:val="bottom"/>
            <w:tcBorders>
              <w:bottom w:val="single" w:sz="8" w:color="0000EE"/>
            </w:tcBorders>
          </w:tcPr>
          <w:p>
            <w:pPr>
              <w:spacing w:after="0"/>
              <w:rPr>
                <w:sz w:val="17"/>
                <w:szCs w:val="17"/>
                <w:color w:val="auto"/>
              </w:rPr>
            </w:pPr>
          </w:p>
        </w:tc>
        <w:tc>
          <w:tcPr>
            <w:tcW w:w="322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b)</w:t>
            </w:r>
          </w:p>
        </w:tc>
        <w:tc>
          <w:tcPr>
            <w:tcW w:w="640" w:type="dxa"/>
            <w:vAlign w:val="bottom"/>
          </w:tcPr>
          <w:p>
            <w:pPr>
              <w:spacing w:after="0"/>
              <w:rPr>
                <w:sz w:val="17"/>
                <w:szCs w:val="17"/>
                <w:color w:val="auto"/>
              </w:rPr>
            </w:pPr>
          </w:p>
        </w:tc>
        <w:tc>
          <w:tcPr>
            <w:tcW w:w="9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(Unaudited) for the three months ended March 31, 2026 and 2025</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c)</w:t>
            </w:r>
          </w:p>
        </w:tc>
        <w:tc>
          <w:tcPr>
            <w:tcW w:w="640" w:type="dxa"/>
            <w:vAlign w:val="bottom"/>
          </w:tcPr>
          <w:p>
            <w:pPr>
              <w:spacing w:after="0"/>
              <w:rPr>
                <w:sz w:val="17"/>
                <w:szCs w:val="17"/>
                <w:color w:val="auto"/>
              </w:rPr>
            </w:pPr>
          </w:p>
        </w:tc>
        <w:tc>
          <w:tcPr>
            <w:tcW w:w="9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(Unaudited) for the three months ended March 31, 2026 and 2025</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w:t>
            </w:r>
          </w:p>
        </w:tc>
        <w:tc>
          <w:tcPr>
            <w:tcW w:w="640" w:type="dxa"/>
            <w:vAlign w:val="bottom"/>
          </w:tcPr>
          <w:p>
            <w:pPr>
              <w:spacing w:after="0"/>
              <w:rPr>
                <w:sz w:val="17"/>
                <w:szCs w:val="17"/>
                <w:color w:val="auto"/>
              </w:rPr>
            </w:pPr>
          </w:p>
        </w:tc>
        <w:tc>
          <w:tcPr>
            <w:tcW w:w="776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 of Stockholders' Equity (Unaudited) for the quarterly period ended March 31, 2026</w:t>
            </w:r>
          </w:p>
        </w:tc>
        <w:tc>
          <w:tcPr>
            <w:tcW w:w="20" w:type="dxa"/>
            <w:vAlign w:val="bottom"/>
            <w:tcBorders>
              <w:bottom w:val="single" w:sz="8" w:color="0000EE"/>
            </w:tcBorders>
          </w:tcPr>
          <w:p>
            <w:pPr>
              <w:spacing w:after="0"/>
              <w:rPr>
                <w:sz w:val="17"/>
                <w:szCs w:val="17"/>
                <w:color w:val="auto"/>
              </w:rPr>
            </w:pPr>
          </w:p>
        </w:tc>
        <w:tc>
          <w:tcPr>
            <w:tcW w:w="18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e)</w:t>
            </w:r>
          </w:p>
        </w:tc>
        <w:tc>
          <w:tcPr>
            <w:tcW w:w="640" w:type="dxa"/>
            <w:vAlign w:val="bottom"/>
          </w:tcPr>
          <w:p>
            <w:pPr>
              <w:spacing w:after="0"/>
              <w:rPr>
                <w:sz w:val="17"/>
                <w:szCs w:val="17"/>
                <w:color w:val="auto"/>
              </w:rPr>
            </w:pPr>
          </w:p>
        </w:tc>
        <w:tc>
          <w:tcPr>
            <w:tcW w:w="776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 of Stockholders' Equity (Unaudited) for the quarterly period ended March 31, 2025</w:t>
            </w:r>
          </w:p>
        </w:tc>
        <w:tc>
          <w:tcPr>
            <w:tcW w:w="184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f)</w:t>
            </w:r>
          </w:p>
        </w:tc>
        <w:tc>
          <w:tcPr>
            <w:tcW w:w="640" w:type="dxa"/>
            <w:vAlign w:val="bottom"/>
          </w:tcPr>
          <w:p>
            <w:pPr>
              <w:spacing w:after="0"/>
              <w:rPr>
                <w:sz w:val="17"/>
                <w:szCs w:val="17"/>
                <w:color w:val="auto"/>
              </w:rPr>
            </w:pPr>
          </w:p>
        </w:tc>
        <w:tc>
          <w:tcPr>
            <w:tcW w:w="9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9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4380" w:type="dxa"/>
            <w:vAlign w:val="bottom"/>
            <w:tcBorders>
              <w:top w:val="single" w:sz="8" w:color="0000FF"/>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3"/>
          </w:tcPr>
          <w:p>
            <w:pPr>
              <w:spacing w:after="0"/>
              <w:rPr>
                <w:sz w:val="17"/>
                <w:szCs w:val="17"/>
                <w:color w:val="auto"/>
              </w:rPr>
            </w:pPr>
          </w:p>
        </w:tc>
        <w:tc>
          <w:tcPr>
            <w:tcW w:w="316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7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800" w:type="dxa"/>
            <w:vAlign w:val="bottom"/>
            <w:gridSpan w:val="1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18"/>
        </w:trPr>
        <w:tc>
          <w:tcPr>
            <w:tcW w:w="2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7700" w:type="dxa"/>
            <w:vAlign w:val="bottom"/>
            <w:gridSpan w:val="13"/>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1A.</w:t>
            </w:r>
          </w:p>
        </w:tc>
        <w:tc>
          <w:tcPr>
            <w:tcW w:w="92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826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43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40" w:type="dxa"/>
            <w:vAlign w:val="bottom"/>
            <w:gridSpan w:val="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34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26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7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820" w:type="dxa"/>
            <w:vAlign w:val="bottom"/>
            <w:gridSpan w:val="1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9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w:t>
            </w:r>
          </w:p>
        </w:tc>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32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28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0" w:type="dxa"/>
            <w:vAlign w:val="bottom"/>
            <w:gridSpan w:val="2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431"/>
        </w:trPr>
        <w:tc>
          <w:tcPr>
            <w:tcW w:w="36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AND AMOUNTS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209,686</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 of credit loss reserve of $4,705 and $4,506, respectively</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479,800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743,497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and related assets: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$2,041,487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2,122,430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$2,012,353,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real estate assets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180,148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313,369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3,367,995</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tcBorders>
              <w:bottom w:val="single" w:sz="8" w:color="auto"/>
            </w:tcBorders>
            <w:shd w:val="clear" w:color="auto" w:fill="CFF0FC"/>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288,362</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16,611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304,973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1,380,955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1,205,037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111,297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1,972,385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1,851,494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50,000 shares authorized; none issued and outstanding</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 March 31, 2026 and December 31, 2025</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300,000 shares authorized; 98,887 and 100,051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1,480,181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1,527,724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(123,476)</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1,395,610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1,405,249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3,367,995</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-3822700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-2853690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-2545715</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AND AMOUNTS IN THOUSANDS, EXCEPT PER SHARE AMOUNTS)</w:t>
      </w:r>
    </w:p>
    <w:p>
      <w:pPr>
        <w:spacing w:after="0" w:line="200"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6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r>
      <w:tr>
        <w:trPr>
          <w:trHeight w:val="209"/>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614,729</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488,627</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467,719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374,737</w:t>
            </w:r>
          </w:p>
        </w:tc>
        <w:tc>
          <w:tcPr>
            <w:tcW w:w="3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43,676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3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33,335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544,730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441,271</w:t>
            </w:r>
          </w:p>
        </w:tc>
        <w:tc>
          <w:tcPr>
            <w:tcW w:w="300" w:type="dxa"/>
            <w:vAlign w:val="bottom"/>
          </w:tcPr>
          <w:p>
            <w:pPr>
              <w:spacing w:after="0"/>
              <w:rPr>
                <w:sz w:val="18"/>
                <w:szCs w:val="18"/>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(17,681)</w:t>
            </w: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(15,231)</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52,310</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32,090</w:t>
            </w:r>
          </w:p>
        </w:tc>
        <w:tc>
          <w:tcPr>
            <w:tcW w:w="300" w:type="dxa"/>
            <w:vAlign w:val="bottom"/>
            <w:tcBorders>
              <w:top w:val="single" w:sz="8" w:color="CFF0FC"/>
            </w:tcBorders>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(14,394)</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(6,977)</w:t>
            </w:r>
          </w:p>
        </w:tc>
      </w:tr>
      <w:tr>
        <w:trPr>
          <w:trHeight w:val="209"/>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37,916</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300" w:type="dxa"/>
            <w:vAlign w:val="bottom"/>
            <w:tcBorders>
              <w:top w:val="single" w:sz="8" w:color="CFF0FC"/>
            </w:tcBorders>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7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0.38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300" w:type="dxa"/>
            <w:vAlign w:val="bottom"/>
            <w:tcBorders>
              <w:bottom w:val="single" w:sz="8" w:color="CFF0FC"/>
            </w:tcBorders>
            <w:shd w:val="clear" w:color="auto" w:fill="CFF0FC"/>
          </w:tcPr>
          <w:p>
            <w:pPr>
              <w:spacing w:after="0"/>
              <w:rPr>
                <w:sz w:val="20"/>
                <w:szCs w:val="20"/>
                <w:color w:val="auto"/>
              </w:rPr>
            </w:pPr>
          </w:p>
        </w:tc>
      </w:tr>
      <w:tr>
        <w:trPr>
          <w:trHeight w:val="196"/>
        </w:trPr>
        <w:tc>
          <w:tcPr>
            <w:tcW w:w="76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0.38</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30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-1902460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-1902460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-1344930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-1344930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-779145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-779145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-496570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-496570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-187960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AND AMOUNTS IN THOUSANDS)</w:t>
      </w:r>
    </w:p>
    <w:p>
      <w:pPr>
        <w:jc w:val="center"/>
        <w:ind w:left="7560"/>
        <w:spacing w:after="0" w:line="224" w:lineRule="auto"/>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7600"/>
        <w:spacing w:after="0" w:line="232"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37,916</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 and other non-cash interest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revenue and other income</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expenses and non-cash items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(32,031)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(46,136)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(28,502)</w:t>
            </w:r>
          </w:p>
        </w:tc>
      </w:tr>
      <w:tr>
        <w:trPr>
          <w:trHeight w:val="209"/>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Expenditures for facility development and expansions</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(4,526)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other capital improvements</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(18,743)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(25,060)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proceeds from sale of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(22,789)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(24,982)</w:t>
            </w:r>
          </w:p>
        </w:tc>
      </w:tr>
      <w:tr>
        <w:trPr>
          <w:trHeight w:val="209"/>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 and borrowings from credit facility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Scheduled principal repayments</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(2,951)</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 repayments of credit facility</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(130,000)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debt defeasance, issuance and other refinancing and related costs</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lease obligations for financing leases</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(55,069)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(50,567)</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120,900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(53,688)</w:t>
            </w:r>
          </w:p>
        </w:tc>
      </w:tr>
      <w:tr>
        <w:trPr>
          <w:trHeight w:val="187"/>
        </w:trPr>
        <w:tc>
          <w:tcPr>
            <w:tcW w:w="7740" w:type="dxa"/>
            <w:vAlign w:val="bottom"/>
            <w:tcBorders>
              <w:top w:val="single" w:sz="8" w:color="CFF0F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w:t>
            </w: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38"/>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AND RESTRICTED CASH</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(34,186)</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112,446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224,327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Establishment of right of use assets and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Interest (net of amounts capitalized of $0.6 million in 2026)</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7,473</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FF0FC"/>
          </w:tcPr>
          <w:p>
            <w:pPr>
              <w:spacing w:after="0"/>
              <w:rPr>
                <w:sz w:val="20"/>
                <w:szCs w:val="20"/>
                <w:color w:val="auto"/>
              </w:rPr>
            </w:pP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774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Income taxes refunded</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(451)</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-3445510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-2605405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-1490980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AND 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228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2"/>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22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06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04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1,527,724</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1,405,249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37,916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(54,041)</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(54,070)</w:t>
            </w: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compensation, net of forfeitures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grants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98,887</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989</w:t>
            </w:r>
          </w:p>
        </w:tc>
        <w:tc>
          <w:tcPr>
            <w:tcW w:w="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1,480,181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(85,560)</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1,395,610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000000"/>
          </w:tcPr>
          <w:p>
            <w:pPr>
              <w:spacing w:after="0" w:line="20" w:lineRule="exact"/>
              <w:rPr>
                <w:sz w:val="1"/>
                <w:szCs w:val="1"/>
                <w:color w:val="auto"/>
              </w:rPr>
            </w:pPr>
          </w:p>
        </w:tc>
        <w:tc>
          <w:tcPr>
            <w:tcW w:w="94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AND 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228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2"/>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140" w:type="dxa"/>
            <w:vAlign w:val="bottom"/>
          </w:tcPr>
          <w:p>
            <w:pPr>
              <w:spacing w:after="0"/>
              <w:rPr>
                <w:sz w:val="13"/>
                <w:szCs w:val="13"/>
                <w:color w:val="auto"/>
              </w:rPr>
            </w:pPr>
          </w:p>
        </w:tc>
        <w:tc>
          <w:tcPr>
            <w:tcW w:w="22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06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04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1,732,231</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1,493,351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(49,729)</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(49,755)</w:t>
            </w: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compensation, net of forfeitures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grants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109,318</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3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1,689,019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(214,866)</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1,475,246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-25400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52"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Inc. (together with its subsidiaries, the "Company" or "CoreCivic") is the nation's largest owner of partnership correctional, detention, and residential reentry facilities and one of the largest operators of such facilities in the United States ("U.S."). Through three segments, CoreCivic Safety, CoreCivic Community, and CoreCivic Properties, the Company provides a broad range of solutions to government partners that serve the public good through corrections and detention management, a network of residential reentry centers to help address America's recidivism crisis, and government real estate solutions. As of March 31, 2026, through its CoreCivic Safety segment, the Company operated 44 correctional and detention facilities, 40 of which the Company owned or controlled via a long-term lease, with a total design capacity of approximately 68,000 beds. Through its CoreCivic Community segment, the Company operated 20 residential reentry centers, which it owned or controlled via a long-term lease, with a total design capacity of approximately 4,000 beds. In addition, through its CoreCivic Properties segment, the Company owned five properties, with a total design capacity of approximately 8,000 beds.</w:t>
      </w:r>
    </w:p>
    <w:p>
      <w:pPr>
        <w:spacing w:after="0" w:line="188"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providing fundamental residential services, CoreCivic's correctional, detention, and reentry facilities offer a variety of rehabilitation and educational programs, including basic education, faith-based services, life skills and employment training, and substance abuse treatment. These services are intended to help reduce recidivism and to prepare individuals in the Company's care for their successful reentry into society upon their release. CoreCivic also provides or makes available to individuals in its care certain health care (including medical, dental, and mental health services), food services, and work and recreational programs.</w:t>
      </w:r>
    </w:p>
    <w:p>
      <w:pPr>
        <w:spacing w:after="0" w:line="200" w:lineRule="exact"/>
        <w:rPr>
          <w:rFonts w:ascii="Times New Roman" w:cs="Times New Roman" w:eastAsia="Times New Roman" w:hAnsi="Times New Roman"/>
          <w:sz w:val="18"/>
          <w:szCs w:val="18"/>
          <w:b w:val="1"/>
          <w:bCs w:val="1"/>
          <w:color w:val="auto"/>
        </w:rPr>
      </w:pPr>
    </w:p>
    <w:p>
      <w:pPr>
        <w:spacing w:after="0" w:line="222"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34"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and, in the opinion of management, reflect all normal recurring adjustments necessary for a fair presentation of results for the unaudited interim periods presented. Certain information and footnote disclosures normally included in financial statements prepared in accordance with U.S. generally accepted accounting principles ("GAAP") have been condensed or omitted. The results of operations for the interim period are not necessarily indicative of the results to be obtained for the full fiscal year. Reference is made to the audited financial statements of CoreCivic included in its Annual Report on Form 10-K for the year ended December 31, 2025 filed with the Securities and Exchange Commission (the "SEC") on February 20, 2026 (the "2025 Form 10-K") with respect to certain significant accounting and financial reporting policies as well as other pertinent information of the Company.</w:t>
      </w:r>
    </w:p>
    <w:p>
      <w:pPr>
        <w:spacing w:after="0" w:line="29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"Income Statement – Reporting Comprehensive Income – Expense Disaggregation Disclosures (Subtopic 220-40): Disaggregation of Income Statement Expenses" ("ASU 2024-03").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This ASU is effective for annual reporting periods beginning after December 15, 2026 and interim reporting periods beginning after December 15, 2027, with early adoption permitted. An entity may apply the disclosure requirements prospectively for reporting periods after the effective date or retrospectively to any or all prior periods presented in the financial statements. While this ASU will impact only the Company's disclosures and not its financial condition and results of operations, the Company is currently evaluating the effects of ASU 2024-03 upon adoption on our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Targeted Improvements to the Accounting for Internal-Use Software" ("ASU 2025-06") that clarifies and modernizes the accounting and disclosure requirements for costs related to internal-use software outlined in Accounting Standards Codification ("ASC") 350-40, "Intangibles – Goodwill and Other – Internal-Use Software". Among other amendments, ASU 2025-06 removes all references to project stages throughout ASC 350-40 and clarifies the threshold entities apply to begin capitalizing costs. ASU 2025-06 is effective for all entities for fiscal years beginning after December 15, 2027 and may be applied using a prospective, retrospective or modified transition approach. The Company is currently evaluating when it will adopt ASU 2025-06 and does not expect the adoption to have a material effect on the Company's results of operations or financial position.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American Institute of Certified Public Accountants and the SEC applicable to financial statements beginning January 1, 2026 or later did not, or are not expected to, have a material effect on the Company's results of operations or financial position.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cash at March 31, 2026 and December 31, 2025 included deposit accounts that are restricted in use totaling $14.6 million and $14.5 million, respectively, and related primarily to the Lansing Correctional Facility to ensure the timely payment of certain operating expenses, capital expenditures and debt service, as further discussed in Note 4. The restricted cash accounts are required under the terms of the indebtedness securing such property. Restricted cash also includes inmate trust funds used for commissary transactions pursuant to customer contracts. The following table provides a reconciliation of cash, cash equivalents and restricted cash reported on the consolidated balance sheets that sum to the total of the same such amounts shown in the consolidated statements of cash flows.</w:t>
      </w: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209,686</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14,641</w:t>
            </w: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2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224,327</w:t>
            </w:r>
          </w:p>
        </w:tc>
        <w:tc>
          <w:tcPr>
            <w:tcW w:w="5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112,446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40" w:type="dxa"/>
            <w:vAlign w:val="bottom"/>
            <w:shd w:val="clear" w:color="auto" w:fill="CFF0FC"/>
          </w:tcPr>
          <w:p>
            <w:pPr>
              <w:ind w:left="220"/>
              <w:spacing w:after="0" w:line="194" w:lineRule="exact"/>
              <w:rPr>
                <w:sz w:val="20"/>
                <w:szCs w:val="20"/>
                <w:color w:val="auto"/>
              </w:rPr>
            </w:pPr>
            <w:r>
              <w:rPr>
                <w:rFonts w:ascii="Times New Roman" w:cs="Times New Roman" w:eastAsia="Times New Roman" w:hAnsi="Times New Roman"/>
                <w:sz w:val="18"/>
                <w:szCs w:val="18"/>
                <w:color w:val="auto"/>
              </w:rPr>
              <w:t>consolidated statement of cash flows</w:t>
            </w:r>
          </w:p>
        </w:tc>
        <w:tc>
          <w:tcPr>
            <w:tcW w:w="1120" w:type="dxa"/>
            <w:vAlign w:val="bottom"/>
            <w:gridSpan w:val="2"/>
            <w:vMerge w:val="continue"/>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15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-24765</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-8255</wp:posOffset>
            </wp:positionV>
            <wp:extent cx="59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-24765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-8255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meet the reporting requirements of ASC 825, "Financial Instruments", regarding fair value of financial instruments, CoreCivic calculates the estimated fair value of financial instruments using market interest rates, quoted market prices of similar instruments, or discounted cash flow techniques with observable Level 1 inputs for publicly traded debt and Level 2 inputs for all other financial instruments, as defined in ASC 820, "Fair Value Measurement". At March 31, 2026 and December 31, 2025, there were no material differences between the carrying amounts and the estimated fair values of CoreCivic's financial instruments, other than as follows (in thousands):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60" w:type="dxa"/>
            <w:vAlign w:val="bottom"/>
          </w:tcPr>
          <w:p>
            <w:pPr>
              <w:spacing w:after="0"/>
              <w:rPr>
                <w:sz w:val="10"/>
                <w:szCs w:val="10"/>
                <w:color w:val="auto"/>
              </w:rPr>
            </w:pP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(1,406,452)</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(1,417,045)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(1,230,307)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(1,245,724)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120" w:right="339" w:bottom="1440" w:gutter="0" w:footer="0" w:header="0"/>
        </w:sectPr>
      </w:pPr>
    </w:p>
    <w:bookmarkStart w:id="9" w:name="page10"/>
    <w:bookmarkEnd w:id="9"/>
    <w:p>
      <w:pPr>
        <w:ind w:left="520" w:right="7820" w:hanging="512"/>
        <w:spacing w:after="0" w:line="378" w:lineRule="auto"/>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TRANSACTIONS Assets Held For Sale and Dispositions</w:t>
      </w: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third quarter of 2025, the Company and Boulder County, Colorado entered into a short-term extension through January 2026 of the contract at the Company's Longmont Community Treatment Center in Longmont, Colorado, a facility in the Company's Community segment. Upon expiration of the contract, Boulder County transferred the residential population to a new sentencing facility it constructed. The Company has engaged a broker and is committed to a process to sell the Longmont facility resulting in the need to test the facility for impairment. As a result, an impairment charge of $1.5 million was recognized during the third quarter of 2025 to reduce the net book value of the facility to its estimated fair value, less cost to sell based on a comparable market analysis. The Longmont Facility was classified as held for sale as of March 31, 2026 and December 31, 2025.</w:t>
      </w:r>
    </w:p>
    <w:p>
      <w:pPr>
        <w:spacing w:after="0" w:line="80" w:lineRule="exact"/>
        <w:rPr>
          <w:rFonts w:ascii="Times New Roman" w:cs="Times New Roman" w:eastAsia="Times New Roman" w:hAnsi="Times New Roman"/>
          <w:sz w:val="18"/>
          <w:szCs w:val="18"/>
          <w:b w:val="1"/>
          <w:bCs w:val="1"/>
          <w:color w:val="auto"/>
        </w:rPr>
      </w:pPr>
    </w:p>
    <w:p>
      <w:pPr>
        <w:jc w:val="both"/>
        <w:ind w:left="52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full year 2025, CoreCivic completed the sales of two facilities, one of which was reported in CoreCivic's Community segment, and the second, an idled non-core facility in Live Oak, California, was reported in CoreCivic's Safety segment. The sales of these two assets generated aggregate net sales proceeds of $4.9 million, resulting in an aggregate net gain on sale of $1.0 million after transaction costs.</w:t>
      </w:r>
    </w:p>
    <w:p>
      <w:pPr>
        <w:spacing w:after="0" w:line="17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Idle Facilities</w:t>
      </w:r>
    </w:p>
    <w:p>
      <w:pPr>
        <w:spacing w:after="0" w:line="229"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CoreCivic had five idle correctional facilities that are operated with a core staffing complement to remain currently available and are being actively marketed as solutions to meet the correctional or detention needs of potential customers. The following table summarizes each of the idled facilities and their respective design capacities and net carrying values, excluding equipment and other assets that could generally be transferred and used at other CoreCivic facilities without significant cost (dollars in thousands):</w:t>
      </w:r>
    </w:p>
    <w:p>
      <w:pPr>
        <w:spacing w:after="0" w:line="17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Net Carrying Values</w:t>
            </w: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5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Prairie Correctional Facility</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22,557</w:t>
            </w:r>
          </w:p>
        </w:tc>
        <w:tc>
          <w:tcPr>
            <w:tcW w:w="3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Huerfano County Correctional Center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Marion Adjustment Center</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9,465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Kit Carson Correctional Center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Fork Correctional Facility</w:t>
            </w: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56,989</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149,792</w:t>
            </w:r>
          </w:p>
        </w:tc>
        <w:tc>
          <w:tcPr>
            <w:tcW w:w="3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-170815</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CoreCivic incurred aggregate operating expenses at these idled facilities of approximately $2.4 million and $2.3 million during the period they were idle for the three months ended March 31, 2026 and 2025, respectively.</w:t>
      </w:r>
    </w:p>
    <w:p>
      <w:pPr>
        <w:spacing w:after="0" w:line="16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CoreCivic evaluates, on a quarterly basis, market developments for the potential utilization of each of its idle facilities in order to identify events that may cause CoreCivic to reconsider its assumptions with respect to the recoverability of book values as compared to undiscounted cash flows. CoreCivic considers the cancellation of a contract in its Safety or Community segment or an expiration and non-renewal of a lease agreement in its CoreCivic Properties segment as indicators of impairment and tests each of the idled facilities for impairment when it is notified by the respective customers or tenants that they would no longer be utilizing such facility.</w:t>
      </w:r>
    </w:p>
    <w:p>
      <w:pPr>
        <w:spacing w:after="0" w:line="183"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estimated undiscounted cash flows for each facility with an impairment indicator and concluded that, other than the impairment of the Longmont Community Treatment Center previously mentioned, no impairments had occurred. The Company's estimated undiscounted cash flows reflected the Company’s most recent expectations around potential utilization and/or sale of the facilities and projected cash flows based on historical cash flows, cash flows of comparable facilities, and recent contract negotiations for utilization,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 w:name="page11"/>
    <w:bookmarkEnd w:id="10"/>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 2025, the acquisition date, CoreCivic acquired the Farmville Detention Center, a 736-bed facility located in Farmville, Virginia. The Farmville Detention Center provides transportation, care, and civil detention services for adult male non-citizens through an intergovernmental service agreement ("IGSA") with U.S. Immigration and Customs Enforcement ("ICE"), which expires in March 2029. The acquisition of the Farmville Detention Center was consummated through the acquisition of 100% of the membership interests in entities that owned and operated the facility. The aggregate purchase price was $71.3 million, including the acquisition of working capital accounts, but excluding transaction-related expenses. The results of operations for this business combination have been included in the Company's consolidated financial statements from the date of the acquisition and are reported in the CoreCivic Safety segment.</w:t>
      </w:r>
    </w:p>
    <w:p>
      <w:pPr>
        <w:spacing w:after="0" w:line="188"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initial accounting for the Farmville acquisition was provisional and subject to adjustment as additional information became available and further analyses were completed, including final settlement of working capital accounts. During the first quarter of 2026, the Company completed the accounting for the Farmville acquisition, including the final settlement of working capital balances, resulting in an adjustment of approximately $0.1 million to certain working capital accounts. No other change in the values ascribed to tangible or intangible assets and liabilities was necessary.</w:t>
      </w:r>
    </w:p>
    <w:p>
      <w:pPr>
        <w:spacing w:after="0" w:line="283"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 outstanding as of March 31, 2026 and December 31, 2025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4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Revolving Credit Facility maturing October 2028. Interest</w:t>
            </w: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payable periodically at variable interest rates. The</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rate at March 31, 2026 and December 31, 2025</w:t>
            </w: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425,000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was 7.6% and 7.3%, respectively.</w:t>
            </w:r>
          </w:p>
        </w:tc>
        <w:tc>
          <w:tcPr>
            <w:tcW w:w="1020" w:type="dxa"/>
            <w:vAlign w:val="bottom"/>
            <w:gridSpan w:val="2"/>
            <w:vMerge w:val="continue"/>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245,000</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Initial Term Loan maturing October 2028. Interest payable</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periodically at variable interest rates. The rate at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was 6.8%.</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Unamortized debt issuance costs amounted to $0.8 million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$0.9 million at March 31, 2026 and December 31, 2025,</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4.75% Senior Notes maturing October 2027. Unamortized debt</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issuance costs amounted to $0.6 million and $0.7 million at</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238,468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238,468</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8.25% Senior Notes maturing April 2029. Unamortized debt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amounted to $5.2 million and $5.7 million at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4.43% Lansing Correctional Facility Non-Recourse Mortgage</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Note maturing January 2040. Unamortized debt issuance</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costs amounted to $2.3 million at March 31, 2026</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132,828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134,339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and December 31, 2025.</w:t>
            </w: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1,406,452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1,230,307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(8,886)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(9,569)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(16,611)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(15,701)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1,380,955</w:t>
            </w: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1,205,037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5400" w:type="dxa"/>
            <w:vAlign w:val="bottom"/>
            <w:tcBorders>
              <w:top w:val="single" w:sz="8" w:color="CFF0FC"/>
            </w:tcBorders>
          </w:tcPr>
          <w:p>
            <w:pPr>
              <w:ind w:left="444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-1499870</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-1499870</wp:posOffset>
            </wp:positionV>
            <wp:extent cx="51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-933450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-916940</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-916940</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On October 11, 2023, CoreCivic entered into a Fourth Amended and Restated Credit Agreement (referred to herein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Credit Facility") in an aggregate principal amount of $400.0 million, consisting of a $125.0 million term loan (the "Initial Term Loan") and a revolving credit facility with a borrowing capacity of $275.0 million (the "Revolving Credit Facility"). The Bank Credit Facility has a maturity of October 2028. On December 1, 2025, the Company amended its Bank Credit Facility to, among other things, increase the size of the accordion feature that provides for uncommitted incremental extensions of credit from the greater of $200.0 million or 50% of Consolidated EBITDA for the period of four fiscal quarters most recently ended to the greater of $300.0 million or 50% of Consolidated EBITDA for the period of four fiscal quarters most recently ended, and to exercise the accordion feature by expanding the capacity under its revolving credit facility from $275.0 million to $575.0 million. At CoreCivic's option, interest on outstanding borrowings under the Bank Credit Facility is based on either a base rate plus a margin ranging from 1.75% to 3.5% based upon the Company’s then-current total leverage ratio, or at Term SOFR (as defined in the Bank Credit Facility), which is a forward-looking term rate based on the Secured Overnight Financing Rate ("SOFR") plus a margin ranging from 2.75% to 4.5% based on the Company’s then-current total leverage ratio. The Revolving Credit Facility includes a $25.0 million sublimit for swing line loans that enables CoreCivic to borrow at the base rate plus the applicable margin from the Administrative Agent (as defined in the Bank Credit Facility) on same-day notice.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the Company's total leverage ratio, as of March 31, 2026, interest on loans under the Bank Credit Facility, was at a base rate plus a margin of 2.0% or at the Term SOFR plus a margin of 3.0%, and a commitment fee equal to 0.40% of the unfunded balance of the Revolving Credit Facility. The Revolving Credit Facility also has a $100.0 million sublimit for the issuance of standby letters of credit. As of March 31, 2026, CoreCivic had $425.0 million outstanding under the Revolving Credit Facility. As of March 31, 2026, CoreCivic had $18.7 million in letters of credit outstanding resulting in $131.3 million available under the Revolving Credit Facility. The Initial Term Loan, which had an outstanding principal balance of $110.2 million as of March 31, 2026, requires scheduled quarterly principal payments through October 2028, and is pre-payable without penalty.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Credit Facility requires CoreCivic to meet certain financial covenants, including, without limitation, a total leverage ratio of not more than 4.50 to 1.00, a secured leverage ratio of not more than 2.50 to 1.00, and a fixed charge coverage ratio of not less than 1.75 to 1.00. As of March 31, 2026, CoreCivic was in compliance with all such covenants. The Bank Credit Facility is secured by a pledge of all of the capital stock (or other ownership interests) of CoreCivic's domestic restricted subsidiaries, 65% of the capital stock (or other ownership interests) of CoreCivic's "first-tier" foreign subsidiaries, all of the accounts receivable of the Company and its domestic restricted subsidiaries, and substantially all of the deposit accounts of the Company and its domestic restricted subsidiaries. In the event that (a) the consolidated total leverage equals or exceeds 4.25 to 1.00 or (b) the Company incurs certain debt above a specified threshold, each known as a "springing lien" event, certain intangible assets and unencumbered real estate assets that meet a 50% loan-to-value requirement are required to be added as collateral. In addition, the Bank Credit Facility contains certain covenants that, among other things, limit the incurrence of additional indebtedness, payment of dividends and other customary restricted payments, permitted investments, transactions with affiliates, asset sales, mergers and consolidations, liquidations, prepayments and modifications of other indebtedness, liens and other encumbrances and other matters customarily restricted in such agreements, and in each case subject to customary carveouts. The Bank Credit Facility is subject to cross-default provisions with respect to the terms of certain of CoreCivic's other material indebtedness and is subject to acceleration upon the occurrence of a change of control.</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Interest on the $238.5 million remaining aggregate principal amount of CoreCivic's 4.75% senior unsecured notes issued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with an original principal amount of $250.0 million (the "4.75% Senior Notes") accrues at the stated rate and is payable in April and October of each year. The 4.75% Senior Notes are scheduled to mature on October 15, 2027. During 2024 and 2023, the Company purchased $11.5 million principal amount of the 4.75% Senior Notes through open market purchases, reducing the outstanding balance of the 4.75% Senior Notes to $238.5 million. Interest on the aggregate principal amount of CoreCivic's 8.25% senior unsecured notes issued in March 2024 with a principal amount of $500.0 million (the "8.25% Senior Notes") accrues at the stated rate and is payable in April and October of each year. The 8.25% Senior Notes are scheduled to mature on April 15, 2029.</w:t>
      </w:r>
    </w:p>
    <w:p>
      <w:pPr>
        <w:spacing w:after="0" w:line="18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10" w:right="339" w:bottom="1440" w:gutter="0" w:footer="0" w:header="0"/>
        </w:sectPr>
      </w:pPr>
    </w:p>
    <w:bookmarkStart w:id="12" w:name="page13"/>
    <w:bookmarkEnd w:id="12"/>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The 4.75% Senior Notes and the 8.25% Senior Notes (collectively, the "Senior Notes") are senior unsecured obligations of the Company and are guaranteed by all of the Company's existing and future subsidiaries that guarantee the Bank Credit Facility. CoreCivic may redeem all or part of the 4.75% Senior Notes at any time prior to three months before their maturity date at a "make-whole" redemption price, plus accrued and unpaid interest thereon to, but not including, the redemption date. Thereafter, the 4.75% Senior Notes are redeemable at CoreCivic's option, in whole or in part, at a redemption price equal to 100% of the aggregate principal amount of the notes to be redeemed plus accrued and unpaid interest thereon to, but not including, the redemption date. The Company may redeem all or part of the 8.25% Senior Notes at any time prior to April 15, 2026, in whole or in part, at a "make-whole" redemption price, plus accrued and unpaid interest thereon to, but not including, the redemption date. Thereafter, the 8.25% Senior Notes are redeemable at CoreCivic's option, in whole or in part, at a redemption price expressed as a percentage of the principal amount thereof, which percentage is 104.125% beginning on April 15, 2026, 102.063% beginning on April 15, 2027, and 100% beginning on April 15, 2028, plus, in each such case, accrued and unpaid interest thereon to, but not including, the redemption date.</w:t>
      </w:r>
    </w:p>
    <w:p>
      <w:pPr>
        <w:spacing w:after="0" w:line="194"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The indentures governing the Senior Notes contain certain customary covenants that, subject to certain exceptions and qualifications, restrict CoreCivic's ability to, among other things, create or permit to exist certain liens and consolidate, merge or transfer all or substantially all of CoreCivic's assets. In addition, if CoreCivic experiences specific kinds of changes in control, CoreCivic must offer to repurchase all or any portion of the Senior Notes. The offer price for the Senior Notes in connection with a change in control would be 101% of the aggregate principal amount of the notes repurchased plus accrued and unpaid interest, if any, on the notes repurchased to the date of purchase. The indenture related to the 8.25% Senior Notes additionally limits CoreCivic's ability to incur indebtedness, make restricted payments and investments and prepay certain indebtedness. The Senior Notes are also subject to cross-default provisions with certain of CoreCivic's other indebtedness, which includes the Bank Credit Facility.</w:t>
      </w:r>
    </w:p>
    <w:p>
      <w:pPr>
        <w:spacing w:after="0" w:line="190"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Lansing Correctional Facility Non-Recourse Mortgage Note. </w:t>
      </w:r>
      <w:r>
        <w:rPr>
          <w:rFonts w:ascii="Times New Roman" w:cs="Times New Roman" w:eastAsia="Times New Roman" w:hAnsi="Times New Roman"/>
          <w:sz w:val="18"/>
          <w:szCs w:val="18"/>
          <w:color w:val="auto"/>
        </w:rPr>
        <w:t>On April 20, 2018, CoreCivic of Kansas, LLC (the "Issuer"), a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subsidiary of the Company, priced $159.5 million in aggregate principal amount of non-recourse senior secured notes of the Issuer (the "Kansas Notes"), in a private placement pursuant to Section 4(a)(2) of the Securities Act of 1933, as amended. The Kansas Notes have a yield to maturity of 4.43% and are scheduled to mature in January 2040, 20 years following completion of the project, which occurred in January 2020. Principal and interest on the Kansas Notes are payable in quarterly payments, which began in July 2020 and continue until maturity. CoreCivic may redeem all or part of the Kansas Notes at any time upon written notice of not less than 30 days and not more than 60 days prior to the date fixed for such prepayment, with a "make-whole" amount, together with interest on the Kansas Notes accrued to, but not including, the redemption date. Because the Issuer has been designated as an unrestricted subsidiary of the Company under terms of the Bank Credit Facility, the issuance and service of the Kansas Notes, and the revenues and expenses associated with the facility lease, do not impact the financial covenants associated with the Bank Credit Facility. As of March 31, 2026, the outstanding balance of the Kansas Notes was $132.8 million.</w:t>
      </w:r>
    </w:p>
    <w:p>
      <w:pPr>
        <w:spacing w:after="0" w:line="131" w:lineRule="exact"/>
        <w:rPr>
          <w:sz w:val="20"/>
          <w:szCs w:val="20"/>
          <w:color w:val="auto"/>
        </w:rPr>
      </w:pPr>
    </w:p>
    <w:p>
      <w:pPr>
        <w:jc w:val="both"/>
        <w:ind w:lef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Maturities. </w:t>
      </w:r>
      <w:r>
        <w:rPr>
          <w:rFonts w:ascii="Times New Roman" w:cs="Times New Roman" w:eastAsia="Times New Roman" w:hAnsi="Times New Roman"/>
          <w:sz w:val="18"/>
          <w:szCs w:val="18"/>
          <w:color w:val="auto"/>
        </w:rPr>
        <w:t>Scheduled principal payments as of March 31, 2026 for the remainder of 2026, the next five years, and thereafter were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w:t>
      </w:r>
    </w:p>
    <w:p>
      <w:pPr>
        <w:spacing w:after="0" w:line="178"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522,995</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89,533</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1,406,452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-170815</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333"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12, 2022, the Board of Directors ("BOD") approved a share repurchase program to repurchase up to $150.0 million of the Company's common stock. This original authorization, along with the dates and amounts of subsequent increases to the authorization by the BOD to the share repurchase program, are as follows (in thousands):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tbl>
      <w:tblPr>
        <w:tblLayout w:type="fixed"/>
        <w:tblInd w:w="6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8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12, 2022</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16, 2024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May 15, 2025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10, 2025</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authorization</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700,000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6043930</wp:posOffset>
            </wp:positionH>
            <wp:positionV relativeFrom="paragraph">
              <wp:posOffset>-170815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Repurchases of the Company's outstanding common stock will be made in accordance with applicable securities laws and may be made at the Company's discretion based on parameters set by the BOD from time to time in the open market, through privately negotiated transactions, or otherwise, subject to restricted payment limitations in our debt agreements. The share repurchase program has no time limit and does not obligate the Company to purchase any particular amount of its common stock. The authorization for the share repurchase program may be terminated, suspended, increased or decreased by the BOD in its discretion at any time. During the first quarter of 2026, the Company repurchased 2.3 million shares of its common stock at a total cost of $44.7 million, or $19.08 per share, excluding costs associated with the share repurchase program. As of March 31, 2026, the Company had repurchased a total of 28.1 million common shares at an aggregate cost of approximately $444.2 million, or $15.82 per share, and had approximately $255.8 million of repurchase authorization available under the share repurchase program.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CoreCivic issued approximately 1.3 million restricted common stock units ("RSUs") to certain of its employees and non-employee directors, with an aggregate value of $24.9 million including 1.2 million RSUs to employees and non-employee directors whose compensation is charged to general and administrative expense and 0.1 million RSUs to employees whose compensation is charged to operating expense. During the full year 2025, CoreCivic issued approximately 1.2 million RSUs to certain of its employees and non-employee directors, with an aggregate value of $23.9 million, including 1.1 million RSUs to employees and non-employee directors whose compensation is charged to general and administrative expense and 0.1 million RSUs to employees whose compensation is charged to operating expense.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CoreCivic has established performance-based vesting conditions on a portion of the RSUs awarded to its officers and executive officers that, unless earlier vested under the terms of the agreements, are subject to vesting over a three-year period based upon the satisfaction of certain annual performance criteria. The RSUs awarded to officers and executive officers in 2024, 2025 and 2026 consist of a combination of awards with performance-based conditions and time-based conditions. Unless earlier vested under the terms of the RSU agreements, the RSUs with time-based vesting conditions vest in equal amounts over three years on the later of (i) the anniversary date of the grant or (ii) the delivery of the audited financial statements by the Company's independent registered public accountant for the applicable fiscal year. The RSUs with performance-based vesting conditions are divided into one-third increments, each of which is subject to vesting based upon satisfaction of certain annual performance criteria established at the beginning of the fiscal years ending December 31, 2024, 2025, and 2026 for the 2024 awards, December 31, 2025, 2026, and 2027 for the 2025 awards, and December 31, 2026, 2027, and 2028 for the 2026 awards, and which can be increased up to 150% or decreased to 0% based on performance relative to the annual performance criteria, and further increased or decreased using a modifier of 80% to 120% based on CoreCivic's total shareholder return relative to a peer group. Because the performance criteria for the fiscal years ending December 31, 2027 and 2028 have not yet been established, the values of the third RSU increment of the 2025 awards and of the second and third increments of the 2026 awards for financial reporting purposes will not be determined until such criteria are established. Time-based RSUs issued to other employees, unless earlier vested under the terms of the agreements, generally vest in equal amounts over three years on the later of (i) the anniversary date of the grant or (ii) the delivery of the audited financial statements by the Company's independent registered public accountant for the applicable fiscal year. RSUs issued to non-employee directors generally vest one year from the date of award. As of March 31, 2026, approximately 2.4 million RSUs remained outstanding and subject to vesting.</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CoreCivic expensed $6.5 million, net of forfeitures, relating to RSUs ($0.3 million of which was recorded in operating expenses and $6.2 million of which was recorded in general and administrative expenses). During the three months ended March 31, 2025, CoreCivic expensed $6.5 million, net of forfeitures, relating to RSUs ($0.4 million of which was recorded in operating expenses and $6.1 million of which was recorded in general and administrative expenses).</w:t>
      </w:r>
    </w:p>
    <w:p>
      <w:pPr>
        <w:spacing w:after="0" w:line="1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08" w:right="339" w:bottom="1440" w:gutter="0" w:footer="0" w:header="0"/>
        </w:sectPr>
      </w:pPr>
    </w:p>
    <w:bookmarkStart w:id="14" w:name="page15"/>
    <w:bookmarkEnd w:id="14"/>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period. Diluted earnings per share reflects the potential dilution that could occur if securities or other contracts to issue common stock were exercised or converted into common stock or resulted in the issuance of common stock that then shared in the earnings of the entity. For CoreCivic, diluted earnings per share is computed by dividing net income by the weighted average number of common shares after considering the additional dilution related to restricted stock-based awards.</w:t>
      </w:r>
    </w:p>
    <w:p>
      <w:pPr>
        <w:spacing w:after="0" w:line="183"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numerator and denominator of the basic earnings per share computation to the numerator and denominator of the diluted earnings per share computation is as follows (in thousands, except per share data):</w:t>
      </w:r>
    </w:p>
    <w:p>
      <w:pPr>
        <w:spacing w:after="0" w:line="37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8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r>
      <w:tr>
        <w:trPr>
          <w:trHeight w:val="20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37,916</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260" w:type="dxa"/>
            <w:vAlign w:val="bottom"/>
            <w:shd w:val="clear" w:color="auto" w:fill="CFF0FC"/>
          </w:tcPr>
          <w:p>
            <w:pPr>
              <w:spacing w:after="0"/>
              <w:rPr>
                <w:sz w:val="22"/>
                <w:szCs w:val="22"/>
                <w:color w:val="auto"/>
              </w:rPr>
            </w:pPr>
          </w:p>
        </w:tc>
      </w:tr>
      <w:tr>
        <w:trPr>
          <w:trHeight w:val="197"/>
        </w:trPr>
        <w:tc>
          <w:tcPr>
            <w:tcW w:w="6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r>
      <w:tr>
        <w:trPr>
          <w:trHeight w:val="25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37,916</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260" w:type="dxa"/>
            <w:vAlign w:val="bottom"/>
            <w:shd w:val="clear" w:color="auto" w:fill="CFF0FC"/>
          </w:tcPr>
          <w:p>
            <w:pPr>
              <w:spacing w:after="0"/>
              <w:rPr>
                <w:sz w:val="22"/>
                <w:szCs w:val="22"/>
                <w:color w:val="auto"/>
              </w:rPr>
            </w:pPr>
          </w:p>
        </w:tc>
      </w:tr>
      <w:tr>
        <w:trPr>
          <w:trHeight w:val="197"/>
        </w:trPr>
        <w:tc>
          <w:tcPr>
            <w:tcW w:w="6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98,720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109,489</w:t>
            </w:r>
          </w:p>
        </w:tc>
        <w:tc>
          <w:tcPr>
            <w:tcW w:w="26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7"/>
        </w:trPr>
        <w:tc>
          <w:tcPr>
            <w:tcW w:w="6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98,720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109,489</w:t>
            </w:r>
          </w:p>
        </w:tc>
        <w:tc>
          <w:tcPr>
            <w:tcW w:w="260" w:type="dxa"/>
            <w:vAlign w:val="bottom"/>
          </w:tcPr>
          <w:p>
            <w:pPr>
              <w:spacing w:after="0"/>
              <w:rPr>
                <w:sz w:val="18"/>
                <w:szCs w:val="18"/>
                <w:color w:val="auto"/>
              </w:rPr>
            </w:pPr>
          </w:p>
        </w:tc>
      </w:tr>
      <w:tr>
        <w:trPr>
          <w:trHeight w:val="21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stock-based awards</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60" w:type="dxa"/>
            <w:vAlign w:val="bottom"/>
          </w:tcPr>
          <w:p>
            <w:pPr>
              <w:spacing w:after="0"/>
              <w:rPr>
                <w:sz w:val="18"/>
                <w:szCs w:val="18"/>
                <w:color w:val="auto"/>
              </w:rPr>
            </w:pPr>
          </w:p>
        </w:tc>
      </w:tr>
      <w:tr>
        <w:trPr>
          <w:trHeight w:val="249"/>
        </w:trPr>
        <w:tc>
          <w:tcPr>
            <w:tcW w:w="6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and assumed conversions</w:t>
            </w:r>
          </w:p>
        </w:tc>
        <w:tc>
          <w:tcPr>
            <w:tcW w:w="8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99,326</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110,458</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197"/>
        </w:trPr>
        <w:tc>
          <w:tcPr>
            <w:tcW w:w="6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860" w:type="dxa"/>
            <w:vAlign w:val="bottom"/>
          </w:tcPr>
          <w:p>
            <w:pPr>
              <w:jc w:val="right"/>
              <w:ind w:right="67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0.38</w:t>
            </w:r>
          </w:p>
        </w:tc>
        <w:tc>
          <w:tcPr>
            <w:tcW w:w="56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26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6"/>
        </w:trPr>
        <w:tc>
          <w:tcPr>
            <w:tcW w:w="6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860" w:type="dxa"/>
            <w:vAlign w:val="bottom"/>
            <w:tcBorders>
              <w:bottom w:val="single" w:sz="8" w:color="auto"/>
            </w:tcBorders>
            <w:shd w:val="clear" w:color="auto" w:fill="CFF0FC"/>
          </w:tcPr>
          <w:p>
            <w:pPr>
              <w:jc w:val="right"/>
              <w:ind w:right="67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0.38</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2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-1807845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-1791335</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-1807845</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-1791335</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-1508125</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-1490980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-1508125</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-1490980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-351155</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-334010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-351155</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-334010</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9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-25400</wp:posOffset>
            </wp:positionV>
            <wp:extent cx="59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-8255</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right="7280" w:hanging="512"/>
        <w:spacing w:after="0" w:line="378" w:lineRule="auto"/>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nature of CoreCivic's business results in claims and litigation alleging that it is liable for damages arising from the conduct of its employees, individuals in its care, or others. The nature of such claims includes, but is not limited to, claims arising from the misconduct of an employee or individual in the Company's care, medical malpractice, employment matters, property loss, contractual claims, including claims regarding compliance with contract performance requirements, and personal injury or other damages resulting from contact with CoreCivic's facilities, personnel or individuals in the Company's care, including damages arising from the escape of an individual in CoreCivic's care or from a disturbance at a facility. CoreCivic maintains insurance to cover many of these claims, which may mitigate the risk that any single claim would have a material effect on CoreCivic's consolidated financial position, results of operations, or cash flows, provided the claim is one for which coverage is available. The combination of self-insured retentions and deductible amounts means that, in the aggregate, CoreCivic is subject to self-insurance risk.</w:t>
      </w:r>
    </w:p>
    <w:p>
      <w:pPr>
        <w:spacing w:after="0" w:line="188"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upon management's review of the potential claims and outstanding litigation, and based upon management's experience and history of estimating losses, and taking into consideration CoreCivic's self-insured retention amounts, management believes a loss in excess of amounts already recognized would not be material to CoreCivic's consolidated financial statements. Adversarial proceedings and litigation are, however, subject to inherent uncertainties, and unfavorable decisions and rulings resulting from legal proceedings could occur which could have a material impact on CoreCivic's consolidated financial position, results of operations, or cash flows for the period in which such decisions or rulings occur, or future periods. Expenses associated with legal proceedings may also fluctuate from quarter to quarter based on changes in CoreCivic's assumptions, new developments, or by the effectiveness of CoreCivic's litigation and settlement strategies.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CoreCivic records a liability in the consolidated financial statements for loss contingencies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When determining the estimated loss or range of loss, significant judgment is required to estimate the amount and timing of a loss to be recorded. Any receivable for insurance recoveries is recorded separately from the corresponding litigation reserve, and only if recovery is determined to be probable and the amount of payment can be determined. CoreCivic does not accrue for anticipated legal fees and costs and expenses those items as incurred.</w:t>
      </w:r>
    </w:p>
    <w:p>
      <w:pPr>
        <w:spacing w:after="0" w:line="2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ICE Detainee Labor and Related Matters. </w:t>
      </w:r>
      <w:r>
        <w:rPr>
          <w:rFonts w:ascii="Times New Roman" w:cs="Times New Roman" w:eastAsia="Times New Roman" w:hAnsi="Times New Roman"/>
          <w:sz w:val="18"/>
          <w:szCs w:val="18"/>
          <w:color w:val="auto"/>
        </w:rPr>
        <w:t>On May 31, 2017, two former ICE detainees, who were detained at the Company's Otay Mesa Detention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("OMDC") in San Diego, California, filed a class action lawsuit against the Company in the United States District Court for the Southern District of California. The complaint alleged that the Company forces detainees to perform labor under threat of punishment in violation of state and federal anti-trafficking laws and that OMDC's Voluntary Work Program ("VWP") violates state labor laws including state minimum wage laws. ICE requires that CoreCivic offer and operate the VWP in conformance with ICE standards and ICE prescribes the minimum rate of pay for VWP participants. The Plaintiffs seek compensatory damages, exemplary damages, restitution, penalties, and interest as well as declaratory and injunctive relief on behalf of former and current detainees. On April 1, 2020, the district court certified a nationwide anti-trafficking claims class of former and current detainees who participated in an ICE VWP at a CoreCivic facility. It also certified a state law class of former and current detainees who participated in a VWP wherever the Company held ICE detainees in California. The Company has exhausted appeals of the class certification order. On May 6, 2024, the district court stayed the filing of dispositive motions on state law claims under California law pending the outcome of a related case being prosecuted by another private prison company. That case is currently on appeal in the Ninth Circuit Court of Appeals. The claims resulting in certified classes are proceeding in all other respects in the United States District Court for the Southern District of California, where the discovery process has commenced. A second California lawsuit concerning the VWP at OMDC has been stayed pending the outcome of class proceedings in the first California case described above.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stage of the ongoing proceedings, the Company cannot reasonably predict the outcomes, nor can it estimate the amount of loss or range of loss, if any, that may result. As a result, the Company has not recorded an accrual relating to these matters at this time, as losses are not considered probable or reasonably estimable at this stage of these lawsuits.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404040"/>
        </w:rPr>
        <w:t xml:space="preserve">California </w:t>
      </w:r>
      <w:r>
        <w:rPr>
          <w:rFonts w:ascii="Times New Roman" w:cs="Times New Roman" w:eastAsia="Times New Roman" w:hAnsi="Times New Roman"/>
          <w:sz w:val="18"/>
          <w:szCs w:val="18"/>
          <w:i w:val="1"/>
          <w:iCs w:val="1"/>
          <w:color w:val="000000"/>
        </w:rPr>
        <w:t>City Detention Facility Litigation.</w:t>
      </w:r>
      <w:r>
        <w:rPr>
          <w:rFonts w:ascii="Times New Roman" w:cs="Times New Roman" w:eastAsia="Times New Roman" w:hAnsi="Times New Roman"/>
          <w:sz w:val="18"/>
          <w:szCs w:val="18"/>
          <w:i w:val="1"/>
          <w:iCs w:val="1"/>
          <w:color w:val="404040"/>
        </w:rPr>
        <w:t xml:space="preserve"> </w:t>
      </w:r>
      <w:r>
        <w:rPr>
          <w:rFonts w:ascii="Times New Roman" w:cs="Times New Roman" w:eastAsia="Times New Roman" w:hAnsi="Times New Roman"/>
          <w:sz w:val="18"/>
          <w:szCs w:val="18"/>
          <w:color w:val="000000"/>
        </w:rPr>
        <w:t>Effective April 1, 2025, CoreCivic entered into a letter agreement with ICE to begin activation efforts</w:t>
      </w:r>
      <w:r>
        <w:rPr>
          <w:rFonts w:ascii="Times New Roman" w:cs="Times New Roman" w:eastAsia="Times New Roman" w:hAnsi="Times New Roman"/>
          <w:sz w:val="18"/>
          <w:szCs w:val="18"/>
          <w:i w:val="1"/>
          <w:iCs w:val="1"/>
          <w:color w:val="404040"/>
        </w:rPr>
        <w:t xml:space="preserve"> </w:t>
      </w:r>
      <w:r>
        <w:rPr>
          <w:rFonts w:ascii="Times New Roman" w:cs="Times New Roman" w:eastAsia="Times New Roman" w:hAnsi="Times New Roman"/>
          <w:sz w:val="18"/>
          <w:szCs w:val="18"/>
          <w:color w:val="000000"/>
        </w:rPr>
        <w:t>at the California City Detention Facility in California City, California. In August 2025, the California City facility began receiving detainees. On September 29, 2025, CoreCivic announced that it entered into a new two-year contract with ICE effective September 1, 2025. As of March 31, 2026, the Company cared for 1,817 individuals at this facility.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12, 2025, a putative class action case was filed by seven ICE detainees against ICE, seeking injunctive relief related to operation of the California City facility. The case was filed by attorneys affiliated with three non-governmental organizations. The Company is not currently a party to the lawsuit, but moved to intervene to seek appeal of the class certification order. The injunctive relief sought by Plaintiffs could impact operation of the California City facility. On February 6, 2026, the Northern District of California Court provisionally granted class certification for at least 120 days, and ordered ICE to ensure access to medical care, disability accommodations, and recreation opportunities to detainees housed at the California City facility. On March 30, 2026, the case was transferred to the Eastern District of California. If Plaintiffs continue to pursue injunctive relief and the Court orders such relief as requested, such relief could negatively impact the financial performance of the facility.</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Inmate Litigation Matter. </w:t>
      </w:r>
      <w:r>
        <w:rPr>
          <w:rFonts w:ascii="Times New Roman" w:cs="Times New Roman" w:eastAsia="Times New Roman" w:hAnsi="Times New Roman"/>
          <w:sz w:val="18"/>
          <w:szCs w:val="18"/>
          <w:color w:val="auto"/>
        </w:rPr>
        <w:t>On April 24, 2025, a jury returned a verdict in favor of a plaintiff against CoreCivic in the amount of $27.8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substantially covered by the Company's insurance. The plaintiff was an inmate at the Crossroads Correctional Center in Shelby, Montana, in 2018 when he was assaulted by another inmate. The jury determined that the plaintiff proved that the Company violated his civil rights by not adequately protecting him from the inmate-on-inmate assault. The Company appealed this decision to the Ninth Circuit Court of Appeals. While the case was on appeal, in January 2026, the parties settled this matter, with payments completed in the first quarter of 2026. The settlement did not have a material effect on the Company's results of operations or financial position.</w:t>
      </w:r>
    </w:p>
    <w:p>
      <w:pPr>
        <w:spacing w:after="0" w:line="18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228"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color w:val="auto"/>
        </w:rPr>
        <w:t>U.S. Department of Justice Investigation</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In August 2024, the state of Tennessee was notified by letter that the Department of Justice was commencing an investigation under the Civil Rights of Institutionalized Persons Act of conditions in the Company-owned and operated Trousdale Turner Correctional Center, which the Company manages on behalf of the Tennessee Department of Corrections. The Company is cooperating with the investigation.</w:t>
      </w:r>
    </w:p>
    <w:p>
      <w:pPr>
        <w:spacing w:after="0" w:line="17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taxes are accounted for under the provisions of ASC 740, "Income Taxes". ASC 740 generally requires CoreCivic to record deferred income taxes for the tax effect of differences between book and tax bases of its assets and liabilities. Deferred income taxes reflect the available net operating losses and the net tax effect of temporary differences between the carrying amounts of assets and liabilities for financial reporting purposes and the amounts used for income tax purposes using enacted tax rates in effect for the year in which the differences are expected to reverse. The effect of a change in tax rates on deferred tax assets and liabilities is recognized in the consolidated statement of operations in the period that includes the enactment date.</w:t>
      </w:r>
    </w:p>
    <w:p>
      <w:pPr>
        <w:spacing w:after="0" w:line="79"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Realization of the future tax benefits related to deferred tax assets is dependent on many factors, including CoreCivic's past earnings history, expected future earnings, the character and jurisdiction of such earnings, unsettled circumstances that, if unfavorably resolved, would adversely affect utilization of its deferred tax assets, carryback and carryforward periods, and tax strategies that could potentially enhance the likelihood of realization of a deferred tax asset. CoreCivic recorded an income tax expense of $14.4 million and $7.0 million for the three months ended March 31, 2026 and 2025, respectively. The Company’s net income tax rate varied from its statutory tax rate primarily due to a $0.3 million and $2.5 million tax benefit for stock-based compensation vesting recognized during the three months ended March 31, 2026 and 2025, respectively.</w:t>
      </w:r>
    </w:p>
    <w:p>
      <w:pPr>
        <w:spacing w:after="0" w:line="29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Contingencies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740 prescribes a recognition threshold and measurement attribute for the financial statement recognition and measurement of a tax position taken or expected to be taken in a tax return. The guidance prescribed in ASC 740 establishes a recognition threshold of more likely than not that a tax position will be sustained upon examination. The measurement attribute requires that a tax position be measured at the largest amount of benefit that is greater than 50% likely of being realized upon ultimate settlement.</w:t>
      </w:r>
    </w:p>
    <w:p>
      <w:pPr>
        <w:spacing w:after="0" w:line="179"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CoreCivic had no liabilities recorded for uncertain tax positions as of March 31, 2026 and December 31, 2025. CoreCivic recognizes interest and penalties related to unrecognized tax positions in income tax expense. CoreCivic does not currently anticipate that the total amount of unrecognized tax positions will significantly change in the next twelve months.</w:t>
      </w:r>
    </w:p>
    <w:p>
      <w:pPr>
        <w:spacing w:after="0" w:line="279"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President and Chief Executive Officer of the Company is identified as the Chief Operating Decision Maker ("CODM") as defined by ASU 2023-07, "Improvements to Reportable Segment Disclosures (Topic 280)". The CODM routinely reviews segment net operating income compared to budget and prior periods to assess performance and allocate resources within reportable segments. As of March 31, 2026, CoreCivic operated 44 correctional and detention facilities, 40 of which the Company owned or controlled via a long-term lease. In addition, CoreCivic operated 20 residential reentry centers, which it owned or controlled via a long-term lease, and owned five properties held for lease to government agencies. All revenues are attributed to CoreCivic's operations and long-lived assets located in the U.S. Management views CoreCivic's operating results in three operating segments, CoreCivic Safety, CoreCivic Community, and CoreCivic Properties, each of which is a reportable segment. CoreCivic Safety includes the operating results of those correctional and detention facilities placed into service that were owned or controlled via a long-term lease and managed by CoreCivic, as well as those correctional and detention facilities owned by a third party and managed by CoreCivic. CoreCivic Safety also includes the operating results of TransCor America, LLC, a subsidiary of the Company that provides transportation services to governmental agencies. CoreCivic Community includes the operating results of those residential reentry centers placed into service that were owned or controlled via a long-term lease and managed by CoreCivic. CoreCivic Community also includes the operating results of the Company's electronic monitoring and case management services. CoreCivic Properties includes the operating results of those properties held for lease to government agencies. The operating performance of the three segments can be measured based on their net operating income. CoreCivic defines facility net operating income as a facility's revenues less operating expenses.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 w:name="page18"/>
    <w:bookmarkEnd w:id="17"/>
    <w:p>
      <w:pPr>
        <w:ind w:left="3"/>
        <w:spacing w:after="0" w:line="282" w:lineRule="auto"/>
        <w:rPr>
          <w:sz w:val="20"/>
          <w:szCs w:val="20"/>
          <w:color w:val="auto"/>
        </w:rPr>
      </w:pPr>
      <w:r>
        <w:rPr>
          <w:rFonts w:ascii="Times New Roman" w:cs="Times New Roman" w:eastAsia="Times New Roman" w:hAnsi="Times New Roman"/>
          <w:sz w:val="18"/>
          <w:szCs w:val="18"/>
          <w:color w:val="auto"/>
        </w:rPr>
        <w:t>The revenue and facility net operating income for each of the three segments and a reconciliation to CoreCivic's income before income taxes is as follows for the three months ended March 31, 2026 and 2025 (in thousands):</w:t>
      </w:r>
    </w:p>
    <w:p>
      <w:pPr>
        <w:spacing w:after="0" w:line="155"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3" w:type="dxa"/>
        <w:tblCellMar>
          <w:top w:w="0" w:type="dxa"/>
          <w:left w:w="0" w:type="dxa"/>
          <w:bottom w:w="0" w:type="dxa"/>
          <w:right w:w="0" w:type="dxa"/>
        </w:tblCellMar>
      </w:tblPr>
      <w:tr>
        <w:trPr>
          <w:trHeight w:val="142"/>
        </w:trPr>
        <w:tc>
          <w:tcPr>
            <w:tcW w:w="68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Safety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577,947</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454,184</w:t>
            </w:r>
          </w:p>
        </w:tc>
        <w:tc>
          <w:tcPr>
            <w:tcW w:w="260" w:type="dxa"/>
            <w:vAlign w:val="bottom"/>
          </w:tcPr>
          <w:p>
            <w:pPr>
              <w:spacing w:after="0"/>
              <w:rPr>
                <w:sz w:val="18"/>
                <w:szCs w:val="18"/>
                <w:color w:val="auto"/>
              </w:rPr>
            </w:pPr>
          </w:p>
        </w:tc>
      </w:tr>
      <w:tr>
        <w:trPr>
          <w:trHeight w:val="21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Community</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32,080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29,708</w:t>
            </w: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260" w:type="dxa"/>
            <w:vAlign w:val="bottom"/>
          </w:tcPr>
          <w:p>
            <w:pPr>
              <w:spacing w:after="0"/>
              <w:rPr>
                <w:sz w:val="18"/>
                <w:szCs w:val="18"/>
                <w:color w:val="auto"/>
              </w:rPr>
            </w:pPr>
          </w:p>
        </w:tc>
      </w:tr>
      <w:tr>
        <w:trPr>
          <w:trHeight w:val="209"/>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614,729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488,534</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10"/>
        </w:trPr>
        <w:tc>
          <w:tcPr>
            <w:tcW w:w="68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Safety</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441,255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347,983</w:t>
            </w: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Community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24,124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w:t>
            </w:r>
          </w:p>
        </w:tc>
        <w:tc>
          <w:tcPr>
            <w:tcW w:w="26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467,698</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374,719</w:t>
            </w:r>
          </w:p>
        </w:tc>
        <w:tc>
          <w:tcPr>
            <w:tcW w:w="260" w:type="dxa"/>
            <w:vAlign w:val="bottom"/>
          </w:tcPr>
          <w:p>
            <w:pPr>
              <w:spacing w:after="0"/>
              <w:rPr>
                <w:sz w:val="18"/>
                <w:szCs w:val="18"/>
                <w:color w:val="auto"/>
              </w:rPr>
            </w:pPr>
          </w:p>
        </w:tc>
      </w:tr>
      <w:tr>
        <w:trPr>
          <w:trHeight w:val="20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net operating income: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Safety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136,692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106,201</w:t>
            </w:r>
          </w:p>
        </w:tc>
        <w:tc>
          <w:tcPr>
            <w:tcW w:w="260" w:type="dxa"/>
            <w:vAlign w:val="bottom"/>
          </w:tcPr>
          <w:p>
            <w:pPr>
              <w:spacing w:after="0"/>
              <w:rPr>
                <w:sz w:val="18"/>
                <w:szCs w:val="18"/>
                <w:color w:val="auto"/>
              </w:rPr>
            </w:pPr>
          </w:p>
        </w:tc>
      </w:tr>
      <w:tr>
        <w:trPr>
          <w:trHeight w:val="21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Community</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7,956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60" w:type="dxa"/>
            <w:vAlign w:val="bottom"/>
          </w:tcPr>
          <w:p>
            <w:pPr>
              <w:spacing w:after="0"/>
              <w:rPr>
                <w:sz w:val="18"/>
                <w:szCs w:val="18"/>
                <w:color w:val="auto"/>
              </w:rPr>
            </w:pPr>
          </w:p>
        </w:tc>
      </w:tr>
      <w:tr>
        <w:trPr>
          <w:trHeight w:val="209"/>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facility net operating income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147,031</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113,815</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 (expense):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(43,676)</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(36,016)</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(33,335)</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(30,518)</w:t>
            </w:r>
          </w:p>
        </w:tc>
      </w:tr>
      <w:tr>
        <w:trPr>
          <w:trHeight w:val="21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(17,681)</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(15,231)</w:t>
            </w: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68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52,310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32,090</w:t>
            </w:r>
          </w:p>
        </w:tc>
        <w:tc>
          <w:tcPr>
            <w:tcW w:w="2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-2545715</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-2545715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-1988185</wp:posOffset>
            </wp:positionV>
            <wp:extent cx="59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-1988185</wp:posOffset>
            </wp:positionV>
            <wp:extent cx="59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-1139190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-1139190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-24765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-7620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-24765</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6285865</wp:posOffset>
            </wp:positionH>
            <wp:positionV relativeFrom="paragraph">
              <wp:posOffset>-7620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jc w:val="both"/>
        <w:ind w:left="3" w:hanging="3"/>
        <w:spacing w:after="0" w:line="256" w:lineRule="auto"/>
        <w:tabs>
          <w:tab w:leader="none" w:pos="166"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Salaries and benefits expense is the only significant reportable segment expense regularly reviewed by the CODM for both the Safety and Community segments and represents the majority of segment-level operating expenses given that substantial staff are required to operate the facilities and is the primary factor that drives operating expenses and profitability. Conversely, the Properties segment does not have a significant segment expense given the fact that those properties are operated by government agencies. The following table summarizes the significant segment expense, along with other segment operating expenses to reconcile to total segment operating expenses for both the Safety and Community segments for the three months ended March 31, 2026 and 2025 (in thousands):</w:t>
      </w:r>
    </w:p>
    <w:p>
      <w:pPr>
        <w:spacing w:after="0" w:line="18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28" w:right="339" w:bottom="1440" w:gutter="0" w:footer="0" w:header="0"/>
        </w:sectPr>
      </w:pPr>
    </w:p>
    <w:bookmarkStart w:id="18" w:name="page19"/>
    <w:bookmarkEnd w:id="18"/>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8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Safety:</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280,829</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220,651</w:t>
            </w:r>
          </w:p>
        </w:tc>
        <w:tc>
          <w:tcPr>
            <w:tcW w:w="26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operating expenses </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160,426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127,332</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Safety operating expenses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441,255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347,983</w:t>
            </w:r>
          </w:p>
        </w:tc>
        <w:tc>
          <w:tcPr>
            <w:tcW w:w="260" w:type="dxa"/>
            <w:vAlign w:val="bottom"/>
          </w:tcPr>
          <w:p>
            <w:pPr>
              <w:spacing w:after="0"/>
              <w:rPr>
                <w:sz w:val="18"/>
                <w:szCs w:val="18"/>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Community:</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13,317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26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operating expenses </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10,807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Community operating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24,124</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23,613</w:t>
            </w:r>
          </w:p>
        </w:tc>
        <w:tc>
          <w:tcPr>
            <w:tcW w:w="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-719455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-719455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-153670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-153670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hanging="3"/>
        <w:spacing w:after="0" w:line="282" w:lineRule="auto"/>
        <w:tabs>
          <w:tab w:leader="none" w:pos="656"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Other segment operating expenses for each reportable segment include, but are not limited to, utilities, property taxes, repairs and maintenance, food, medical, travel, vocational and educational programming, personal care and other resident supplies.</w:t>
      </w:r>
    </w:p>
    <w:p>
      <w:pPr>
        <w:spacing w:after="0" w:line="162" w:lineRule="exact"/>
        <w:rPr>
          <w:sz w:val="20"/>
          <w:szCs w:val="20"/>
          <w:color w:val="auto"/>
        </w:rPr>
      </w:pPr>
    </w:p>
    <w:p>
      <w:pPr>
        <w:ind w:left="520" w:right="20"/>
        <w:spacing w:after="0" w:line="257" w:lineRule="auto"/>
        <w:rPr>
          <w:sz w:val="20"/>
          <w:szCs w:val="20"/>
          <w:color w:val="auto"/>
        </w:rPr>
      </w:pPr>
      <w:r>
        <w:rPr>
          <w:rFonts w:ascii="Times New Roman" w:cs="Times New Roman" w:eastAsia="Times New Roman" w:hAnsi="Times New Roman"/>
          <w:sz w:val="18"/>
          <w:szCs w:val="18"/>
          <w:color w:val="auto"/>
        </w:rPr>
        <w:t>The following table summarizes capital expenditures including accrued amounts for the three months ended March 31, 2026 and 2025 (in thousands):</w:t>
      </w:r>
    </w:p>
    <w:p>
      <w:pPr>
        <w:jc w:val="center"/>
        <w:ind w:left="6520"/>
        <w:spacing w:after="0" w:line="221" w:lineRule="auto"/>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540"/>
        <w:spacing w:after="0" w:line="232"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8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r>
      <w:tr>
        <w:trPr>
          <w:trHeight w:val="20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Safety</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17,754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260" w:type="dxa"/>
            <w:vAlign w:val="bottom"/>
          </w:tcPr>
          <w:p>
            <w:pPr>
              <w:spacing w:after="0"/>
              <w:rPr>
                <w:sz w:val="18"/>
                <w:szCs w:val="18"/>
                <w:color w:val="auto"/>
              </w:rPr>
            </w:pPr>
          </w:p>
        </w:tc>
      </w:tr>
      <w:tr>
        <w:trPr>
          <w:trHeight w:val="21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Community</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shd w:val="clear" w:color="auto" w:fill="CFF0FC"/>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20,690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24,529</w:t>
            </w:r>
          </w:p>
        </w:tc>
        <w:tc>
          <w:tcPr>
            <w:tcW w:w="26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assets are as follows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Safety</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2,586,260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2,556,748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Community</w:t>
            </w:r>
          </w:p>
        </w:tc>
        <w:tc>
          <w:tcPr>
            <w:tcW w:w="1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203,507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203,210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Properties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298,899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8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279,329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194,897</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 assets</w:t>
            </w: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3,367,995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3,256,743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-1079500</wp:posOffset>
            </wp:positionV>
            <wp:extent cx="431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9" w:name="page20"/>
    <w:bookmarkEnd w:id="19"/>
    <w:p>
      <w:pPr>
        <w:spacing w:after="0" w:line="9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jc w:val="both"/>
        <w:ind w:left="5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Combination. </w:t>
      </w:r>
      <w:r>
        <w:rPr>
          <w:rFonts w:ascii="Times New Roman" w:cs="Times New Roman" w:eastAsia="Times New Roman" w:hAnsi="Times New Roman"/>
          <w:sz w:val="18"/>
          <w:szCs w:val="18"/>
          <w:color w:val="auto"/>
        </w:rPr>
        <w:t>Subsequent to quarter end, on April 1, 2026, the Company acquired Clinical Solutions Pharmacy ("CSP"), one of the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of mail order pharmacy services to correctional facilities in the United States, serving over 600 correctional facilities, including CoreCivic, across 28 states. The acquisition was consummated through the acquisition of 100% of the ownership interests of CS Solutions Intermediate Holdings, LLC. The initial purchase price of approximately $148.0 million, excluding transaction-related expenses which totaled $2.4 million during the first quarter of 2026, was funded with cash on hand and borrowings under the Revolving Credit Facility. The acquisition also includes an earn-out, which could increase the purchase price if CSP achieves specified financial targets in 2026. This contingent consideration will be estimated at fair value in the second quarter of 2026 and measured at fair value each reporting period until settled in cash. The results of operations for this business combination will be included in the Company's consolidated financial statements from the date of the acquisition on April 1, 2026. The initial accounting of the purchase price for the CSP acquisition is provisional and subject to adjustment as additional information becomes available and further analyses are completed, including the determination of the contingent consideration and the final settlement of working capital accounts.</w:t>
      </w:r>
    </w:p>
    <w:p>
      <w:pPr>
        <w:spacing w:after="0" w:line="84" w:lineRule="exact"/>
        <w:rPr>
          <w:sz w:val="20"/>
          <w:szCs w:val="20"/>
          <w:color w:val="auto"/>
        </w:rPr>
      </w:pPr>
    </w:p>
    <w:p>
      <w:pPr>
        <w:jc w:val="both"/>
        <w:ind w:left="5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Incremental Term Loan. </w:t>
      </w:r>
      <w:r>
        <w:rPr>
          <w:rFonts w:ascii="Times New Roman" w:cs="Times New Roman" w:eastAsia="Times New Roman" w:hAnsi="Times New Roman"/>
          <w:sz w:val="18"/>
          <w:szCs w:val="18"/>
          <w:color w:val="auto"/>
        </w:rPr>
        <w:t>On April 10, 2026, the Company amended its Bank Credit Facility to, among other things, obtain an Incremental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in the amount of $100.0 million from existing lenders under the Bank Credit Facility. The Company used the net proceeds from the Incremental Term Loan to pay down a portion of the amounts outstanding under the Revolving Credit Facility and for working capital and general corporate purposes. The Incremental Term Loan matures April 9, 2027, and bears interest at an applicable margin that is 0.25% in excess of the applicable margin in effect for the Initial Term Loan and Revolving Credit Facility, which floats based upon the Company's consolidated total leverage ratio. The Incremental Term Loan is prepayable without penalty.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financial statements and notes thereto appearing elsewhere in this quarterly report on Form 10-Q, or Quarterly Report. In this Quarterly Report we use the terms, the "Company," "CoreCivic," "we," "us," and "our" to refer to CoreCivic, Inc. and its subsidiaries unless context indicates otherwise.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contains statements as to our beliefs and expectations of the outcome of future events that are forward-looking statements as defined within the meaning of the Private Securities Litigation Reform Act of 1995, as amended. All statements other than statements of current or historical fact contained herein, including statements regarding our future financial position, business strategy, budgets, projected costs and plans, and objectives of management for future operations, are forward-looking statements. The words "anticipate," "believe," "continue," "could," "estimate," "expect," "intend," "may," "plan," "projects," "will," and similar expressions, as they relate to us, are intended to identify forward-looking statements. These forward-looking statements are subject to risks and uncertainties that could cause actual results to differ materially from the statements made. These include, but are not limited to, the risks and uncertainties associated with:</w:t>
      </w:r>
    </w:p>
    <w:p>
      <w:pPr>
        <w:spacing w:after="0" w:line="81" w:lineRule="exact"/>
        <w:rPr>
          <w:sz w:val="20"/>
          <w:szCs w:val="20"/>
          <w:color w:val="auto"/>
        </w:rPr>
      </w:pPr>
    </w:p>
    <w:p>
      <w:pPr>
        <w:jc w:val="both"/>
        <w:ind w:left="1020" w:hanging="503"/>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policy,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as a consequence of presidential executive orders, changes in how the federal government, including U.S. Immigration and Customs Enforcement, or ICE, elects to use our detention capacity or otherwise procures alternative detention capacity, and the impact of any changes to immigration reform and sentencing laws (we do not, under longstanding policy, lobby for or against policies or legislation that would determine the basis for, or duration of, an individual's incarceration or detention);</w:t>
      </w:r>
    </w:p>
    <w:p>
      <w:pPr>
        <w:spacing w:after="0" w:line="7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correctional, detention, and residential reentry facility management contracts because of reasons including, but not limited to, sufficient governmental appropriations, contract compliance, negative publicity and effects of inmate disturbances;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activate idle facilities in a timely manner in order to meet the growth in demand for our facilities and services from the federal government that has occurred as a result of changes in policies and actions of the current presidential administration, and to realize projected returns resulting therefrom;</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but not limited to, the impact governmental budgets can have on our contract renewals and renegotiations, per diem rates, and occupancy;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because of, among other things, changes in occupancy levels; competition; contract renegotiations or terminations; inflation and other increases in costs of operations, including a rise in labor costs; fluctuations in interest rates and risks of operations;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budget uncertainty, the impact of debt ceilings and government shutdowns, including partial shutdowns, and changing budget priorities;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consummate future development and acquisition opportunities, integrate their operations, and realize projected returns resulting therefrom;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debt and equity financing on terms that are favorable to us, or at all.</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or all of our forward-looking statements in this Quarterly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our Annual Report on Form 10-K for the year ended December 31, 2025 (including those risks and uncertainties described under Part I, Item 1A. Risk Factors) filed with the Securities and Exchange Commission, or the SEC, on February 20, 2026, or the 2025 Form 10-K, and in other reports, documents, and other information we file with the SEC from time to time. Readers are cautioned not to place undue reliance on these forward-looking statements, which speak only as of the date hereof. New risks and uncertainties arise from time to time, and it is impossible for us to predict these events or how they may affect us. We undertake no obligation to publicly update or revise any forward-looking statements made in this Quarterly Report, except as may be required by law. All subsequent written and oral forward-looking statements attributable to us or persons acting on our behalf are expressly qualified in their entirety by the cautionary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network of residential reentry centers to help address America's recidivism crisis, and government real estate solutions. We have been a flexible and dependable partner for government for over 40 years. Our employees are driven by a deep sense of service, high standards of professionalism and a responsibility to help government better the public good.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the nation's largest owner of partnership correctional, detention, and residential reentry facilities and one of the largest operators of such facilities in the United States. As of March 31, 2026, through our CoreCivic Safety segment, we operated 44 correctional and detention facilities, 40 of which we owned or controlled via a long-term lease, with a total design capacity of approximately 68,000 beds. Through our CoreCivic Community segment, we operated 20 residential reentry centers, which we owned or controlled via a long-term lease, with a total design capacity of approximately 4,000 beds. In addition, through our CoreCivic Properties segment, we owned five properties, with a total design capacity of approximately 8,000 beds.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providing fundamental residential services, our correctional, detention, and residential reentry facilities offer a variety of rehabilitation and educational programs, including basic education, faith-based services, life skills and employment training, and substance abuse treatment. These services are intended to help reduce recidivism and to prepare individuals in our care for their successful reentry into society upon their release. We also provide or make available to individuals in our care certain health care (including medical, dental, and mental health services), food services, and work and recreational programs. On April 1, 2026, we acquired Clinical Solutions Pharmacy, or CSP, in an all-cash transaction. CSP is one of the largest providers of mail order pharmacy services to correctional facilities in the United States, servicing over 600 correctional facilities, including CoreCivic, across 28 states. We expect the acquisition of CSP to diversify our cash flows in a complementary business and a growing market.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Maryland corporation formed in 1983. Our principal executive offices are located at 5501 Virginia Way, Brentwood, Tennessee, 37027, and our telephone number at that location is (615) 263-3000. Our website address is www.corecivic.com. We make available on or through our website certain reports and amendments to those reports that we file with or furnish to the SEC in accordance with the Securities Exchange Act of 1934, as amended, or the Exchange Act. Such reports include our Annual Reports on Form 10-K, our Quarterly Reports on Form 10-Q and our Current Reports on Form 8-K and our definitive proxy statement.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 Information contained on our website is not incorporated by reference herein and is not part of this Quarterly Report. The SEC maintains a website that contains reports, proxy and information statements, and other information regarding issuers that file electronically with the SEC at the following address: www.sec.gov.</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his inauguration on January 20, 2025, President Trump issued nine executive actions intended to secure the borders of the United States and remove illegal immigrants, prioritizing those with criminal histories. These initial orders included the declaration of a national emergency at the United States southern border. Also included in these executive actions was the issuance of an executive order titled "Protecting the American People Against Invasion" which calls on the federal government to faithfully execute the immigration laws of the United States, including the removal of aliens, particularly those who threaten the safety of the American people. This executive order calls on the Secretary of Homeland Security to “take all appropriate action and allocate all legally available resources or establish contracts to construct, operate, control, or use facilities to detain removable aliens” and “take all appropriate actions to ensure the detention of aliens apprehended for violations of immigration law pending the outcome of their removal proceedings or their removal from the country, to the extent permitted by law.”</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or OBBBA. OBBBA appropriates a total of $75 billion in mandatory funding to ICE for immigration enforcement activities and to increase detention capacity. Specifically, OBBBA appropriates $45 billion for single adult alien detention capacity and family residential center capacity. This funding is a significant increase in funding historically provided to ICE for border security and immigration detention. The funding will remain available through September 30, 2029, and is in addition to base annual appropriations during that time period. The additional funding is also being used by the Department of Homeland Security, or DHS, to hire nearly 10,000 new ICE officers to implement the immigration enforcement initiatives.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Given the legislative and executive actions mentioned above, among others, we believe the short-term growth opportunities of our business are particularly attractive as federal government agencies consider their emergent needs. During 2025, ICE began to utilize additional bed capacity in our portfolio at facilities with existing contracts, we signed new contracts to activate five previously idled facilities, and we have been in discussion with ICE to activate additional idle facilities. The number of people we care for under contracts with ICE has increased by approximately 4,500 individuals, or 44.7%, from the beginning of 2025 through March 31, 2026. As of March 31, 2026, we had five idle correctional facilities containing approximately 7,000 beds that are operated with a core staffing complement to remain currently available and that are being actively marketed as solutions to the correctional or detention needs of potential customers.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entered into contract modifications at our 2,016-bed Northeast Ohio Correctional Center in Youngstown, Ohio, our 1,072-bed Nevada Southern Detention Center in Pahrump, Nevada, and our 1,600-bed Cimarron Correctional Facility in Cushing, Oklahoma to collectively add capacity for up to 784 ICE detainees. We subsequently entered into two additional modifications in the second half of 2025 to collectively add additional capacity at the Cimarron facility for up to nearly 300 ICE detainees.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5, 2025, we announced that we had agreed under an amendment to an intergovernmental service agreement, or IGSA, to resume operations and care for up to 2,400 individuals at the 2,400-bed Dilley Immigration Processing Center in Dilley, Texas, or the Dilley Facility. The amended IGSA expires in March 2030 and may be further extended through bilateral modification. We began receiving residents at this facility during April 2025. Activation of the Dilley Facility was completed in September 2025. Previously, after nearly ten years of operation, we received notification from ICE on June 10, 2024 of its intent to terminate funding of the IGSA for services at the Dilley Facility effective August 9, 2024. We did not operate the Dilley Facility from August 9, 2024 until the resumption of operations at the facility on March 5,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March 7, 2025, we entered into a letter agreement with ICE to begin activation efforts at our 1,033-bed Midwest Regional Reception Center in Leavenworth, Kansas. The letter agreement authorized initial funding up to $5.0 million with maximum funding up to $22.6 million for a six-month period while we worked to negotiate and execute a longer-term contract. On September 29, 2025, we announced that we entered into a new contract with ICE effective September 7, 2025. The City of Leavenworth filed a lawsuit alleging that a Special Use Permit, or SUP, was required to activate the facility, which resulted in a delay in the intake process. In December 2025, we filed an application for the SUP, and subsequently obtained approval for the SUP on March 11, 2026. We began accepting detainees at the Midwest facility on March 12, 2026. The new agreement, which expires September 6, 2027, provides for a fixed monthly payment plus an incremental per diem payment based on detainee populations. As of March 31, 2026, we cared for 94 individuals at the facility.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 2025, we entered into a letter agreement with ICE to begin activation efforts at our 2,560-bed California City Detention Facility, or the California City Facility. The letter agreement authorized initial funding up to $10.0 million with maximum funding up to $31.2 million for a six-month period while we worked to negotiate and execute a long-term contract. We began receiving ICE detainees at our California City Facility during August 2025, under terms of the letter agreement. On September 29, 2025, we announced that we entered into a new two-year contract with ICE effective September 1, 2025. As of March 31, 2026, we cared for 1,817 individuals at the facility. On November 12, 2025, a putative class action case was filed by seven ICE detainees against ICE, seeking injunctive relief related to operation of the facility. The case was filed by attorneys affiliated with three non-governmental organizations. We are not currently a party to the lawsuit, but moved to intervene to seek appeal of the class certification order. The injunctive relief sought by Plaintiffs could impact operation of the California City Facility. On February 6, 2026, the Northern District of California Court provisionally granted class certification for at least 120 days, and ordered ICE to ensure access to medical care, disability accommodations, and recreation opportunities to detainees housed at the California City Facility. On March 30, 2026, the case was transferred to the Eastern District of California. If Plaintiffs continue to pursue injunctive relief and the Court orders such relief as requested, such relief could negatively impact the financial performance of the facility. See Note 8 of the Notes to the Consolidated Financial Statements contained in this Quarterly Report for further discussion of the pending litigation.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14, 2025, we announced that we had been awarded a new contract through an IGSA with ICE to resume operations at our previously idled 600-bed West Tennessee Detention Facility in Mason, Tennessee. The West Tennessee facility had been idle since September 2021. The IGSA expires in August 2030 and may be further extended through bilateral modification. We began receiving ICE detainees at the West Tennessee facility during September 2025, and as of March 31, 2026, we cared for 385 individuals at the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2025, we announced that we had been awarded a new contract through an IGSA between the Oklahoma Department of Corrections and ICE to resume operations at our previously idled 2,160-bed Diamondback Correctional Facility in Watonga, Oklahoma. The Diamondback facility had been idle since 2010. The new contract commenced on September 30, 2025, expires in September 2029, and may be further extended through bilateral modification. We began receiving detainees in December 2025, and as of March 31, 2026, we cared for 735 individuals at the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While we believe the legislative and executive actions mentioned above will create long-term needs from our federal partners, we also believe the long-term growth opportunities of our business remain attractive as state and county government agencies consider the efficiency and offender programming opportunities we provide as flexible solutions to satisfy their needs. We have been in discussions with several state and county government agencies that have experienced challenges in staffing their public-sector facilities and are seeking solutions from the private sector. Further, several of our existing government partners, as well as prospective government partners, have been experiencing growth in offender populations and overcrowded conditions. Governments are continuing to assess their need for correctional space, and several are considering alternative correctional capacity for their aged or inefficient infrastructure, or are seeking cost savings by utilizing the private sector, which could result in increased future demand for the solutions we provide.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consolidated financial statements in this Quarterly Report are prepared in conformity with U.S. generally accepted accounting principles, or GAAP. As such, we are required to make certain estimates, judgments, and assumptions that we believe are reasonable based upon the information available which, by their nature, are subject to an inherent degree of uncertainty. These estimates and assumptions affect the reported amounts of assets and liabilities at the date of the consolidated financial statements and the reported amounts of revenue and expenses during the reporting period. There can be no assurance that actual results will not differ from our estimates. A summary of our significant accounting policies is described in our 2025 Form 10-K. The significant accounting policies and estimates which we believe are the most critical to aid in fully understanding and evaluating our reported financial results include those related to idle facilities and asset impairments, self-funded insurance reserves, and legal reserves. For a discussion of our critical accounting policies and estimates, please refer to </w:t>
      </w:r>
      <w:r>
        <w:rPr>
          <w:rFonts w:ascii="Times New Roman" w:cs="Times New Roman" w:eastAsia="Times New Roman" w:hAnsi="Times New Roman"/>
          <w:sz w:val="18"/>
          <w:szCs w:val="18"/>
          <w:i w:val="1"/>
          <w:iCs w:val="1"/>
          <w:color w:val="auto"/>
        </w:rPr>
        <w:t>Item 7, "Management's Discussion and Analysis of Financial Condition and Results of Operations" and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presented in our 2025 Form 10-K. There were no newly identified critical accounting policies during the first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2026, nor were there any material changes to the critical accounting policies and estimates discussed in our 2025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are impacted by the number of correctional and detention facilities we operated, including 40 we owned or controlled via a long-term lease and four owned by our government partners (CoreCivic Safety), the number of residential reentry centers we owned or controlled via a long-term lease (CoreCivic Community), the number of facilities we leased to government agencies (CoreCivic Properties), and the facilities we owned that were not in operation. The following table sets forth the changes in the number of facilities in operation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CoreCivic</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0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Safety</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Community</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2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as of December 31, 2024</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Resumption of operations at the Dilley Facility</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r>
      <w:tr>
        <w:trPr>
          <w:trHeight w:val="198"/>
        </w:trPr>
        <w:tc>
          <w:tcPr>
            <w:tcW w:w="5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Transition of the California City Facility to the Safety</w:t>
            </w: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segment upon activation of a contract with ICE</w:t>
            </w:r>
          </w:p>
        </w:tc>
        <w:tc>
          <w:tcPr>
            <w:tcW w:w="14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April 2025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 the Farmville Detention Center in</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Farmville, Virginia</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July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an idled residential reentry center in Colorado</w:t>
            </w:r>
          </w:p>
        </w:tc>
        <w:tc>
          <w:tcPr>
            <w:tcW w:w="14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September 2025</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Sale of an idled non-core facility in California</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2025</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Facilities as of December 31, 2025 and March 31, 2026</w:t>
            </w: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the Three Months Ended March 31, 2025</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was $37.9 million, or $0.38 per diluted share, for the three months ended March 31, 2026, compared with net income of $25.1 million, or $0.23 per diluted share, for the three months ended March 31, 2025. Financial results for the three months ended March 31, 2026 reflect $2.4 million of expenses associated with mergers and acquisitions, as further described hereinafter. For the three months ended March 31, 2026, the income tax expense reflects a net benefit of $0.7 million associated with this special item.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Our Current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17" w:lineRule="exact"/>
        <w:rPr>
          <w:sz w:val="20"/>
          <w:szCs w:val="20"/>
          <w:color w:val="auto"/>
        </w:rPr>
      </w:pPr>
    </w:p>
    <w:p>
      <w:pPr>
        <w:jc w:val="both"/>
        <w:ind w:left="840" w:hanging="380"/>
        <w:spacing w:after="0" w:line="261"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Safety segment, consisting of the 44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71" w:lineRule="exact"/>
        <w:rPr>
          <w:rFonts w:ascii="Times New Roman" w:cs="Times New Roman" w:eastAsia="Times New Roman" w:hAnsi="Times New Roman"/>
          <w:sz w:val="18"/>
          <w:szCs w:val="18"/>
          <w:color w:val="auto"/>
        </w:rPr>
      </w:pPr>
    </w:p>
    <w:p>
      <w:pPr>
        <w:ind w:left="840" w:hanging="38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Community segment, consisting of the 20 residential reentry centers that are owned or controlled via a long-term lease and managed by CoreCivic. CoreCivic Community also includes the operating results of our electronic monitoring and case management services.</w:t>
      </w:r>
    </w:p>
    <w:p>
      <w:pPr>
        <w:spacing w:after="0" w:line="53" w:lineRule="exact"/>
        <w:rPr>
          <w:rFonts w:ascii="Times New Roman" w:cs="Times New Roman" w:eastAsia="Times New Roman" w:hAnsi="Times New Roman"/>
          <w:sz w:val="18"/>
          <w:szCs w:val="18"/>
          <w:color w:val="auto"/>
        </w:rPr>
      </w:pPr>
    </w:p>
    <w:p>
      <w:pPr>
        <w:ind w:left="840" w:hanging="383"/>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CoreCivic Properties segment, consisting of the five correctional real estate properties owned by CoreCivic held for lease to government agencies.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our total segment net operating income, which we define as facility revenue (including interest income associated with finance leases) less operating expenses, was divided among our three business segments as follows: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73"/>
        </w:trPr>
        <w:tc>
          <w:tcPr>
            <w:tcW w:w="56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r>
      <w:tr>
        <w:trPr>
          <w:trHeight w:val="209"/>
        </w:trPr>
        <w:tc>
          <w:tcPr>
            <w:tcW w:w="6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16"/>
        </w:trPr>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Safety</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91.7%</w:t>
            </w:r>
          </w:p>
        </w:tc>
        <w:tc>
          <w:tcPr>
            <w:tcW w:w="7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6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Community</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w:t>
            </w:r>
          </w:p>
        </w:tc>
        <w:tc>
          <w:tcPr>
            <w:tcW w:w="7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r>
      <w:tr>
        <w:trPr>
          <w:trHeight w:val="238"/>
        </w:trPr>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Properties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w:t>
            </w:r>
          </w:p>
        </w:tc>
        <w:tc>
          <w:tcPr>
            <w:tcW w:w="7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key performance indicator we use to measure the revenue and expenses associated with the operation of the correctional, detention, and residential reentry facilities we own or manage is expressed in terms of a compensated man-day, which represents the revenue we generate and expenses we incur for one individual in our care for one calendar day. Revenue and expenses per compensated man-day are computed by dividing facility revenue and expenses by the total number of compensated man-days during the period. A compensated man-day represents a calendar day for which we are paid for the occupancy of an individual in our care. We believe the measurement is useful because we are compensated for operating and managing facilities at a per diem rate based upon actual or minimum guaranteed occupancy levels. We also measure our costs on a per compensated man-day basis, which are largely dependent upon the number of individuals in our care we accommodate. Further, per compensated man-day measurements are also used to estimate our potential profitability based on certain occupancy levels relative to design capacity. Revenue and expenses per compensated man-day for all of the correctional, detention, and residential reentry facilities placed into service that we owned or managed, exclusive of those held for lease, and for TransCor were as follows for the three months ended March 31, 2026 and 2025:</w:t>
      </w:r>
    </w:p>
    <w:p>
      <w:pPr>
        <w:spacing w:after="0" w:line="188"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33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116.53</w:t>
            </w:r>
          </w:p>
        </w:tc>
        <w:tc>
          <w:tcPr>
            <w:tcW w:w="2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3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2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Fixed expense</w:t>
            </w:r>
          </w:p>
        </w:tc>
        <w:tc>
          <w:tcPr>
            <w:tcW w:w="2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64.83</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3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expense</w:t>
            </w:r>
          </w:p>
        </w:tc>
        <w:tc>
          <w:tcPr>
            <w:tcW w:w="25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88.55</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34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33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27.98</w:t>
            </w:r>
          </w:p>
        </w:tc>
        <w:tc>
          <w:tcPr>
            <w:tcW w:w="2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4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Operating margin</w:t>
            </w:r>
          </w:p>
        </w:tc>
        <w:tc>
          <w:tcPr>
            <w:tcW w:w="2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24.0%</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occupancy</w:t>
            </w:r>
          </w:p>
        </w:tc>
        <w:tc>
          <w:tcPr>
            <w:tcW w:w="2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79.6%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77.0%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1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available beds</w:t>
            </w:r>
          </w:p>
        </w:tc>
        <w:tc>
          <w:tcPr>
            <w:tcW w:w="25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71,884</w:t>
            </w:r>
          </w:p>
        </w:tc>
        <w:tc>
          <w:tcPr>
            <w:tcW w:w="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66,776</w:t>
            </w:r>
          </w:p>
        </w:tc>
        <w:tc>
          <w:tcPr>
            <w:tcW w:w="34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population</w:t>
            </w:r>
          </w:p>
        </w:tc>
        <w:tc>
          <w:tcPr>
            <w:tcW w:w="25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57,243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51,429</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52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-1731010</wp:posOffset>
            </wp:positionV>
            <wp:extent cx="1289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-1731010</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-1422400</wp:posOffset>
            </wp:positionV>
            <wp:extent cx="1289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-1405255</wp:posOffset>
            </wp:positionV>
            <wp:extent cx="1289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-1422400</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-1405255</wp:posOffset>
            </wp:positionV>
            <wp:extent cx="1111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-1096645</wp:posOffset>
            </wp:positionV>
            <wp:extent cx="1289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-1079500</wp:posOffset>
            </wp:positionV>
            <wp:extent cx="1289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-1096645</wp:posOffset>
            </wp:positionV>
            <wp:extent cx="1111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-1079500</wp:posOffset>
            </wp:positionV>
            <wp:extent cx="1111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consists of management revenue we generate through CoreCivic Safety and CoreCivic Community in the operation of correctional, detention, and residential reentry facilities, as well as the revenue we generate from TransCor and our electronic monitoring and case management services. Total revenue also consists of lease revenue we generate through CoreCivic Properties from facilities we lease to third-party operators. The following table reflects the components of revenue for the three months ended March 31, 2026 and 2025 (in millions):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revenue:</w:t>
            </w: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358.1</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Local</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management revenue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614.7</w:t>
            </w:r>
          </w:p>
        </w:tc>
        <w:tc>
          <w:tcPr>
            <w:tcW w:w="2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2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-590550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-590550</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-590550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-590550</wp:posOffset>
            </wp:positionV>
            <wp:extent cx="1460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-24765</wp:posOffset>
            </wp:positionV>
            <wp:extent cx="1460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1460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3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$126.1 million, or 26.1%, increase in total management revenue for the three months ended March 31, 2026 as compared with the same period in 2025 was primarily a result of an increase in revenue of $71.2 million driven primarily by an increase of 13.5% in average revenue per compensated man-day. The increase in average revenue per compensated man-day primarily resulted from the effect of per diem increases at many of our facilities, along with a change in business mix. The increase in total management revenue was also a result of an increase in revenue of $53.7 million driven by an increase in average daily compensated population from 2025 to 2026.</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Average daily compensated population increased 5,814, or 11.3%, to 57,243 during the three months ended March 31, 2026 compared to 51,429 during the three months ended March 31, 2025. The increase in average daily compensated population was primarily a result of an increase in occupancy largely due to higher ICE populations, including from new contracts to reactivate the Dilley Facility, our California City Facility, our West Tennessee facility, and our Diamondback Correctional Facility. These four facilities accounted for an increase in average daily compensated population of 4,798 during the three months ended March 31, 2026 compared with the same period in 2025. We currently expect average daily compensated populations to continue to increase in 2026 as a result of these new contracts. In addition, our acquisition of the Farmville Detention Center effective July 1, 2025 also contributed to the increase in average daily compensated population. At March 31, 2026, we cared for 580 individuals at the Farmville facility. Average daily compensated occupancy in our Safety and Community segments was 79.6% and 77.0% during the three months ended March 31, 2026 and 2025, respectively. This increase in average daily compensated occupancy occurred despite an increase in average available beds due to the activation and transfer of our 2,560-bed California City Facility from the Properties segment to the Safety segment effective April 1, 2025. We began receiving ICE detainees at our California City Facility during August 2025 and, as of March 31, 2026, we cared for 1,817 individuals at the facility.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solutions we provide to our federal customers, including primarily ICE and the U.S Marshals Service, or USMS, continue to be a significant component of our business. The federal customers in our Safety and Community segments generated approximately 58% and 49% of our total revenue for the three months ended March 31, 2026 and 2025, respectively, increasing $116.8 million, or 48.4%, during the three months ended March 31, 2026 as compared with the same period in 2025. The increase in federal revenue was primarily a result of increased occupancy at certain facilities, particularly those where we have contracts with ICE, and per diem increases.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described, several executive and legislative actions have gone into effect since the inauguration of President Trump on January 20, 2025 that have resulted in an increase in the number of people detained by ICE, including in our detention facilities where we have existing contracts.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previously mentioned, demand from ICE has resulted in the activation of five previously idled facilities. The following table presents the estimated total annual revenue from each of these facilities:</w:t>
      </w:r>
    </w:p>
    <w:p>
      <w:pPr>
        <w:spacing w:after="0" w:line="37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62"/>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Design</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Annual Revenue</w:t>
            </w:r>
          </w:p>
        </w:tc>
      </w:tr>
      <w:tr>
        <w:trPr>
          <w:trHeight w:val="173"/>
        </w:trPr>
        <w:tc>
          <w:tcPr>
            <w:tcW w:w="652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Dilley Immigration Processing Center</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6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West Tennessee Detention Facility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Midwest Regional Reception Center</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California City Immigration Processing Center</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6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Diamondback Correctional Facility</w:t>
            </w: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-170815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-170815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 revenues from contracts at correctional, detention, and residential reentry facilities that we operate increased $7.1 million, or 3.6%, during the three months ended March 31, 2026 as compared with the same period in 2025. State revenues increased primarily as a result of per diem increases under a number of our state contracts, as certain states have recognized the need to provide additional funding to address increases in the wages of our employees. State revenues also increased due to increases in average daily populations at certain of our facilities.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totaled $467.7 million and $374.7 million for the three months ended March 31, 2026 and 2025, respectively. Operating expenses consist of those expenses incurred in the operation and management of correctional, detention, and residential reentry facilities, as well as those expenses incurred in the operations of TransCor and our electronic monitoring and case management services. Operating expenses also consist of those expenses incurred in the operation of facilities we lease to third-party operators.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incurred by CoreCivic Safety and CoreCivic Community in connection with the operation and management of our correctional, detention, and residential reentry facilities, as well as those incurred in the operations of TransCor and our electronic monitoring and case management services, increased $93.8 million, or 25.2%, during the three months ended March 31, 2026 when compared with the same period in 2025. Operating expenses increased primarily as a result of wage increases across our portfolio. Throughout 2025, we achieved higher staffing levels and we continue to see improvement in our attraction and retention of facility staff in the current labor market. In addition, wages and other operating expenses have increased as a result of an increase in our overall staffing levels in response to the increasing demand from the federal government for capacity at our correctional and detention facilities, particularly from ICE, due to changes in immigration policies under the current presidential administration. The increase in operating expenses includes start-up related expenses at our Midwest Regional Reception Center during the first quarter of 2026, when we officially activated the facility and began accepting residential populations from ICE following receipt of an SUP during the quarter. These activation-related expenses are expected to continue into the second quarter of 2026. The increase in operating expenses from the prior year period was also due to an increase in transportation services expense, which corresponds with the increased populations at certain of our facilities, as well as an overall increase in transportation needs from ICE. In addition, operating expenses increased during the three months ended March 31, 2026 when compared to the same period in the prior year as a result of the acquisition of the Farmville Detention Center on July 1,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operating expenses during the three months ended March 31, 2026 when compared with the same period in the prior year was partially offset by $5.6 million of employee retention credits, or ERCs, recognized during the first quarter of 2026. We recognized $2.8 million of ERCs during the first quarter of 2025. The ERCs were made available to eligible businesses that had employees and were affected during the COVID-19 pandemic under the Coronavirus Aid, Relief and Economic Security Act, or CARES Act, which was signed into law in March 2020 and was extended through June 30, 2021. The CARES Act, among other things, incentivized companies to retain employees through an ERC, which compensates employers for wages of employees that were retained and could not perform their job duties at 100% capacity as a result of coronavirus pandemic restrictions.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expenses per compensated man-day increased to $88.55 during the three months ended March 31, 2026 from $78.47 during the three months ended March 31, 2025. Expenses per compensated man-day increased as a result of start-up expenses at our California City Facility, our Midwest Regional Reception Center, our West Tennessee Detention Facility, and our Diamondback Correctional Facility, as we had not yet reached stabilized occupancy at these facilities. The increase in total expenses per compensated man-day includes the effect of the termination of the funding of the IGSA associated with the Dilley Facility effective August 9, 2024. The IGSA was subsequently amended and operations resumed at the Dilley Facility in March 2025. These incremental operating expenses were partially offset by the ERCs, as previously mentioned.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We continually monitor compensation levels very closely along with overall economic conditions and will adjust wage levels necessary to help ensure the long-term success of our business. Further, we continually evaluate the structure of our employee benefits package and training programs to ensure we are better able to attract and retain our employees. Salaries and benefits represent the most significant component of our operating expenses, representing approximately 63% of our total operating expenses during the three months ended March 31, 2026 and 2025. An inability to attract and retain sufficient personnel could prevent us from caring for additional residential populations for government agencies in need of additional capacity due to an increase in populations or an inability to adequately staff their facilities. An inability to attract and retain sufficient personnel in our existing facilities could also cause our government partners to assess liquidated damages, reduce our residential populations, or in certain circumstances, cancel our contracts. We have also been subjected to revenue deductions for staff vacancies as a result of the labor shortages, which are reflected as reductions to other management revenue. Estimating revenue deduction amounts due to staff vacancies can be complex and subject to management judgment and estimations. Some of our government partners have granted waivers for revenue deductions for staff vacancies in recognition of the unique and challenging labor market, while others have discretionarily adjusted such deductions based on our extraordinary costs, efforts and incentive programs implemented to attract and retain staff.</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Variable expenses per compensated man-day increased to $23.72 during the three months ended March 31, 2026, from $20.84 during the same period in the prior year, an increase of 13.8%. The increase in variable expenses per compensated man-day was primarily due to the start-up expenses at four previously idle facilities and the resumption of operations at our Dilley Facility on March 5, 2025, combined with the effect of an elevated inflation rate applicable to our variable expenses. In addition, variable expenses per compensated man-day increased due to an increase in transportation services expense, which corresponds with the increased populations at certain of our facilities, as well as an overall increase in transportation needs from ICE.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Management Contracts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facility management contracts to provide bed capacity and management services to governmental entities in our CoreCivic Safety and CoreCivic Community segments for terms typically ranging from one to five years, with additional renewal periods at the option of the contracting governmental agency. Accordingly, a substantial portion of our facility management contracts are scheduled to expire each year, notwithstanding contractual renewal options that a government agency may exercise. Although we generally expect these customers to exercise renewal options or negotiate new contracts with us, one or more of these contracts may not be renewed by the corresponding governmental agency. Further, our government partners can generally terminate our management contracts for non-appropriation of funds or for convenience.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2024, ICE issued a request for proposal, or RFP, for up to 600 beds in New Jersey. We have offered the 300-bed Elizabeth Detention Center under this RFP. Our management contract at the Elizabeth Detention Center has continued under numerous short-term extensions, including most recently through May 31, 2026. We continue to discuss the terms of a long-term contract with ICE, but can provide no assurance that we will be awarded a new contract, or that ICE will continue to sign extensions. Further, we lease the Elizabeth facility from a third party under a lease agreement scheduled to expire on June 30, 2027. We can provide no assurance that we will be able to extend the lease, which could result in the termination of our contract with ICE. We generated total revenue of $5.6 million and $22.6 million at this facility during the three months ended March 31, 2026 and the twelve months ended December 31, 2025, respectively. At March 31, 2026, we cared for 268 detainees at this facility under terms of the most recently extended contract.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available as of the date of this Quarterly Report, we believe we will renew all contracts with our government partners that have expired or are scheduled to expire within the next twelve months that could have a material adverse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 provide no assurance that we will continue to achieve high renewal rates in the future.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Safety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CoreCivic Safety includes the operating results of the correctional and detention facilities that we operated during each period. Total revenue generated by CoreCivic Safety increased $123.8 million, or 27.2%, from $454.2 million during the three months ended March 31, 2025 to $577.9 million during the three months ended March 31, 2026. CoreCivic Safety's facility net operating income increased $30.5 million, or 28.7%, from $106.2 million during the three months ended March 31, 2025 to $136.7 million during the three months ended March 31, 2026. During the three months ended March 31, 2026 and 2025, CoreCivic Safety generated 91.7% of our total segment net operating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revenue and expenses per compensated man-day for CoreCivic Safety's correctional and detention facilities placed into service that we own and manage and for the facilities we manage but do not own, inclusive of the transportation services provided by TransCor:</w:t>
      </w:r>
    </w:p>
    <w:p>
      <w:pPr>
        <w:spacing w:after="0" w:line="15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CoreCivic Safety Facilities:</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820" w:type="dxa"/>
            <w:vAlign w:val="bottom"/>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118.18</w:t>
            </w:r>
          </w:p>
        </w:tc>
        <w:tc>
          <w:tcPr>
            <w:tcW w:w="26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34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expense</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340" w:type="dxa"/>
            <w:vAlign w:val="bottom"/>
          </w:tcPr>
          <w:p>
            <w:pPr>
              <w:spacing w:after="0"/>
              <w:rPr>
                <w:sz w:val="18"/>
                <w:szCs w:val="18"/>
                <w:color w:val="auto"/>
              </w:rPr>
            </w:pPr>
          </w:p>
        </w:tc>
      </w:tr>
      <w:tr>
        <w:trPr>
          <w:trHeight w:val="216"/>
        </w:trPr>
        <w:tc>
          <w:tcPr>
            <w:tcW w:w="6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Variable expense</w:t>
            </w:r>
          </w:p>
        </w:tc>
        <w:tc>
          <w:tcPr>
            <w:tcW w:w="8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24.39</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340" w:type="dxa"/>
            <w:vAlign w:val="bottom"/>
            <w:tcBorders>
              <w:bottom w:val="single" w:sz="8" w:color="CFF0FC"/>
            </w:tcBorders>
            <w:shd w:val="clear" w:color="auto" w:fill="CFF0FC"/>
          </w:tcPr>
          <w:p>
            <w:pPr>
              <w:spacing w:after="0"/>
              <w:rPr>
                <w:sz w:val="18"/>
                <w:szCs w:val="18"/>
                <w:color w:val="auto"/>
              </w:rPr>
            </w:pPr>
          </w:p>
        </w:tc>
      </w:tr>
      <w:tr>
        <w:trPr>
          <w:trHeight w:val="20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340" w:type="dxa"/>
            <w:vAlign w:val="bottom"/>
          </w:tcPr>
          <w:p>
            <w:pPr>
              <w:spacing w:after="0"/>
              <w:rPr>
                <w:sz w:val="18"/>
                <w:szCs w:val="18"/>
                <w:color w:val="auto"/>
              </w:rPr>
            </w:pPr>
          </w:p>
        </w:tc>
      </w:tr>
      <w:tr>
        <w:trPr>
          <w:trHeight w:val="249"/>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820" w:type="dxa"/>
            <w:vAlign w:val="bottom"/>
            <w:tcBorders>
              <w:bottom w:val="single" w:sz="8" w:color="auto"/>
            </w:tcBorders>
            <w:shd w:val="clear" w:color="auto" w:fill="CFF0FC"/>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27.96</w:t>
            </w:r>
          </w:p>
        </w:tc>
        <w:tc>
          <w:tcPr>
            <w:tcW w:w="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340" w:type="dxa"/>
            <w:vAlign w:val="bottom"/>
            <w:tcBorders>
              <w:bottom w:val="single" w:sz="8" w:color="CFF0FC"/>
            </w:tcBorders>
            <w:shd w:val="clear" w:color="auto" w:fill="CFF0FC"/>
          </w:tcPr>
          <w:p>
            <w:pPr>
              <w:spacing w:after="0"/>
              <w:rPr>
                <w:sz w:val="21"/>
                <w:szCs w:val="21"/>
                <w:color w:val="auto"/>
              </w:rPr>
            </w:pPr>
          </w:p>
        </w:tc>
      </w:tr>
      <w:tr>
        <w:trPr>
          <w:trHeight w:val="197"/>
        </w:trPr>
        <w:tc>
          <w:tcPr>
            <w:tcW w:w="6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w:t>
            </w:r>
          </w:p>
        </w:tc>
        <w:tc>
          <w:tcPr>
            <w:tcW w:w="820" w:type="dxa"/>
            <w:vAlign w:val="bottom"/>
          </w:tcPr>
          <w:p>
            <w:pPr>
              <w:spacing w:after="0"/>
              <w:rPr>
                <w:sz w:val="17"/>
                <w:szCs w:val="17"/>
                <w:color w:val="auto"/>
              </w:rPr>
            </w:pPr>
          </w:p>
        </w:tc>
        <w:tc>
          <w:tcPr>
            <w:tcW w:w="8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23.7%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23.4%</w:t>
            </w:r>
          </w:p>
        </w:tc>
      </w:tr>
      <w:tr>
        <w:trPr>
          <w:trHeight w:val="20"/>
        </w:trPr>
        <w:tc>
          <w:tcPr>
            <w:tcW w:w="6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occupancy</w:t>
            </w:r>
          </w:p>
        </w:tc>
        <w:tc>
          <w:tcPr>
            <w:tcW w:w="8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80.2%</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77.7%</w:t>
            </w:r>
          </w:p>
        </w:tc>
      </w:tr>
      <w:tr>
        <w:trPr>
          <w:trHeight w:val="197"/>
        </w:trPr>
        <w:tc>
          <w:tcPr>
            <w:tcW w:w="6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Average available beds</w:t>
            </w:r>
          </w:p>
        </w:tc>
        <w:tc>
          <w:tcPr>
            <w:tcW w:w="8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67,785</w:t>
            </w:r>
          </w:p>
        </w:tc>
        <w:tc>
          <w:tcPr>
            <w:tcW w:w="2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62,617</w:t>
            </w:r>
          </w:p>
        </w:tc>
        <w:tc>
          <w:tcPr>
            <w:tcW w:w="340" w:type="dxa"/>
            <w:vAlign w:val="bottom"/>
            <w:tcBorders>
              <w:top w:val="single" w:sz="8" w:color="CFF0FC"/>
            </w:tcBorders>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population</w:t>
            </w:r>
          </w:p>
        </w:tc>
        <w:tc>
          <w:tcPr>
            <w:tcW w:w="8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54,339</w:t>
            </w:r>
          </w:p>
        </w:tc>
        <w:tc>
          <w:tcPr>
            <w:tcW w:w="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48,655</w:t>
            </w:r>
          </w:p>
        </w:tc>
        <w:tc>
          <w:tcPr>
            <w:tcW w:w="3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-967740</wp:posOffset>
            </wp:positionV>
            <wp:extent cx="1289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-967740</wp:posOffset>
            </wp:positionV>
            <wp:extent cx="111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-676910</wp:posOffset>
            </wp:positionV>
            <wp:extent cx="1289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-659130</wp:posOffset>
            </wp:positionV>
            <wp:extent cx="1289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-676910</wp:posOffset>
            </wp:positionV>
            <wp:extent cx="1111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-659130</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-350520</wp:posOffset>
            </wp:positionV>
            <wp:extent cx="1289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-334010</wp:posOffset>
            </wp:positionV>
            <wp:extent cx="1289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-350520</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-334010</wp:posOffset>
            </wp:positionV>
            <wp:extent cx="1111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1289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289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111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111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margins in the CoreCivic Safety segment were positively impacted during the three months ended March 31, 2026 by the activations of our previously idled 2,560-bed California City facility, our 600-bed West Tennessee facility, and our 2,160-bed Diamondback facility. While these three facilities continue to be in various stages of activation, they generated operating income of $10.9 million during the three months ended March 31, 2026 in the aggregate. We anticipate these facilities will continue to contribute to an increase in operating margins in future quarters as we expect the occupancy at these facilities to continue to increase. Total revenue at these three facilities was $54.9 million during the three months ended March 31, 2026. Operating margins during the three months ended March 31, 2026 were also positively impacted by ERCs received in the Safety segment amounting to $5.5 million, compared with $2.7 million received during the same period in the prior year. The increase in operating margins in the CoreCivic Safety segment were partially offset by start-up related expenses at our Midwest Regional Reception Center during the first quarter of 2026, when we officially activated the facility and began accepting residential populations from ICE following receipt of an SUP during the quarter.</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margins were also positively impacted during the first quarter of 2026 relative to the same period of 2025 by the resumption of operations at the Dilley Facility. On March 5, 2025, we announced that we had agreed under an amendment to an IGSA to resume operations and care for up to 2,400 individuals at the Dilley Facility. The amended IGSA provides for a fixed monthly payment in accordance with a graduated schedule during the first six months of the agreement to correlate with the activation of the five neighborhoods within the facility, each designed to accommodate up to 480 individuals. Activation of the Dilley Facility was completed in September 2025. Previously, after nearly ten years of operation, we received notification from ICE on June 10, 2024 of its intent to terminate funding of the IGSA for services at the Dilley Facility effective August 9, 2024. We did not operate the Dilley Facility from August 9, 2024 until the resumption of operations at the facility on March 5, 2025. The operating margin at the Dilley Facility exceeds the average operating margin of our portfolio due to the size and scalability of expenses, and due to the unique design and specialized services provided at the facility. Total revenue at the Dilley Facility increased to $45.9 million during the three months ended March 31, 2026 from $5.5 million during the same period in 2025.</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late January 2026, nationwide ICE detention populations were at a historical high of approximately 70,800 individuals, an increase of approximately 1,000 individuals from the end of the fourth quarter of 2025. However, the government shutdown that centered around DHS funding, a reorganization of DHS leadership, and the subsequent impact to enforcement activities, including redeployment of ICE agents to Transportation Security Administration checkpoints, led to a decrease of approximately 10,500 in detention populations nationwide by early April 2026. ICE populations in our care declined by approximately 3,000 individuals from late January 2026 through late April 2026. While we cannot predict how quickly population growth will resume, we believe the current presidential administration's commitment to border security and deportation remains unchanged. Accordingly, we expect demand from the federal government for correctional and detention facilities in our Safety segment will ultimately increase from its current levels, particularly from ICE, as a result of changes in immigration policy and funding levels of our federal government partners charged with correctional and detention responsibilities. This anticipated increase in demand could result in even higher utilization of our available capacity under existing contracts, as well as through new contracts utilizing our idle correctional and detention facilities or our other existing capacity. The activation of our idle correctional and detention facilities generally requires three to six months to hire, train, and prepare our facilities to accept residential populations, which, depending on the contract structure, could result in substantial expense before we are able to realize additional revenue. However, it is possible that ICE could continue to seek alternative forms of detention capacity,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diverting potential utilization away from our facilities. For example, ICE has increased its use of military bases (domestically and at Guantanamo Bay), soft-sided facilities, idled or under-utilized facilities owned and operated by the BOP, facilities owned by state and local government agencies, international options, and has most recently considered using warehouse-based real estate assets for use in ICE detention. Therefore, we can provide no assurance that the federal government will continue to increase the utilization of our available capacity, or that it will not decrease utilization of our capacity.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14, 2025, we announced that we had been awarded a new contract through an IGSA with ICE to resume operations at our previously idled West Tennessee facility in Mason, Tennessee. The West Tennessee facility had been idle since September 2021. The IGSA expires in August 2030 and may be further extended through bilateral modification. The agreement provides for a fixed monthly payment plus an incremental per payment based on detainee populations. We began receiving ICE detainees at the West Tennessee facility during September 2025. Revenue generated at the West Tennessee facility amounted to $8.8 million during the three months ended March 31, 2026.</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6, 2022, we received notice from the California Department of Corrections and Rehabilitation, or CDCR, of its intent to terminate the lease agreement for our California City Facility by March 31, 2024, due to the state's declining inmate population. The California City Facility, which was reported at that time in our Properties segment, was idled effective April 1, 2024. Effective April 1, 2025, we entered into a letter agreement with ICE to begin activation efforts at the California City Facility. The letter agreement authorized initial funding up to $10.0 million with maximum funding up to $31.2 million for a six-month period while we worked to negotiate and execute a longer-term contract. Because we are now operating the facility rather than leasing it, the California City Facility transitioned from our Properties segment to our Safety segment during the second quarter of 2025. We began receiving ICE detainees at our California City Facility during August 2025 under terms of the letter agreement. On September 29, 2025, we announced that we entered into a new two-year contract with ICE to utilize the California City Facility, effective September 1, 2025. Revenue generated at the California City Facility amounted to $30.9 million during the three months ended March 31, 2026. As of March 31, 2026, we cared for 1,817 individuals at the facility.</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March 7, 2025, we entered into a letter agreement with ICE to begin activation efforts at our Midwest Regional Reception Center in Leavenworth, Kansas. The letter agreement authorized initial funding up to $5.0 million with maximum funding up to $22.6 million for a six-month period while we worked to negotiate and execute a long-term contract. On September 29, 2025, we announced that we entered into a new two-year contract with ICE to utilize the Midwest Regional Reception Center, effective September 7, 2025. Although we were successful in hiring staff and preparing the facility to accept detainees, the intake process was delayed by a lawsuit filed by the City of Leavenworth alleging that an SUP is required to operate the facility. In December 2025, following negative court rulings in this matter, we filed an application for the SUP, and subsequently obtained approval for the SUP on March 11, 2026. We began accepting detainees at the Midwest facility on March 12, 2026. The new agreement, which expires September 6, 2027, provides for a nominal fixed payment intended to partially offset start-up expenses through March 31, 2026 and then a fixed monthly payment plus an incremental per diem payment based on detainee populations, both of which commenced upon receiving detainees on March 12, 2026 once the temporary injunction prohibiting the intake of detainees was no longer enforceable. Total revenue generated at the Midwest Regional Reception Center amounted to $6.9 million during the three months ended March 31, 2026. As of March 31, 2026, we cared for 94 individuals at the facility.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2025, we announced that we had been awarded a new contract through an IGSA between the Oklahoma Department of Corrections and ICE to resume operations at our previously idled 2,160-bed Diamondback Correctional Facility in Watonga, Oklahoma. The Diamondback facility had been idle since 2010. The new contract commenced on September 30, 2025, expires in September 2029, and may be further extended through bilateral modification. We began receiving detainees in December 2025, and as of March 31, 2026, we cared for 735 individuals at the facility. The agreement provides for a fixed monthly payment plus an incremental per diem payment based on detainee populations. During the three months ended March 31, 2026, we generated total revenue at this facility of $15.2 million.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2025, we acquired the Farmville Detention Center, a 736-bed facility located in Farmville, Virginia. The acquisition of the Farmville Detention Center was consummated through the acquisition of 100% of the membership interests in entities that owned and operated the facility. The aggregate purchase price was $71.3 million, including the acquisition of working capital accounts, but excluding $1.9 million of transaction-related expenses. The Farmville Detention Center provides transportation, care, and civil detention services for adult male non-citizens through an IGSA with ICE, which expires in March 2029. During the three months ended March 31, 2026, we generated total revenue at this facility of $10.6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CoreCivic Community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CoreCivic Community includes the operating results of the residential reentry centers that we operated during each period, along with the operating results of our electronic monitoring and case management services. Total revenue generated by CoreCivic Community increased $2.4 million, or 8.0%, from $29.7 million during the three months ended March 31, 2025 to $32.1 million during the three months ended March 31, 2026. CoreCivic Community's facility net operating income increased $1.9 million, or 30.5%, from $6.1 million during the three months ended March 31, 2025 to $8.0 million during the three months ended March 31, 2026. During the three months ended March 31, 2026, CoreCivic Community generated 5.4% of our total segment net operating income, compared with 5.2% during the three months ended March 31,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displays the revenue and expenses per compensated man-day for CoreCivic Community's residential reentry facilities placed into service that we own and manage, but exclusive of the electronic monitoring and case management services given that revenue is not generated on a per compensated man-day basis for these services:</w:t>
      </w:r>
    </w:p>
    <w:p>
      <w:pPr>
        <w:spacing w:after="0" w:line="169"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CoreCivic Community Facilities:</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Revenue per compensated man-day</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85.60</w:t>
            </w:r>
          </w:p>
        </w:tc>
        <w:tc>
          <w:tcPr>
            <w:tcW w:w="26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34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per compensated man-day:</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expense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340" w:type="dxa"/>
            <w:vAlign w:val="bottom"/>
          </w:tcPr>
          <w:p>
            <w:pPr>
              <w:spacing w:after="0"/>
              <w:rPr>
                <w:sz w:val="18"/>
                <w:szCs w:val="18"/>
                <w:color w:val="auto"/>
              </w:rPr>
            </w:pPr>
          </w:p>
        </w:tc>
      </w:tr>
      <w:tr>
        <w:trPr>
          <w:trHeight w:val="216"/>
        </w:trPr>
        <w:tc>
          <w:tcPr>
            <w:tcW w:w="6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Variable expense</w:t>
            </w:r>
          </w:p>
        </w:tc>
        <w:tc>
          <w:tcPr>
            <w:tcW w:w="8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11.08</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40" w:type="dxa"/>
            <w:vAlign w:val="bottom"/>
            <w:tcBorders>
              <w:bottom w:val="single" w:sz="8" w:color="CFF0FC"/>
            </w:tcBorders>
            <w:shd w:val="clear" w:color="auto" w:fill="CFF0FC"/>
          </w:tcPr>
          <w:p>
            <w:pPr>
              <w:spacing w:after="0"/>
              <w:rPr>
                <w:sz w:val="18"/>
                <w:szCs w:val="18"/>
                <w:color w:val="auto"/>
              </w:rPr>
            </w:pPr>
          </w:p>
        </w:tc>
      </w:tr>
      <w:tr>
        <w:trPr>
          <w:trHeight w:val="20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340" w:type="dxa"/>
            <w:vAlign w:val="bottom"/>
          </w:tcPr>
          <w:p>
            <w:pPr>
              <w:spacing w:after="0"/>
              <w:rPr>
                <w:sz w:val="18"/>
                <w:szCs w:val="18"/>
                <w:color w:val="auto"/>
              </w:rPr>
            </w:pPr>
          </w:p>
        </w:tc>
      </w:tr>
      <w:tr>
        <w:trPr>
          <w:trHeight w:val="249"/>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per compensated man-day</w:t>
            </w:r>
          </w:p>
        </w:tc>
        <w:tc>
          <w:tcPr>
            <w:tcW w:w="880" w:type="dxa"/>
            <w:vAlign w:val="bottom"/>
            <w:tcBorders>
              <w:bottom w:val="single" w:sz="8" w:color="auto"/>
            </w:tcBorders>
            <w:shd w:val="clear" w:color="auto" w:fill="CFF0FC"/>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28.54</w:t>
            </w:r>
          </w:p>
        </w:tc>
        <w:tc>
          <w:tcPr>
            <w:tcW w:w="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340" w:type="dxa"/>
            <w:vAlign w:val="bottom"/>
            <w:tcBorders>
              <w:bottom w:val="single" w:sz="8" w:color="CFF0FC"/>
            </w:tcBorders>
            <w:shd w:val="clear" w:color="auto" w:fill="CFF0FC"/>
          </w:tcPr>
          <w:p>
            <w:pPr>
              <w:spacing w:after="0"/>
              <w:rPr>
                <w:sz w:val="21"/>
                <w:szCs w:val="21"/>
                <w:color w:val="auto"/>
              </w:rPr>
            </w:pPr>
          </w:p>
        </w:tc>
      </w:tr>
      <w:tr>
        <w:trPr>
          <w:trHeight w:val="197"/>
        </w:trPr>
        <w:tc>
          <w:tcPr>
            <w:tcW w:w="6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w:t>
            </w:r>
          </w:p>
        </w:tc>
        <w:tc>
          <w:tcPr>
            <w:tcW w:w="880" w:type="dxa"/>
            <w:vAlign w:val="bottom"/>
          </w:tcPr>
          <w:p>
            <w:pPr>
              <w:spacing w:after="0"/>
              <w:rPr>
                <w:sz w:val="17"/>
                <w:szCs w:val="17"/>
                <w:color w:val="auto"/>
              </w:rPr>
            </w:pPr>
          </w:p>
        </w:tc>
        <w:tc>
          <w:tcPr>
            <w:tcW w:w="7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33.3%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28.3%</w:t>
            </w:r>
          </w:p>
        </w:tc>
      </w:tr>
      <w:tr>
        <w:trPr>
          <w:trHeight w:val="20"/>
        </w:trPr>
        <w:tc>
          <w:tcPr>
            <w:tcW w:w="6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occupancy</w:t>
            </w:r>
          </w:p>
        </w:tc>
        <w:tc>
          <w:tcPr>
            <w:tcW w:w="8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70.9%</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66.7%</w:t>
            </w:r>
          </w:p>
        </w:tc>
      </w:tr>
      <w:tr>
        <w:trPr>
          <w:trHeight w:val="196"/>
        </w:trPr>
        <w:tc>
          <w:tcPr>
            <w:tcW w:w="6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Average available beds</w:t>
            </w:r>
          </w:p>
        </w:tc>
        <w:tc>
          <w:tcPr>
            <w:tcW w:w="8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4,099</w:t>
            </w:r>
          </w:p>
        </w:tc>
        <w:tc>
          <w:tcPr>
            <w:tcW w:w="2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4,159</w:t>
            </w:r>
          </w:p>
        </w:tc>
        <w:tc>
          <w:tcPr>
            <w:tcW w:w="340" w:type="dxa"/>
            <w:vAlign w:val="bottom"/>
            <w:tcBorders>
              <w:top w:val="single" w:sz="8" w:color="CFF0FC"/>
            </w:tcBorders>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6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compensated population</w:t>
            </w:r>
          </w:p>
        </w:tc>
        <w:tc>
          <w:tcPr>
            <w:tcW w:w="88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2,904</w:t>
            </w:r>
          </w:p>
        </w:tc>
        <w:tc>
          <w:tcPr>
            <w:tcW w:w="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2,774</w:t>
            </w:r>
          </w:p>
        </w:tc>
        <w:tc>
          <w:tcPr>
            <w:tcW w:w="3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-967740</wp:posOffset>
            </wp:positionV>
            <wp:extent cx="1289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-967740</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-676910</wp:posOffset>
            </wp:positionV>
            <wp:extent cx="1289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-659130</wp:posOffset>
            </wp:positionV>
            <wp:extent cx="1289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-676910</wp:posOffset>
            </wp:positionV>
            <wp:extent cx="111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-659130</wp:posOffset>
            </wp:positionV>
            <wp:extent cx="1111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-350520</wp:posOffset>
            </wp:positionV>
            <wp:extent cx="1289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-334010</wp:posOffset>
            </wp:positionV>
            <wp:extent cx="1289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-350520</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-334010</wp:posOffset>
            </wp:positionV>
            <wp:extent cx="1111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1289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289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margins in our CoreCivic Community segment were positively impacted during the three months ended March 31, 2026 by an increase in average revenue per compensated man-day, which increased from the same period in 2025 primarily as a result of per diem increases at several of our facilities. Operating margins were also positively impacted by an increase in occupancy from the prior year period, as well as ERCs received in the Community segment amounting to $0.1 million during both the three months ended March 31, 2026 and 2025. Because facilities in our Community segment are typically smaller in size than those in our Safety segment, occupancy fluctuations have a larger impact on operating margin per compensated man-day. Accordingly, modest changes in occupancy can have a notable impact in our Community segment.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CoreCivic Properties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CoreCivic Properties includes the operating results of the properties we leased to government agencies during each period. Total revenue generated by CoreCivic Properties increased $0.1 million, or 1.3%, from $4.6 million during the three months ended March 31, 2025 to $4.7 million during the three months ended March 31, 2026. CoreCivic Properties' facility net operating income increased $0.9 million, or 56.9%, from $1.5 million during the three months ended March 31, 2025 to $2.4 million during the three months ended March 31, 2026. During the three months ended March 31, 2026, CoreCivic Properties generated 2.9% of our total segment net operating income, compared with 3.1% during the three months ended March 31, 2025.</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6, 2022, we received notice from the CDCR of its intent to terminate the lease agreement for our 2,560-bed California City Facility by March 31, 2024, due to the state's declining inmate population. The California City Facility was idled effective April 1, 2024. Effective April 1, 2025, we entered into a letter agreement with ICE to begin activation efforts at the California City Facility, and on September 29, 2025, we announced that we were awarded a new two-year contract at this facility. We began receiving detainees at the California City facility in August 2025. Because we are now operating the facility rather than leasing it, the California City Facility transitioned from our Properties segment to our Safety segment during the second quarter of 2025. Facility net operating loss was $0.9 million during the first quarter of 2025 at the California City Facility while the facility was still being reported in our Properties segment.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general and administrative expenses totaled $43.7 million and $36.0 million, respectively. General and administrative expenses consist primarily of corporate management salaries and benefits, professional fees,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other administrative expenses. </w:t>
      </w:r>
      <w:r>
        <w:rPr>
          <w:rFonts w:ascii="Times New Roman" w:cs="Times New Roman" w:eastAsia="Times New Roman" w:hAnsi="Times New Roman"/>
          <w:sz w:val="18"/>
          <w:szCs w:val="18"/>
          <w:color w:val="242424"/>
        </w:rPr>
        <w:t>General and administrative expenses increased as a result of $2.4 million of expenses incurred during the three months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ended March 31, 2026 associated with the acquisition of </w:t>
      </w:r>
      <w:r>
        <w:rPr>
          <w:rFonts w:ascii="Times New Roman" w:cs="Times New Roman" w:eastAsia="Times New Roman" w:hAnsi="Times New Roman"/>
          <w:sz w:val="18"/>
          <w:szCs w:val="18"/>
          <w:color w:val="000000"/>
        </w:rPr>
        <w:t>Clinical Solutions Pharmacy, or CSP, as further described hereinafter. General and administrative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expenses also increased as a result of an increase </w:t>
      </w:r>
      <w:r>
        <w:rPr>
          <w:rFonts w:ascii="Times New Roman" w:cs="Times New Roman" w:eastAsia="Times New Roman" w:hAnsi="Times New Roman"/>
          <w:sz w:val="18"/>
          <w:szCs w:val="18"/>
          <w:color w:val="242424"/>
        </w:rPr>
        <w:t>in corporate salaries, transitional expenses related to executive leadership changes, and expenses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associated with software-as-a-service for a new enterprise resource planning system we began implementing during the first quarter of 2026. Our implementation of such enterprise resource planning system will continue during the remainder of 2026 and 2027.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depreciation and amortization expense totaled $33.3 million and $30.5 million, respectively. Depreciation and amortization expense increased primarily as a result of additional expense resulting from the acquisition of the Farmville Detention Center on July 1, 2025. The increase in depreciation and amortization expense was also a result of capital expenditures made during 2025 and the first quarter of 2026 associated with previously idled facilities being activated and for additional potential idle facility activations, in order to prepare these facilities to quickly accept residential populations if opportunities arise, as well as to provide increased transportation services.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expense is reported net of interest income and capitalized interest for the three months ended March 31, 2026 and 2025. Gross interest expense was $22.1 million and $18.4 million for the three months ended March 31, 2026 and 2025, respectively. Gross interest expense, net of capitalized interest, was based on outstanding borrowings under our revolving credit facility, or Revolving Credit Facility, our outstanding term loan, or Initial Term Loan, or collectively, our Bank Credit Facility, our outstanding senior unsecured notes, and our outstanding non-recourse mortgage note, as well as the amortization of loan costs and unused facility fees. Gross interest income was $4.4 million and $3.2 million for the three months ended March 31, 2026 and 2025, respectively. Gross interest income is earned on notes receivable, investments, cash and cash equivalents, and restricted cash. Interest income also includes interest income associated with the 20-year finance receivable associated with the Lansing Correctional Facility lease to the Kansas Department of Corrections, which commenced in January 2020, and amounted to $2.0 million for the three months ended March 31, 2026 and 2025. During the three months ended March 31, 2026 and 2025, interest income also included $2.0 million and $0.5 million, respectively, for interest collected from the Internal Revenue Service on our ERCs. Total capitalized interest was $0.6 million during the three months ended March 31, 2026. Net interest expense during the first quarter of 2026 increased when compared to the first quarter of 2025 as a result of an increase in our average outstanding debt balance.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total leverage ratio, since June 30, 2024 through December 31, 2025, interest on loans under our Bank Credit Facility bore interest at a base rate plus a margin of 1.75% or at the Secured Overnight Financing Rate plus a margin of 2.75%, and a commitment fee equal to 0.35% of the unfunded balance of the Revolving Credit Facility. During the first quarter of 2026, due to an increase in our total leverage ratio as of December 31, 2025, interest rates on outstanding borrowings under the Bank Credit Facility increased by 0.25% and the commitment fee increased to 0.40% of the unfunded balance of the Revolving Credit Facility.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income tax expense of $14.4 million and $7.0 million for the three months ended March 31, 2026 and 2025, respectively. The income tax expense related to operations for the three months ended March 31, 2026 and 2025 was net of an income tax benefit associated with stock-based compensation vesting amounting to $0.3 million and $2.5 million, respectively. The income tax benefit related to operations for the three months ended March 31, 2026 included an income tax benefit of $0.7 million for expenses associated with mergers and acquisitions.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could fluctuate in the future based on changes in estimates of taxable income, the implementation of additional tax planning strategies, changes in federal or state tax rates or laws affecting tax credits available to us, changes in other tax laws, limits on certain deductible expenses, changes in estimates related to uncertain tax positions, or changes in state apportionment factors, as well as changes in the valuation allowance applied to our deferred tax assets that are based primarily on the amount of state net operating losses and tax credits that could expire unused.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capital requirements are for working capital, capital expenditures, and debt service payments, as well as outstanding commitments and contingencies, as further discussed in the Notes to the Consolidated Financial Statements contained in this Quarterly Report. We may also use our free cash flow to purchase our outstanding debt in open-market transactions, privately negotiated transactions or otherwise, or to return capital to our shareholders, which could include share repurchases and/or future dividends. Any future dividend is subject to our Board of Directors', or BODs', determinations as to the amount of distributions and the timing thereof, as well as limitations under the Company's debt covenants. Any such debt repurchases will depend upon prevailing market conditions, our liquidity requirements, contractual requirements, applicable securities laws requirements, alternative opportunities to deploy capital, and other factors.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2022, the BOD approved a share repurchase program to purchase up to $225.0 million of our common stock, which has subsequently been increased to up to $700.0 million through a series of increases. Repurchases of our outstanding common stock are made in accordance with applicable securities laws and may be made at our discretion based on parameters set by our BOD from time to time in the open market, through privately negotiated transactions, or otherwise, subject to restricted payment limitations in our debt agreements. The share repurchase program has no time limit and does not obligate us to purchase any particular amount of our common stock. The authorization for the share repurchase program may be terminated, suspended, increased or decreased by the BOD in its discretion at any time. During the first quarter of 2026, we completed the repurchase of 2.3 million shares of our common stock at a total cost of $44.7 million, or $19.08 per share, excluding costs associated with the share repurchase program. As of March 31, 2026, we had repurchased a total of 28.1 million common shares at an aggregate cost of $444.2 million, or $15.82 per share, using cash on hand, cash provided by operations, and borrowing capacity under our Revolving Credit Facility, and had $255.8 million of repurchase authorization available under the share repurchase program.</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pursue attractive growth opportunities, including new development opportunities in our Properties segment, to meet the need to modernize outdated correctional infrastructure across the country, and explore potential opportunities to expand the scope of non-residential correctional alternatives we provide in our Community segment. We may also consider other opportunities for growth, including, but not limited to, potential acquisitions of correctional and detention facilities and businesses within our lines of business and those that provide complementary services, provided we believe such opportunities will enhance our business, diversify our cash flows, and/or increase the services we can provide to our customers, or when we believe the potential long-term returns justify the capital deployment.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on July 1, 2025, we acquired the Farmville Detention Center, a 736-bed facility located in Farmville, Virginia. The acquisition of the Farmville Detention Center was consummated through the acquisition of 100% of the membership interests in entities that owned and operated the facility and was funded with cash on hand and borrowings under our Revolving Credit Facility. The aggregate purchase price was $71.4 million, including the acquisition of working capital accounts, but excluding $1.9 million of transaction-related expenses. The Farmville Detention Center provides transportation, care, and civil detention services for adult male non-citizens through an IGSA with ICE, which expires in March 2029.</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quarter end, on April 1, 2026, we acquired CSP, one of the largest providers of mail order pharmacy services to correctional facilities in the United States, serving over 600 correctional facilities, including CoreCivic, across 28 states. The acquisition was consummated through the acquisition of 100% of the ownership interests of CS Solutions Intermediate Holdings, LLC. The initial purchase price of approximately $148.0 million, excluding transaction-related expenses which totaled $2.4 million during the first quarter of 2026, was funded with cash on hand and borrowings under our Revolving Credit Facility. The Revolving Credit Facility was subsequently paid-down with proceeds from an Incremental Term Loan, as further described hereinafter. The acquisition also includes an earn-out, which could increase the purchase price if CSP achieves specified financial targets in 2026. This contingent consideration will be estimated at fair value in the second quarter of 2026 and measured at fair value each reporting period until settled in cash. The results of operations for this business combination will be included in our consolidated financial statements from the date of the acquisition on April 1, 2026.</w:t>
      </w:r>
    </w:p>
    <w:p>
      <w:pPr>
        <w:spacing w:after="0" w:line="200" w:lineRule="exact"/>
        <w:rPr>
          <w:sz w:val="20"/>
          <w:szCs w:val="20"/>
          <w:color w:val="auto"/>
        </w:rPr>
      </w:pP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2025, we invested $75.0 million of capital expenditures associated with previously idled facilities we are activating and for additional potential idle facility activations, in order to prepare these facilities to quickly accept residential populations if opportunities arise, as well as to provide increased transportation services. We currently estimate capital expenditures of $40.0 million to $45.0 million in 2026 for this purpose, including $9.5 million of expenditures incurred during the first quarter of 2026. We could decide to incur additional capital expenditures in anticipation of additional activations if we have better visibility on specific needs and if the lead time to complete the capital expenditures exceeds the period needed to hire, train, and prepare a facility to accept residential populations. The significant reduction in capital expenditures expected on idle facilities in 2026, combined with an expectation of higher cash flows from operations in 2026 compared with 2025 primarily resulting from the activation of five idle facilities during 2025, is expected to provide us with more flexibility to deploy capital, which may include share repurchases (subject to restricted payment limitations in our debt agreements) and other growth opportunities.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had cash on hand of $209.7 million, and $131.3 million available under our Revolving Credit Facility. During the three months ended March 31, 2026 and 2025, we generated $13.8 million and $44.5 million, respectively, in cash through operating activities. We currently expect to be able to meet our cash expenditure requirements for the next year and beyond utilizing cash on hand, cash flows from operations, and availability under our Revolving Credit Facility. As of March 31, 2026, we had no debt maturities until October 2027, although subsequent to quarter-end, we obtained an Incremental Term Loan that matures April 9, 2027, as further described hereinafter.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Delays in payment from our major customers, which could include the deferral of payments to us during government shutdowns, including partial shutdowns, or the termination of contracts from our major customers, could have an adverse effect on our cash flow and financial condition. We continue to experience delays in payments from our federal customers during the most recent government shutdown, and due to additional approval requirements of certain invoices by DHS. We understand the additional approval requirements of certain invoices by DHS have recently been streamlined as a result of the transition of leadership at the DHS. Our federal customers are required to pay us for services we perform including during government shutdowns, including partial shutdowns, with interest, once the government reopens from such shutdown or partial shutdown, as applicable, and for all invoices not paid within set deadlines.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we had $238.5 million remaining aggregate principal amount outstanding of our 4.75% senior unsecured notes issued in October 2017 with an original principal amount of $250.0 million due in October 2027, or the 4.75% Senior Notes, and $500.0 million principal amount outstanding of our 8.25% senior unsecured notes due in April 2029, or the 8.25% Senior Notes, or collectively, the Senior Notes. In addition, we had $132.8 million outstanding under the non-recourse senior secured notes of CoreCivic of Kansas, LLC, a wholly-owned unrestricted subsidiary of ours, or the Kansas Notes, with a fixed stated interest rate of 4.43%, $110.2 million outstanding under our Initial Term Loan with a variable interest rate of 6.8%, and $425.0 million outstanding under our Revolving Credit Facility with a variable interest rate of 7.6%. We had $18.7 million of letters of credit outstanding under our Revolving Credit Facility at March 31, 2026. As of March 31, 2026, our total weighted average effective interest rate was 7.3%, while our total weighted average maturity was 3.6 years. In the future, we could elect to use our free cash flow to purchase outstanding senior unsecured notes in open market transactions, privately negotiated transactions or otherwise. We could also use our effective shelf registration statement to issue additional debt securities when we determine that market conditions and the opportunity to utilize the proceeds therefrom are favorable.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2025, we amended our Bank Credit Facility to, among other things, increase the size of the accordion feature that provides for uncommitted incremental extensions of credit from the greater of $200.0 million or 50% of Consolidated EBITDA for the period of four fiscal quarters most recently ended to the greater of $300.0 million or 50% of Consolidated EBITDA for the period of four fiscal quarters most recently ended, and to exercise the accordion feature by expanding the capacity under our Revolving Credit Facility from $275.0 million to $575.0 million.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10, 2026, we further amended our Bank Credit Facility to, among other things, obtain an Incremental Term Loan in the amount of $100.0 million from existing lenders under the Bank Credit Facility. We used the net proceeds from the Incremental Term Loan to pay down a portion of the amounts outstanding under the Revolving Credit Facility and for working capital and general corporate purposes. The Incremental Term Loan matures April 9, 2027, and bears interest at an applicable margin that is 0.25% in excess of the applicable margin in effect for the Initial Term Loan and Revolving Credit Facility, which are both subject to change based upon our consolidated total leverage ratio. The Incremental Term Loan is prepayable without penalty. We believe that expanding the size of our Bank Credit Facility through the expansion of the Revolving Credit Facility and through the Incremental Term Loan provide us with enhanced balance sheet flexibility while remaining positioned for strategic investments and long-term value creation, such as through our share repurchase program and acquisitions such as CSP.</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cash provided by operating activities for the three months ended March 31, 2026 was $13.8 million, compared with $44.5 million for the same period in the prior year. Cash provided by operating activities represents the year-to-date net income plus depreciation and amortization, changes in various components of working capital, and various non-cash charges. Cash provided by operating activities was favorably impacted by an increase in facility net operating income of $33.2 million in the first quarter of 2026 compared to the same period in the prior year, partially offset by a decrease in working capital balances of $78.2 million since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cash flow used in investing activities was $22.8 million for the three months ended March 31, 2026 and was primarily attributable to capital expenditures for facility development and expansions of $4.5 million and $18.7 million for facility maintenance and information technology capital expenditures, of which $9.5 million was for facility activations and transportation vehicles. Our net cash flow used in investing activities was $25.0 million for the three months ended March 31, 2025 and was primarily attributable to capital expenditures for facility development and expansions of $1.1 million and $25.1 million for facility maintenance and information technology capital expenditures.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cash flow provided by financing activities was $120.9 million for the three months ended March 31, 2026 and was attributable to net borrowings of $180.0 million on our Revolving Credit Facility. The cash inflow was partially offset by $3.9 million of scheduled principal repayments under our Initial Term Loan and our non-recourse mortgage note, and $55.1 million for the share repurchase program, as well as the purchase and retirement of common stock to satisfy withholding taxes in connection with equity-based compensation.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cash flow used in financing activities was $53.7 million for the three months ended March 31, 2025 and was attributable to $3.0 million of scheduled principal repayments under our Initial Term Loan and our non-recourse mortgage note. Our net cash flow used in financing activities also included $50.6 million for the share repurchase program, as well as the purchase and retirement of common stock to satisfy withholding taxes in connection with equity-based compensation. We also borrowed $10.0 million on our Revolving Credit Facility, and repaid such amount during the quarter.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domestic subsidiaries of CoreCivic (as the parent corporation) that guarantee the Bank Credit Facility have provided full and unconditional guarantees of our Senior Notes. All of CoreCivic's subsidiaries guaranteeing the Senior Notes are 100% owned direct or indirect subsidiaries of CoreCivic, and the subsidiary guarantees are full and unconditional and are joint and several obligations of the guarantors.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neither CoreCivic nor any of its subsidiary guarantors had any material or significant restrictions on CoreCivic's ability to obtain funds from its subsidiaries by dividend or loan or to transfer assets from such subsidiaries.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governing our Senior Notes contain certain customary covenants that, subject to certain exceptions and qualifications, restrict CoreCivic's ability to, among other things, create or permit to exist certain liens and consolidate, merge or transfer all or substantially all of CoreCivic's assets. In addition, if CoreCivic experiences specific kinds of changes in control, CoreCivic must offer to repurchase all or a portion of the Senior Notes. The offer price for the Senior Notes in connection with a change in control would be 101% of the aggregate principal amount of the notes repurchased plus accrued and unpaid interest, if any, on the notes repurchased to the date of purchase. The indenture related to our 8.25% Senior Notes additionally limits our ability to incur indebtedness, make restricted payments and investments and prepay certain indebtedness.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information for CoreCivic and the subsidiary guarantors, on a combined basis after elimination of (i) intercompany transactions and balances among CoreCivic and the subsidiary guarantors and (ii) equity in earnings from, and any investments in, any subsidiary that is a non-guarantor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60" w:type="dxa"/>
            <w:vAlign w:val="bottom"/>
            <w:gridSpan w:val="2"/>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732,754</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601,230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and related assets</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2,305,091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2,317,198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191,834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199,771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2,496,925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2,516,969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287,541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352,122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1,256,838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286,457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277,584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1,543,295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26"/>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5" w:name="page36"/>
    <w:bookmarkEnd w:id="35"/>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Twelve</w:t>
            </w:r>
          </w:p>
        </w:tc>
      </w:tr>
      <w:tr>
        <w:trPr>
          <w:trHeight w:val="148"/>
        </w:trPr>
        <w:tc>
          <w:tcPr>
            <w:tcW w:w="44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73"/>
        </w:trPr>
        <w:tc>
          <w:tcPr>
            <w:tcW w:w="44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614,112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2,208,608</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467,284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1,691,087</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77,011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298,485</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544,295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1,989,572</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51,687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154,285</w:t>
            </w:r>
          </w:p>
        </w:tc>
        <w:tc>
          <w:tcPr>
            <w:tcW w:w="100" w:type="dxa"/>
            <w:vAlign w:val="bottom"/>
            <w:shd w:val="clear" w:color="auto" w:fill="CFF0FC"/>
          </w:tcPr>
          <w:p>
            <w:pPr>
              <w:spacing w:after="0"/>
              <w:rPr>
                <w:sz w:val="18"/>
                <w:szCs w:val="18"/>
                <w:color w:val="auto"/>
              </w:rPr>
            </w:pPr>
          </w:p>
        </w:tc>
      </w:t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37,294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113,612</w:t>
            </w:r>
          </w:p>
        </w:tc>
        <w:tc>
          <w:tcPr>
            <w:tcW w:w="100" w:type="dxa"/>
            <w:vAlign w:val="bottom"/>
          </w:tcPr>
          <w:p>
            <w:pPr>
              <w:spacing w:after="0"/>
              <w:rPr>
                <w:sz w:val="20"/>
                <w:szCs w:val="20"/>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Funds From Operations, or FFO, is a widely accepted supplemental non-GAAP measure utilized to evaluate the operating performance of real estate companies. The National Association of Real Estate Investment Trusts, or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As a company with extensive real estate holdings, we believe FFO is an important supplemental measure of our operating performance and believe it is frequently used by securities analysts, investors and other interested parties in the evaluation of REITs and other real estate operating companies, many of which present FFO when reporting results.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present Normalized FFO as an additional supplemental measure as we believe it is more reflective of our core operating performance. We may make adjustments to FFO from time to time for certain other income and expenses that we consider non-recurring, infrequent or unusual, even though such items may require cash settlement, because such items do not reflect a necessary or ordinary component of our ongoing operations. Normalized FFO excludes the effects of such items.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FFO and Normalized FFO are supplemental non-GAAP financial measures of real estate companies' operating performance, which do not represent cash generated from operating activities in accordance with GAAP and therefore should not be considered an alternative for net income or as a measure of liquidity. Our method of calculating FFO and Normalized FFO may be different from methods used by other REITs and real estate operating companies and, accordingly, may not be comparable to such REITs and other real estate operating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reconciliation of net income to FFO and Normalized FFO for the three months ended March 31, 2026 and 2025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FUNDS FROM OPERATIONS:</w:t>
            </w:r>
          </w:p>
        </w:tc>
        <w:tc>
          <w:tcPr>
            <w:tcW w:w="2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300" w:type="dxa"/>
            <w:vAlign w:val="bottom"/>
            <w:vMerge w:val="continue"/>
          </w:tcPr>
          <w:p>
            <w:pPr>
              <w:spacing w:after="0"/>
              <w:rPr>
                <w:sz w:val="12"/>
                <w:szCs w:val="12"/>
                <w:color w:val="auto"/>
              </w:rPr>
            </w:pPr>
          </w:p>
        </w:tc>
        <w:tc>
          <w:tcPr>
            <w:tcW w:w="2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37,916</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Funds From Operations</w:t>
            </w:r>
          </w:p>
        </w:tc>
        <w:tc>
          <w:tcPr>
            <w:tcW w:w="2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63,310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49,711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mergers and acquisitions</w:t>
            </w: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for special items</w:t>
            </w:r>
          </w:p>
        </w:tc>
        <w:tc>
          <w:tcPr>
            <w:tcW w:w="2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Normalized Funds From Operations</w:t>
            </w:r>
          </w:p>
        </w:tc>
        <w:tc>
          <w:tcPr>
            <w:tcW w:w="2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65,055</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4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-1079500</wp:posOffset>
            </wp:positionV>
            <wp:extent cx="596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 summarizes our contractual cash obligations by the indicated period as of March 31, 2026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Year Ended December 31,</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2030</w:t>
            </w:r>
          </w:p>
        </w:tc>
        <w:tc>
          <w:tcPr>
            <w:tcW w:w="22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2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Long-term debt</w:t>
            </w: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1,406,45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gridSpan w:val="2"/>
            <w:shd w:val="clear" w:color="auto" w:fill="CFF0FC"/>
          </w:tcPr>
          <w:p>
            <w:pPr>
              <w:ind w:left="4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522,995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507,985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97,730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on senior and mortgage</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Contractual facility developments</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other commitments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Dilley Facility lease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leases</w:t>
            </w: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Total contractual cash obligations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1,894,06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ind w:left="4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627,733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591,160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-307975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-307975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-307975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-307975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-307975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-307975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cash obligations in the table above do not include future cash obligations for variable interest expense associated with our Initial Term Loan or the balance outstanding on our Revolving Credit Facility, if any, as projections would be based on future outstanding balances as well as future variable interest rates, and we are unable to make reliable estimates of either. Certain of our other ongoing construction projects are not currently under contract and thus are not included as a contractual obligation above as we may generally suspend or terminate such projects without substantial penalty. With respect to the Dilley Facility, the cash obligations included in the table above reflect the full contractual obligations of the lease of the site, excluding contingent payments, even though the lease agreement provides us with the ability to terminate if ICE terminates the amended IGSA associated with the facility.</w:t>
      </w: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$18.7 million of letters of credit outstanding at March 31, 2026, primarily to support our requirement to repay fees and claims under our self-insured workers' compensation plan in the event we do not repay the fees and claims due in accordance with the terms of the plan, and for a debt service reserve requirement under terms of the Kansas Notes. The letters of credit are renewable annually. We did not have any draws under these outstanding letters of credit during the three months ended March 31, 2026 or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contracts include provisions for inflationary indexing, which may mitigate an adverse impact of inflation on net income. However, a substantial increase in personnel costs, workers' compensation, utilities, food, and medical expenses could have an adverse impact on our results of operations in the future to the extent that these expenses increase at a faster pace than the per diem or fixed rates we receive for our management services. We outsource our food service operations to a third party. The contract with our outsourced food service vendor contains certain protections against increases in food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aspects of our business are subject to seasonal fluctuations. Because we are generally compensated for operating and managing correctional, detention, and reentry facilities at a per diem rate, our financial results are impacted by the number of calendar days in a fiscal quarter. Our fiscal year follows the calendar year and therefore, our daily profits for the third and fourth quarters include two more days than the first quarter (except in leap years) and one more day than the second quarter. Further, salaries and benefits represent the most significant component of operating expenses. Significant portions of our unemployment taxes are recognized during the first quarter, when base wage rates reset for unemployment tax purposes. Quarterly results are also affected by government funding initiatives, acquisitions, the timing of the opening of new facilities, or the commencement of new management contracts and related start-up expenses which may mitigate or exacerbate the impact of other seasonal influences. Because of seasonality factors, and other factors described herein, results for any quarter are not necessarily indicative of the results that may be achieved for the full fiscal year.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 risk exposure is to changes in U.S. interest rates. We are exposed to market risk related to our Bank Credit Facility because the interest rates on these loans are subject to fluctuations in the market. If the interest rate for our outstanding indebtedness under the Bank Credit Facility was 100 basis points higher or lower (but not less than 0%) during the three months ended March 31, 2026, our interest expense, net of amounts capitalized, would have been increased or decreased by $0.9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had $238.5 million of the 4.75% Senior Notes and $500.0 million of the 8.25% Senior Notes outstanding. We also had $132.8 million outstanding under the Kansas Notes with a fixed interest rate of 4.43%. Because the interest rates with respect to these instruments are fixed, a hypothetical 100 basis point increase or decrease in market interest rates would not have a material impact on our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from time to time, invest our cash in a variety of short-term financial instruments. These instruments generally consist of highly liquid investments with original maturities at the date of purchase of three months or less. While these investments are subject to interest rate risk and will decline in value if market interest rates increase, a hypothetical 100 basis point increase or decrease in market interest rates would not materially affect the value of these instruments.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senior management, including our Chief Executive Officer and Chief Financial Officer, of the effectiveness of our disclosure controls and procedures, as defined in Rules 13a-15(e) and 15d-15(e) of the Exchange Act as of the end of the period covered by this Quarterly Report. Based on that evaluation, our officers, including our Chief Executive Officer and Chief Financial Officer, concluded that as of the end of the period covered by this Quarterly Report our disclosure controls and procedures are effective to ensure that information required to be disclosed in the reports that we file or submit under the Exchange Act is recorded, processed, summarized, and reported within the time periods specified in the SEC's rules and forms and information required to be disclosed in the reports we file or submit under the Exchange Act is accumulated and communicated to our management, including our Chief Executive Officer and Chief Financial Officer, to allow timely decisions regarding required disclosure.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began the process of implementing a new enterprise resource planning, or ERP, system, during the first quarter of 2026, which will replace our existing ERP system. The phased implementation is expected to continue during the remainder of 2026 and 2027. As the phased implementation occurs, we will change our processes and procedures, which, in turn, could result in changes to our internal controls over financial reporting. As such changes occur, we will evaluate quarterly whether such changes materially affect our internal control over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information reported in Note 8 to the financial statements included in Part I, which information is incorporated hereunder by this reference.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Item 1A. Risk Factors of Part I of our 2025 Form 10-K includes a detailed discussion of the risk factors that could materially affect our business, financial condition or future prospects. There have been no material changes in our risk factors previously disclosed in the 2025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3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9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or Programs (1)</w:t>
            </w:r>
          </w:p>
        </w:tc>
        <w:tc>
          <w:tcPr>
            <w:tcW w:w="100" w:type="dxa"/>
            <w:vAlign w:val="bottom"/>
          </w:tcPr>
          <w:p>
            <w:pPr>
              <w:spacing w:after="0"/>
              <w:rPr>
                <w:sz w:val="20"/>
                <w:szCs w:val="20"/>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1,926,009</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1,926,009</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263,410,752</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416,058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416,058</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255,833,941</w:t>
            </w:r>
          </w:p>
        </w:tc>
        <w:tc>
          <w:tcPr>
            <w:tcW w:w="10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255,833,941</w:t>
            </w:r>
          </w:p>
        </w:tc>
        <w:tc>
          <w:tcPr>
            <w:tcW w:w="100" w:type="dxa"/>
            <w:vAlign w:val="bottom"/>
            <w:shd w:val="clear" w:color="auto" w:fill="CFF0FC"/>
          </w:tcPr>
          <w:p>
            <w:pPr>
              <w:spacing w:after="0"/>
              <w:rPr>
                <w:sz w:val="18"/>
                <w:szCs w:val="18"/>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2,342,067</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2,342,067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255,833,941</w:t>
            </w:r>
          </w:p>
        </w:tc>
        <w:tc>
          <w:tcPr>
            <w:tcW w:w="10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-170815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jc w:val="both"/>
        <w:ind w:firstLine="8"/>
        <w:spacing w:after="0" w:line="28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On May 12, </w:t>
      </w:r>
      <w:r>
        <w:rPr>
          <w:rFonts w:ascii="Times New Roman" w:cs="Times New Roman" w:eastAsia="Times New Roman" w:hAnsi="Times New Roman"/>
          <w:sz w:val="17"/>
          <w:szCs w:val="17"/>
          <w:color w:val="auto"/>
        </w:rPr>
        <w:t>2022, the BOD approved a share repurchase program to repurchase up to $150.0 million of the Company's common stock. This original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authorization, along with the dates and amounts of subsequent increases to the authorization by the BOD to the share repurchase program, are as follows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7660" w:type="dxa"/>
            <w:vAlign w:val="bottom"/>
            <w:tcBorders>
              <w:bottom w:val="single" w:sz="8" w:color="auto"/>
            </w:tcBorders>
          </w:tcPr>
          <w:p>
            <w:pPr>
              <w:ind w:left="36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12, 2022</w:t>
            </w: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16, 2024</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125,000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May 15, 2025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10, 2025</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authorization</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700,000</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Repurchases of the Company's outstanding common stock will be made in accordance with applicable securities laws and may be made at the Company's discretion based on parameters set by the BOD from time to time in the open market, through privately negotiated transactions, or otherwise, subject to restricted payment limitations in our debt agreements. The share repurchase program has no time limit and does not obligate the Company to purchase any particular amount of its common stock. The authorization for the share repurchase program may be terminated, suspended, increased or decreased by the BOD in its discretion at any time. As of March 31, 2026 the Company had repurchased a total of 28.1 million shares of the Company's common stock at an aggregate cost of approximately $444.2 million.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(as defined in Rule 16a-1(f) of the Securities Exchange Act of 1934, as amended) of the Company adopted or terminated a Rule 10b5-1 trading arrangement or non-Rule 10b5-1 trading arrangement (in each case, as defined in Item 408 of Regulation S-K) for the purchase or sale of the Company’s securities.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1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Exhibit</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60" w:type="dxa"/>
            <w:vAlign w:val="bottom"/>
          </w:tcPr>
          <w:p>
            <w:pPr>
              <w:spacing w:after="0"/>
              <w:rPr>
                <w:sz w:val="16"/>
                <w:szCs w:val="16"/>
                <w:color w:val="auto"/>
              </w:rPr>
            </w:pPr>
          </w:p>
        </w:tc>
        <w:tc>
          <w:tcPr>
            <w:tcW w:w="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Number</w:t>
            </w: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60" w:type="dxa"/>
            <w:vAlign w:val="bottom"/>
            <w:gridSpan w:val="11"/>
          </w:tcPr>
          <w:p>
            <w:pPr>
              <w:ind w:left="1880"/>
              <w:spacing w:after="0" w:line="194" w:lineRule="exact"/>
              <w:rPr>
                <w:sz w:val="20"/>
                <w:szCs w:val="20"/>
                <w:color w:val="auto"/>
              </w:rPr>
            </w:pPr>
            <w:r>
              <w:rPr>
                <w:rFonts w:ascii="Times New Roman" w:cs="Times New Roman" w:eastAsia="Times New Roman" w:hAnsi="Times New Roman"/>
                <w:sz w:val="18"/>
                <w:szCs w:val="18"/>
                <w:color w:val="auto"/>
              </w:rPr>
              <w:t>Description of Exhibits</w:t>
            </w:r>
          </w:p>
        </w:tc>
      </w:tr>
      <w:tr>
        <w:trPr>
          <w:trHeight w:val="20"/>
        </w:trPr>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4"/>
                <w:szCs w:val="24"/>
                <w:color w:val="auto"/>
              </w:rPr>
            </w:pPr>
          </w:p>
        </w:tc>
        <w:tc>
          <w:tcPr>
            <w:tcW w:w="8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of Executive Time-Based Restricted Share Unit Award Agreement for the Company's 2020 Stock Incentive Plan.</w:t>
            </w:r>
          </w:p>
        </w:tc>
        <w:tc>
          <w:tcPr>
            <w:tcW w:w="20" w:type="dxa"/>
            <w:vAlign w:val="bottom"/>
            <w:tcBorders>
              <w:bottom w:val="single" w:sz="8" w:color="0000EE"/>
            </w:tcBorders>
          </w:tcPr>
          <w:p>
            <w:pPr>
              <w:spacing w:after="0"/>
              <w:rPr>
                <w:sz w:val="24"/>
                <w:szCs w:val="24"/>
                <w:color w:val="auto"/>
              </w:rPr>
            </w:pPr>
          </w:p>
        </w:tc>
        <w:tc>
          <w:tcPr>
            <w:tcW w:w="1060" w:type="dxa"/>
            <w:vAlign w:val="bottom"/>
            <w:gridSpan w:val="5"/>
          </w:tcPr>
          <w:p>
            <w:pPr>
              <w:spacing w:after="0"/>
              <w:rPr>
                <w:sz w:val="24"/>
                <w:szCs w:val="24"/>
                <w:color w:val="auto"/>
              </w:rPr>
            </w:pPr>
          </w:p>
        </w:tc>
      </w:tr>
      <w:tr>
        <w:trPr>
          <w:trHeight w:val="41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spacing w:after="0"/>
              <w:rPr>
                <w:sz w:val="24"/>
                <w:szCs w:val="24"/>
                <w:color w:val="auto"/>
              </w:rPr>
            </w:pPr>
          </w:p>
        </w:tc>
        <w:tc>
          <w:tcPr>
            <w:tcW w:w="9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Form of Executive Performance-Based Restricted Share Unit Award Agreement for the Company's 2020 Stock Incentive Plan.</w:t>
            </w:r>
          </w:p>
        </w:tc>
        <w:tc>
          <w:tcPr>
            <w:tcW w:w="540" w:type="dxa"/>
            <w:vAlign w:val="bottom"/>
            <w:gridSpan w:val="4"/>
          </w:tcPr>
          <w:p>
            <w:pPr>
              <w:spacing w:after="0"/>
              <w:rPr>
                <w:sz w:val="24"/>
                <w:szCs w:val="24"/>
                <w:color w:val="auto"/>
              </w:rPr>
            </w:pPr>
          </w:p>
        </w:tc>
      </w:tr>
      <w:tr>
        <w:trPr>
          <w:trHeight w:val="41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22.1*</w:t>
            </w:r>
          </w:p>
        </w:tc>
        <w:tc>
          <w:tcPr>
            <w:tcW w:w="500" w:type="dxa"/>
            <w:vAlign w:val="bottom"/>
          </w:tcPr>
          <w:p>
            <w:pPr>
              <w:spacing w:after="0"/>
              <w:rPr>
                <w:sz w:val="24"/>
                <w:szCs w:val="24"/>
                <w:color w:val="auto"/>
              </w:rPr>
            </w:pPr>
          </w:p>
        </w:tc>
        <w:tc>
          <w:tcPr>
            <w:tcW w:w="2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List of Guarantor Subsidiaries.</w:t>
            </w:r>
          </w:p>
        </w:tc>
        <w:tc>
          <w:tcPr>
            <w:tcW w:w="7460" w:type="dxa"/>
            <w:vAlign w:val="bottom"/>
            <w:gridSpan w:val="11"/>
          </w:tcPr>
          <w:p>
            <w:pPr>
              <w:spacing w:after="0"/>
              <w:rPr>
                <w:sz w:val="24"/>
                <w:szCs w:val="24"/>
                <w:color w:val="auto"/>
              </w:rPr>
            </w:pPr>
          </w:p>
        </w:tc>
      </w:tr>
      <w:tr>
        <w:trPr>
          <w:trHeight w:val="41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500" w:type="dxa"/>
            <w:vAlign w:val="bottom"/>
          </w:tcPr>
          <w:p>
            <w:pPr>
              <w:spacing w:after="0"/>
              <w:rPr>
                <w:sz w:val="24"/>
                <w:szCs w:val="24"/>
                <w:color w:val="auto"/>
              </w:rPr>
            </w:pPr>
          </w:p>
        </w:tc>
        <w:tc>
          <w:tcPr>
            <w:tcW w:w="95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 to Securities and Exchange Act Rules 13a-14(a) and 15d-14(a), as</w:t>
            </w:r>
          </w:p>
        </w:tc>
        <w:tc>
          <w:tcPr>
            <w:tcW w:w="180" w:type="dxa"/>
            <w:vAlign w:val="bottom"/>
            <w:gridSpan w:val="2"/>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9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740" w:type="dxa"/>
            <w:vAlign w:val="bottom"/>
            <w:gridSpan w:val="8"/>
          </w:tcPr>
          <w:p>
            <w:pPr>
              <w:spacing w:after="0"/>
              <w:rPr>
                <w:sz w:val="17"/>
                <w:szCs w:val="17"/>
                <w:color w:val="auto"/>
              </w:rPr>
            </w:pPr>
          </w:p>
        </w:tc>
      </w:tr>
      <w:tr>
        <w:trPr>
          <w:trHeight w:val="41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00" w:type="dxa"/>
            <w:vAlign w:val="bottom"/>
          </w:tcPr>
          <w:p>
            <w:pPr>
              <w:spacing w:after="0"/>
              <w:rPr>
                <w:sz w:val="24"/>
                <w:szCs w:val="24"/>
                <w:color w:val="auto"/>
              </w:rPr>
            </w:pPr>
          </w:p>
        </w:tc>
        <w:tc>
          <w:tcPr>
            <w:tcW w:w="94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 Securities and Exchange Act Rules 13a-14(a) and 15d-14(a), as</w:t>
            </w:r>
          </w:p>
        </w:tc>
        <w:tc>
          <w:tcPr>
            <w:tcW w:w="240" w:type="dxa"/>
            <w:vAlign w:val="bottom"/>
            <w:gridSpan w:val="3"/>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9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740" w:type="dxa"/>
            <w:vAlign w:val="bottom"/>
            <w:gridSpan w:val="8"/>
          </w:tcPr>
          <w:p>
            <w:pPr>
              <w:spacing w:after="0"/>
              <w:rPr>
                <w:sz w:val="17"/>
                <w:szCs w:val="17"/>
                <w:color w:val="auto"/>
              </w:rPr>
            </w:pPr>
          </w:p>
        </w:tc>
      </w:tr>
      <w:tr>
        <w:trPr>
          <w:trHeight w:val="41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500" w:type="dxa"/>
            <w:vAlign w:val="bottom"/>
          </w:tcPr>
          <w:p>
            <w:pPr>
              <w:spacing w:after="0"/>
              <w:rPr>
                <w:sz w:val="24"/>
                <w:szCs w:val="24"/>
                <w:color w:val="auto"/>
              </w:rPr>
            </w:pPr>
          </w:p>
        </w:tc>
        <w:tc>
          <w:tcPr>
            <w:tcW w:w="96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 to 18 U.S.C. Section 1350, as adopted pursuant to Section 906 of the</w:t>
            </w:r>
          </w:p>
        </w:tc>
      </w:tr>
      <w:tr>
        <w:trPr>
          <w:trHeight w:val="196"/>
        </w:trPr>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580" w:type="dxa"/>
            <w:vAlign w:val="bottom"/>
            <w:gridSpan w:val="12"/>
          </w:tcPr>
          <w:p>
            <w:pPr>
              <w:spacing w:after="0"/>
              <w:rPr>
                <w:sz w:val="17"/>
                <w:szCs w:val="17"/>
                <w:color w:val="auto"/>
              </w:rPr>
            </w:pPr>
          </w:p>
        </w:tc>
      </w:tr>
      <w:tr>
        <w:trPr>
          <w:trHeight w:val="41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500" w:type="dxa"/>
            <w:vAlign w:val="bottom"/>
          </w:tcPr>
          <w:p>
            <w:pPr>
              <w:spacing w:after="0"/>
              <w:rPr>
                <w:sz w:val="24"/>
                <w:szCs w:val="24"/>
                <w:color w:val="auto"/>
              </w:rPr>
            </w:pPr>
          </w:p>
        </w:tc>
        <w:tc>
          <w:tcPr>
            <w:tcW w:w="9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 18 U.S.C. Section 1350, as adopted pursuant to Section 906 of the</w:t>
            </w:r>
          </w:p>
        </w:tc>
        <w:tc>
          <w:tcPr>
            <w:tcW w:w="4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580" w:type="dxa"/>
            <w:vAlign w:val="bottom"/>
            <w:gridSpan w:val="12"/>
          </w:tcPr>
          <w:p>
            <w:pPr>
              <w:spacing w:after="0"/>
              <w:rPr>
                <w:sz w:val="17"/>
                <w:szCs w:val="17"/>
                <w:color w:val="auto"/>
              </w:rPr>
            </w:pPr>
          </w:p>
        </w:tc>
      </w:tr>
      <w:tr>
        <w:trPr>
          <w:trHeight w:val="34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3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3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3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The cover page from the Company's Quarterly Report on Form 10-Q for the quarter ended March 31, 2026, formatted in Inline XBRL</w:t>
            </w:r>
          </w:p>
        </w:tc>
      </w:tr>
      <w:tr>
        <w:trPr>
          <w:trHeight w:val="234"/>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(included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CORECIVIC,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Patrick D. Swindle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8"/>
          <w:szCs w:val="18"/>
          <w:color w:val="auto"/>
        </w:rPr>
        <w:t>Patrick D. Swindle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David M. Garfinkle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Chief Financial Officer, and Principal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TIME-BASED RESTRICTED STOCK UNIT AWARD AGREEMENT</w:t>
      </w: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TIME-BASED RESTRICTED STOCK UNIT AWARD AGREEMENT</w:t>
      </w:r>
      <w:r>
        <w:rPr>
          <w:rFonts w:ascii="Times New Roman" w:cs="Times New Roman" w:eastAsia="Times New Roman" w:hAnsi="Times New Roman"/>
          <w:sz w:val="21"/>
          <w:szCs w:val="21"/>
          <w:color w:val="auto"/>
        </w:rPr>
        <w:t xml:space="preserve"> (the “Agreement”) is made this ___ day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 20__, by and between CoreCivic, Inc., a Maryland corporation (the “Company”), and __________________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“Recipient”).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37" w:lineRule="exact"/>
        <w:rPr>
          <w:sz w:val="20"/>
          <w:szCs w:val="20"/>
          <w:color w:val="auto"/>
        </w:rPr>
      </w:pPr>
    </w:p>
    <w:p>
      <w:pPr>
        <w:jc w:val="both"/>
        <w:ind w:right="20" w:firstLine="432"/>
        <w:spacing w:after="0" w:line="244" w:lineRule="auto"/>
        <w:rPr>
          <w:sz w:val="20"/>
          <w:szCs w:val="20"/>
          <w:color w:val="auto"/>
        </w:rPr>
      </w:pPr>
      <w:r>
        <w:rPr>
          <w:rFonts w:ascii="Times New Roman" w:cs="Times New Roman" w:eastAsia="Times New Roman" w:hAnsi="Times New Roman"/>
          <w:sz w:val="22"/>
          <w:szCs w:val="22"/>
          <w:color w:val="auto"/>
        </w:rPr>
        <w:t>WHEREAS, the Company has adopted the Amended and Restated 2020 Stock Incentive Plan (the “Plan”), which authorizes the Company to award Restricted Stock Units with respect to its common stock, $0.01 par value per share (the “Common Stock”), to key employees of the Company and/or its affiliates; and</w:t>
      </w:r>
    </w:p>
    <w:p>
      <w:pPr>
        <w:spacing w:after="0" w:line="20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22"/>
          <w:szCs w:val="22"/>
          <w:color w:val="auto"/>
        </w:rPr>
        <w:t>WHEREAS, the Company and Recipient wish to confirm the terms and conditions of an award of Restricted Stock Units to Recipient on __________________ (the “Date of Award”).</w:t>
      </w:r>
    </w:p>
    <w:p>
      <w:pPr>
        <w:spacing w:after="0" w:line="185"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contained herein, and other good and valuable consideration, the receipt and sufficiency of which are hereby acknowledged, it is agreed between the parties hereto as follows:</w:t>
      </w:r>
    </w:p>
    <w:p>
      <w:pPr>
        <w:spacing w:after="0" w:line="200" w:lineRule="exact"/>
        <w:rPr>
          <w:sz w:val="20"/>
          <w:szCs w:val="20"/>
          <w:color w:val="auto"/>
        </w:rPr>
      </w:pPr>
    </w:p>
    <w:p>
      <w:pPr>
        <w:ind w:firstLine="440"/>
        <w:spacing w:after="0" w:line="258" w:lineRule="auto"/>
        <w:tabs>
          <w:tab w:leader="none" w:pos="94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Except as provided in this Agreement (or an election form executed pursuant to Section 5 of this Agreement), or unless the context otherwise requires, the terms used herein shall have the same meaning as in the Plan.</w:t>
      </w:r>
    </w:p>
    <w:p>
      <w:pPr>
        <w:spacing w:after="0" w:line="185" w:lineRule="exact"/>
        <w:rPr>
          <w:rFonts w:ascii="Times New Roman" w:cs="Times New Roman" w:eastAsia="Times New Roman" w:hAnsi="Times New Roman"/>
          <w:sz w:val="22"/>
          <w:szCs w:val="22"/>
          <w:color w:val="auto"/>
        </w:rPr>
      </w:pPr>
    </w:p>
    <w:p>
      <w:pPr>
        <w:ind w:right="20" w:firstLine="440"/>
        <w:spacing w:after="0" w:line="258" w:lineRule="auto"/>
        <w:tabs>
          <w:tab w:leader="none" w:pos="90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RSUs</w:t>
      </w:r>
      <w:r>
        <w:rPr>
          <w:rFonts w:ascii="Times New Roman" w:cs="Times New Roman" w:eastAsia="Times New Roman" w:hAnsi="Times New Roman"/>
          <w:sz w:val="22"/>
          <w:szCs w:val="22"/>
          <w:color w:val="auto"/>
        </w:rPr>
        <w:t>. Upon and subject to the terms, restrictions, limitations and conditions stated herein, the Company hereby grants an award (the “RSU Award”) to Recipient of _______ Restricted Stock Units (“RSUs”).</w:t>
      </w:r>
    </w:p>
    <w:p>
      <w:pPr>
        <w:spacing w:after="0" w:line="185"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Vesting; Forfeiture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189"/>
        <w:spacing w:after="0" w:line="236" w:lineRule="auto"/>
        <w:tabs>
          <w:tab w:leader="none" w:pos="1626"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The RSUs may not be sold, assigned, transferred, pledged or otherwise encumbered or disposed of by Recipient. Any attempted sale, assignment, or transfer of the RSUs shall be void and of no effect, and the Company shall have the right to disregard the same on its books and records. Within thirty (30) days (with the date of payment selected by the Company in its sole discretion) after the vesting of any of the RSUs in accordance with Section 3(ii) of this Agreement, the Company shall issue to the Recipient one share of Common Stock for each vested RSU (subject to the Recipient’s election of a deferred payment date pursuant to Section 5 of this Agreement).</w:t>
      </w:r>
    </w:p>
    <w:p>
      <w:pPr>
        <w:spacing w:after="0" w:line="208" w:lineRule="exact"/>
        <w:rPr>
          <w:rFonts w:ascii="Times New Roman" w:cs="Times New Roman" w:eastAsia="Times New Roman" w:hAnsi="Times New Roman"/>
          <w:sz w:val="22"/>
          <w:szCs w:val="22"/>
          <w:color w:val="auto"/>
        </w:rPr>
      </w:pPr>
    </w:p>
    <w:p>
      <w:pPr>
        <w:jc w:val="both"/>
        <w:ind w:firstLine="1189"/>
        <w:spacing w:after="0" w:line="244" w:lineRule="auto"/>
        <w:tabs>
          <w:tab w:leader="none" w:pos="1626"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Except as further provided in this Section 3 or in the Plan, one-third of the RSUs shall vest annually on the [later of (i)] the applicable anniversary date of the Date of Award [and (ii) delivery of the audited financial statements by the Company's certified independent auditors for the respective fiscal year periods 20__, 20__, and 20__] (each such 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2" w:name="page43"/>
    <w:bookmarkEnd w:id="42"/>
    <w:p>
      <w:pPr>
        <w:ind w:right="20"/>
        <w:spacing w:after="0" w:line="258" w:lineRule="auto"/>
        <w:rPr>
          <w:sz w:val="20"/>
          <w:szCs w:val="20"/>
          <w:color w:val="auto"/>
        </w:rPr>
      </w:pPr>
      <w:r>
        <w:rPr>
          <w:rFonts w:ascii="Times New Roman" w:cs="Times New Roman" w:eastAsia="Times New Roman" w:hAnsi="Times New Roman"/>
          <w:sz w:val="22"/>
          <w:szCs w:val="22"/>
          <w:color w:val="auto"/>
        </w:rPr>
        <w:t>a "Vesting Date"), provided that Recipient is employed full-time by the Company or an Affiliate Corporation (the “Employer”) at all times following the Date of Award and prior to and on the applicable Vesting Date (the “Vesting Period”).</w:t>
      </w:r>
    </w:p>
    <w:p>
      <w:pPr>
        <w:spacing w:after="0" w:line="185" w:lineRule="exact"/>
        <w:rPr>
          <w:sz w:val="20"/>
          <w:szCs w:val="20"/>
          <w:color w:val="auto"/>
        </w:rPr>
      </w:pPr>
    </w:p>
    <w:p>
      <w:pPr>
        <w:jc w:val="both"/>
        <w:ind w:firstLine="1189"/>
        <w:spacing w:after="0" w:line="244" w:lineRule="auto"/>
        <w:tabs>
          <w:tab w:leader="none" w:pos="169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set forth in Section 3(iv), if at any time during the Vesting Period, Recipient’s employment with Employer terminates for any reason, all of the unvested RSUs held by such Recipient shall immediately and automatically be forfeited to the Company without monetary consideration and shall be automatically canceled.</w:t>
      </w:r>
    </w:p>
    <w:p>
      <w:pPr>
        <w:spacing w:after="0" w:line="200" w:lineRule="exact"/>
        <w:rPr>
          <w:rFonts w:ascii="Times New Roman" w:cs="Times New Roman" w:eastAsia="Times New Roman" w:hAnsi="Times New Roman"/>
          <w:sz w:val="22"/>
          <w:szCs w:val="22"/>
          <w:color w:val="auto"/>
        </w:rPr>
      </w:pPr>
    </w:p>
    <w:p>
      <w:pPr>
        <w:jc w:val="both"/>
        <w:ind w:firstLine="1189"/>
        <w:spacing w:after="0" w:line="234" w:lineRule="auto"/>
        <w:tabs>
          <w:tab w:leader="none" w:pos="161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Accelerated Vesting Event</w:t>
      </w:r>
      <w:r>
        <w:rPr>
          <w:rFonts w:ascii="Times New Roman" w:cs="Times New Roman" w:eastAsia="Times New Roman" w:hAnsi="Times New Roman"/>
          <w:sz w:val="22"/>
          <w:szCs w:val="22"/>
          <w:color w:val="auto"/>
        </w:rPr>
        <w:t>. If, during the vesting Period, (A) Recipient shall die while in the employ or service of the Company, (B) Recipient shall incur a “disability” (as defined in Section 1.409A-3(i)(4) of the Treasury Regulations (“Disability”)), or (C) there occurs a Change in Control and Recipient’s employment with Employer (or its successor) is terminated without Cause or Recipient resigns for Good Reason during the eighteen (18) month period immediately following the Change in Control (each of clauses (A), (B) and (C) are referred to as an “Accelerated Vesting Event”), then in any such case all the RSUs that are unvested at such time shall become immediately vested and nonforfeitable (to the extent not previously forfeited). Any RSUs which become vested pursuant to an Accelerated Vesting Event shall be paid within thirty (30) days of the Accelerated Vesting Event (with the date of payment selected by the Company in its sole discretion), subject to the Recipient’s election of a deferred payment date pursuant to Section 5 of this Agreement.</w:t>
      </w:r>
    </w:p>
    <w:p>
      <w:pPr>
        <w:spacing w:after="0" w:line="210"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43"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 Dividend Equivalents</w:t>
      </w:r>
      <w:r>
        <w:rPr>
          <w:rFonts w:ascii="Times New Roman" w:cs="Times New Roman" w:eastAsia="Times New Roman" w:hAnsi="Times New Roman"/>
          <w:sz w:val="22"/>
          <w:szCs w:val="22"/>
          <w:color w:val="auto"/>
        </w:rPr>
        <w:t>. The Recipient shall not have any voting rights with respect to the RSUs covered by this RSU Award. The Recipient shall, however, be credited with dividend equivalents with respect to the RSUs at the time of any payment of dividends on shares of Common Stock in accordance with the terms set forth in the Plan and as specified by the Committee in its sole discretion. Dividend equivalents credited with regard to any RSU shall be accumulated and paid at such time (and only at such time) as the underlying shares of Common Stock are paid according to this Section 3. The Recipient shall be paid a cash equivalent of the dividends paid during the Vesting Period based on the number of shares of Common Stock, if any, that become vested.</w:t>
      </w:r>
    </w:p>
    <w:p>
      <w:pPr>
        <w:spacing w:after="0" w:line="210"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As used herein, “Good Reason” shall mean (A) a material reduction in the duties, powers or authority of the Recipient as an officer or employee of the Company or (B) the relocation of the Company’s headquarters to a location more than thirty (30) miles outside of the Brentwood, Tennessee metropolitan area, in either case, without the Recipient’s consent. A termination shall be due to Good Reason only if (A) the Recipient notifies the Employer of the existence of the condition that otherwise constitutes Good Reason within thirty (30) days of the initial existence of the condition and (B) the Employer fails to remedy the condition within thirty (30) days following its receipt of the Recipient’s notice of the condition constituting Good Reason (the “Cure Period”) and the Recipient terminates employment with the Employer due to the condition within thirty (30) days of the expiration of the Cure Period.</w:t>
      </w:r>
    </w:p>
    <w:p>
      <w:pPr>
        <w:spacing w:after="0" w:line="178" w:lineRule="exact"/>
        <w:rPr>
          <w:sz w:val="20"/>
          <w:szCs w:val="20"/>
          <w:color w:val="auto"/>
        </w:rPr>
      </w:pPr>
    </w:p>
    <w:p>
      <w:pPr>
        <w:ind w:firstLine="440"/>
        <w:spacing w:after="0" w:line="258" w:lineRule="auto"/>
        <w:tabs>
          <w:tab w:leader="none" w:pos="87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RSUs Subject to Plan</w:t>
      </w:r>
      <w:r>
        <w:rPr>
          <w:rFonts w:ascii="Times New Roman" w:cs="Times New Roman" w:eastAsia="Times New Roman" w:hAnsi="Times New Roman"/>
          <w:sz w:val="22"/>
          <w:szCs w:val="22"/>
          <w:color w:val="auto"/>
        </w:rPr>
        <w:t>. This RSU Award and the issuance of shares of Common Stock in connection herewith shall be subject to, and the Company and Recipient agree to be bound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all of the terms and conditions of the Plan (as if fully set out herein), as the same shall be amended from time to time in accordance with the terms thereof. For the avoidance of doubt, the terms of this Agreement shall control if any inconsistencies exist between the Plan, an election form and this Agreement.</w:t>
      </w:r>
    </w:p>
    <w:p>
      <w:pPr>
        <w:spacing w:after="0" w:line="200" w:lineRule="exact"/>
        <w:rPr>
          <w:sz w:val="20"/>
          <w:szCs w:val="20"/>
          <w:color w:val="auto"/>
        </w:rPr>
      </w:pPr>
    </w:p>
    <w:p>
      <w:pPr>
        <w:jc w:val="both"/>
        <w:ind w:firstLine="440"/>
        <w:spacing w:after="0" w:line="235" w:lineRule="auto"/>
        <w:tabs>
          <w:tab w:leader="none" w:pos="86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Rights</w:t>
      </w:r>
      <w:r>
        <w:rPr>
          <w:rFonts w:ascii="Times New Roman" w:cs="Times New Roman" w:eastAsia="Times New Roman" w:hAnsi="Times New Roman"/>
          <w:sz w:val="22"/>
          <w:szCs w:val="22"/>
          <w:color w:val="auto"/>
        </w:rPr>
        <w:t>. Notwithstanding any other provision of this Agreement, the Recipient may elect to defer the receipt of the shares of Common Stock issuable with respect to the RSUs upon the termination of the Vesting Period until such times as are approved by the Committee and are set forth in the Recipient’s applicable deferral election form. All deferral elections made by the Recipient pursuant to this Section 5 shall be made in accordance with (i) the applicable election form provided by the Committee and (ii) Section 409A of the Code, including Section 1.409A-2(a)(8) of the Treasury Regulations. If the Recipient does not timely elect to defer the receipt of shares of Common Stock pursuant to this Section 5, or if such election is ineffective (as provided for under Section 1.409A-2(a)(5) of the Treasury Regulations), then such shares shall be paid to the Recipient in accordance with Section 3 of this Agreement.</w:t>
      </w:r>
    </w:p>
    <w:p>
      <w:pPr>
        <w:spacing w:after="0" w:line="205" w:lineRule="exact"/>
        <w:rPr>
          <w:rFonts w:ascii="Times New Roman" w:cs="Times New Roman" w:eastAsia="Times New Roman" w:hAnsi="Times New Roman"/>
          <w:sz w:val="22"/>
          <w:szCs w:val="22"/>
          <w:color w:val="auto"/>
        </w:rPr>
      </w:pPr>
    </w:p>
    <w:p>
      <w:pPr>
        <w:jc w:val="both"/>
        <w:ind w:firstLine="440"/>
        <w:spacing w:after="0" w:line="246" w:lineRule="auto"/>
        <w:tabs>
          <w:tab w:leader="none" w:pos="86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Recipient acknowledges that the Recipient (and not the Company) shall be responsible for any tax liability that may arise as a result of this RSU Award and the issuance of shares of Common Stock (or vesting of the RSUs) in connection therewith. The Recipient shall remit to the Company a cash amount sufficient to satisfy, in whole or in part, any federal, state and local withholding tax requirements arising in connection herewith prior to the delivery of any certificate (or book entry or other credit for the Recipient’s benefit) for the shares of Common Stock. The Committee may, in its sole discretion,</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29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Recipient to satisfy, in whole or in part, any such withholding tax requirements by having the Company, upon any delivery of shares of Common Stock pursuant to this Agreement (or an applicable election form executed by the Recipient pursuant to Section 5 of this Agreement), withhold from such shares of Common Stock that number of full shares of Common Stock having a Fair Market Value (determined as the date Common Stock is issued to the Recipient pursuant to this Agreement or applicable election form) equal to the amount or portion of the amount required or permitted to be withheld; or (b) satisfy such withholding requirements through another lawful method, including withholding from other wages payable to the Recipient by the Employer.</w:t>
      </w:r>
    </w:p>
    <w:p>
      <w:pPr>
        <w:spacing w:after="0" w:line="208" w:lineRule="exact"/>
        <w:rPr>
          <w:rFonts w:ascii="Times New Roman" w:cs="Times New Roman" w:eastAsia="Times New Roman" w:hAnsi="Times New Roman"/>
          <w:sz w:val="22"/>
          <w:szCs w:val="22"/>
          <w:color w:val="auto"/>
        </w:rPr>
      </w:pPr>
    </w:p>
    <w:p>
      <w:pPr>
        <w:jc w:val="both"/>
        <w:ind w:firstLine="440"/>
        <w:spacing w:after="0" w:line="238" w:lineRule="auto"/>
        <w:tabs>
          <w:tab w:leader="none" w:pos="87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The Committee shall make equitable and proportionate adjustments in the terms and conditions of, and the criteria included in, this RSU Award in recognition of unusual or nonrecurring events (including, without limitation, the events described in Section 4.2 of the Plan) affecting the Company, or the financial statements of the Company, or of changes in applicable laws, regulations, or accounting principles. Such adjustments shall be made in accordance with Section 4.2 of the Plan and Section 409A of the Code, if applicable.</w:t>
      </w:r>
    </w:p>
    <w:p>
      <w:pPr>
        <w:spacing w:after="0" w:line="203" w:lineRule="exact"/>
        <w:rPr>
          <w:rFonts w:ascii="Times New Roman" w:cs="Times New Roman" w:eastAsia="Times New Roman" w:hAnsi="Times New Roman"/>
          <w:sz w:val="22"/>
          <w:szCs w:val="22"/>
          <w:color w:val="auto"/>
        </w:rPr>
      </w:pPr>
    </w:p>
    <w:p>
      <w:pPr>
        <w:ind w:right="20" w:firstLine="440"/>
        <w:spacing w:after="0" w:line="258" w:lineRule="auto"/>
        <w:tabs>
          <w:tab w:leader="none" w:pos="87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administered and enforced according to the laws of the State of Maryland, without regard to the conflicts of laws provisions thereof.</w:t>
      </w:r>
    </w:p>
    <w:p>
      <w:pPr>
        <w:spacing w:after="0" w:line="185" w:lineRule="exact"/>
        <w:rPr>
          <w:rFonts w:ascii="Times New Roman" w:cs="Times New Roman" w:eastAsia="Times New Roman" w:hAnsi="Times New Roman"/>
          <w:sz w:val="22"/>
          <w:szCs w:val="22"/>
          <w:color w:val="auto"/>
        </w:rPr>
      </w:pPr>
    </w:p>
    <w:p>
      <w:pPr>
        <w:ind w:firstLine="440"/>
        <w:spacing w:after="0" w:line="258" w:lineRule="auto"/>
        <w:tabs>
          <w:tab w:leader="none" w:pos="945"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shall be binding upon and inure to the benefits of the heirs, legal representatives, successors and permitted assigns of the parties.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jc w:val="both"/>
        <w:ind w:firstLine="440"/>
        <w:spacing w:after="0" w:line="238" w:lineRule="auto"/>
        <w:tabs>
          <w:tab w:leader="none" w:pos="8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Except as otherwise specified herein, all notices and other communications under this Agreement shall be in writing and shall be deemed to have been given if personally delivered or if sent by registered or certified United States mail, return receipt requested, postage prepaid, addressed to the proposed recipient at the last known address of such recipient. Any party may designate any other address to which notices shall be sent by giving notice of such address to the other parties in the same manner provided herein.</w:t>
      </w:r>
    </w:p>
    <w:p>
      <w:pPr>
        <w:spacing w:after="0" w:line="203" w:lineRule="exact"/>
        <w:rPr>
          <w:rFonts w:ascii="Times New Roman" w:cs="Times New Roman" w:eastAsia="Times New Roman" w:hAnsi="Times New Roman"/>
          <w:sz w:val="22"/>
          <w:szCs w:val="22"/>
          <w:color w:val="auto"/>
        </w:rPr>
      </w:pPr>
    </w:p>
    <w:p>
      <w:pPr>
        <w:jc w:val="both"/>
        <w:ind w:firstLine="440"/>
        <w:spacing w:after="0" w:line="239" w:lineRule="auto"/>
        <w:tabs>
          <w:tab w:leader="none" w:pos="87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one or more of the provisions or portion thereof contained in this Agreement shall for any reason be held to be invalid, illegal or unenforceable in any respect, the same shall not invalidate or otherwise affect any other provisions of this Agreement and this Agreement shall be construed as if such invalid, illegal or unenforceable provision or portion thereof had never been contained herein.</w:t>
      </w:r>
    </w:p>
    <w:p>
      <w:pPr>
        <w:spacing w:after="0" w:line="207" w:lineRule="exact"/>
        <w:rPr>
          <w:rFonts w:ascii="Times New Roman" w:cs="Times New Roman" w:eastAsia="Times New Roman" w:hAnsi="Times New Roman"/>
          <w:sz w:val="22"/>
          <w:szCs w:val="22"/>
          <w:color w:val="auto"/>
        </w:rPr>
      </w:pPr>
    </w:p>
    <w:p>
      <w:pPr>
        <w:jc w:val="both"/>
        <w:ind w:firstLine="440"/>
        <w:spacing w:after="0" w:line="239" w:lineRule="auto"/>
        <w:tabs>
          <w:tab w:leader="none" w:pos="87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Subject to the terms and conditions of the Plan, this Agreement expresses the entire understanding and agreement of the parties hereto with respect to such terms, restrictions and limitations. This Agreement may be executed in two or more counterparts, each of which shall be deemed an original but all of which shall constitute one and the same instrument.</w:t>
      </w:r>
    </w:p>
    <w:p>
      <w:pPr>
        <w:spacing w:after="0" w:line="207" w:lineRule="exact"/>
        <w:rPr>
          <w:rFonts w:ascii="Times New Roman" w:cs="Times New Roman" w:eastAsia="Times New Roman" w:hAnsi="Times New Roman"/>
          <w:sz w:val="22"/>
          <w:szCs w:val="22"/>
          <w:color w:val="auto"/>
        </w:rPr>
      </w:pPr>
    </w:p>
    <w:p>
      <w:pPr>
        <w:ind w:firstLine="440"/>
        <w:spacing w:after="0" w:line="258" w:lineRule="auto"/>
        <w:tabs>
          <w:tab w:leader="none" w:pos="95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used herein are for convenience of reference only and shall not be considered in interpreting this Agreement.</w:t>
      </w:r>
    </w:p>
    <w:p>
      <w:pPr>
        <w:spacing w:after="0" w:line="185" w:lineRule="exact"/>
        <w:rPr>
          <w:rFonts w:ascii="Times New Roman" w:cs="Times New Roman" w:eastAsia="Times New Roman" w:hAnsi="Times New Roman"/>
          <w:sz w:val="22"/>
          <w:szCs w:val="22"/>
          <w:color w:val="auto"/>
        </w:rPr>
      </w:pPr>
    </w:p>
    <w:p>
      <w:pPr>
        <w:jc w:val="both"/>
        <w:ind w:firstLine="440"/>
        <w:spacing w:after="0" w:line="239" w:lineRule="auto"/>
        <w:tabs>
          <w:tab w:leader="none" w:pos="86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In the event of any actual or threatened default in, or breach of, any of the terms, conditions and provisions of this Agreement, the party or parties who are thereby aggrieved shall have the right to specific performance and injunction in addition to any and all other rights and remedies at law or in equity, and all such rights and remedies shall be cumulative.</w:t>
      </w:r>
    </w:p>
    <w:p>
      <w:pPr>
        <w:spacing w:after="0" w:line="207" w:lineRule="exact"/>
        <w:rPr>
          <w:rFonts w:ascii="Times New Roman" w:cs="Times New Roman" w:eastAsia="Times New Roman" w:hAnsi="Times New Roman"/>
          <w:sz w:val="22"/>
          <w:szCs w:val="22"/>
          <w:color w:val="auto"/>
        </w:rPr>
      </w:pPr>
    </w:p>
    <w:p>
      <w:pPr>
        <w:jc w:val="both"/>
        <w:ind w:firstLine="440"/>
        <w:spacing w:after="0" w:line="244" w:lineRule="auto"/>
        <w:tabs>
          <w:tab w:leader="none" w:pos="87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the signatures of each of the parties hereto, or to a counterpart of this Agreement, and all such counterparts shall collectively constitute one Agreement. Facsimile signatures shall constitute original signatures for purposes of this Agreement.</w:t>
      </w:r>
    </w:p>
    <w:p>
      <w:pPr>
        <w:spacing w:after="0" w:line="200" w:lineRule="exact"/>
        <w:rPr>
          <w:rFonts w:ascii="Times New Roman" w:cs="Times New Roman" w:eastAsia="Times New Roman" w:hAnsi="Times New Roman"/>
          <w:sz w:val="22"/>
          <w:szCs w:val="22"/>
          <w:color w:val="auto"/>
        </w:rPr>
      </w:pPr>
    </w:p>
    <w:p>
      <w:pPr>
        <w:jc w:val="both"/>
        <w:ind w:firstLine="440"/>
        <w:spacing w:after="0" w:line="234" w:lineRule="auto"/>
        <w:tabs>
          <w:tab w:leader="none" w:pos="8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Favorable Tax Treatment</w:t>
      </w:r>
      <w:r>
        <w:rPr>
          <w:rFonts w:ascii="Times New Roman" w:cs="Times New Roman" w:eastAsia="Times New Roman" w:hAnsi="Times New Roman"/>
          <w:sz w:val="22"/>
          <w:szCs w:val="22"/>
          <w:color w:val="auto"/>
        </w:rPr>
        <w:t>. Although the Company shall administer this Agreement so that the RSU Award will be exempt from, or will be interpreted and comply with, the requirements of Section 409A of the Internal Revenue Code of 1986, as amended (the “Code”), the Company does not warrant that the RSU Award made under this Agreement will qualify for favorable tax treatment under Section 409A of the Code or any other provision of federal, state, local or foreign law. The Company shall not be liable to the Recipient for any tax, interest, or penalties that Recipient might owe as a result of the RSU Award made under this Agreement. For the avoidance of doubt, if the award of RSUs under this Agreement constitutes “deferred compensation” under Section 409A of the Code, then the applicable Section 409A provisions of the election form (described in Section 5 above), including the definition of a “separation from service” and the required six (6) month delay period provided for therein, shall be incorporated by reference herein.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ind w:firstLine="432"/>
        <w:spacing w:after="0" w:line="233"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xml:space="preserve"> The Awards granted to Grantee pursuant to this Agreement, and any prior awards granted to Gran under the Plan, including any amounts paid or property received in settlement or satisfaction thereof, shall be subject to forfeiture, repayment, reimbursement or other recoupment (i) to the extent provided in the Company’s Recoupment Policy, adopted as of December 13, 2022, as such policy may be amended from time to time (the “Current Clawback Policy”), (ii) to the extent that Grantee in the future becomes subject to any other recoupment or clawback policy hereafter adopted by the Company, including any such policy (or amended version of the Current Clawback Policy) adopted by the Company to comply with the requirements of any applicable laws, rules or regulations, including pursuant to final SEC rules and/or New York Stock Exchange listing standards with respect to recoupment adopted in connection with the Dodd-Frank Wall Street Reform and Consumer Protection Act (such final rules and New York Stock Exchange listing standards, the “Dodd-Frank Clawback Requirements”) (such policies referenced in clause (i) or this clause (ii), collectively, the “Policies”), and (iii) to the extent provided under any applicable laws and/or listing standards which impose mandatory recoupment, under circumstances set forth in such applicable laws and listing standards, including pursuant to the Dodd-Frank Clawback Requirements and the Sarbanes-Oxley Act of 2002. The Company may utilize any method of recovery specified in the Policies in connection with any recoupment pursuant to the terms of the Policies.</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(Signatures appear on the following page)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408" w:right="25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21"/>
          <w:szCs w:val="21"/>
          <w:color w:val="auto"/>
        </w:rPr>
        <w:t>IN WITNESS WHEREOF, the parties have executed and sealed this Agreement on the day and year first set forth above.</w:t>
      </w:r>
    </w:p>
    <w:p>
      <w:pPr>
        <w:spacing w:after="0" w:line="2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CORECIVIC, INC.</w:t>
      </w:r>
    </w:p>
    <w:p>
      <w:pPr>
        <w:spacing w:after="0" w:line="2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2540</wp:posOffset>
            </wp:positionV>
            <wp:extent cx="39433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13" w:lineRule="exact"/>
        <w:rPr>
          <w:sz w:val="20"/>
          <w:szCs w:val="20"/>
          <w:color w:val="auto"/>
        </w:rPr>
      </w:pPr>
    </w:p>
    <w:p>
      <w:pPr>
        <w:ind w:left="442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10795</wp:posOffset>
            </wp:positionV>
            <wp:extent cx="38233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175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08" w:right="6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 AWARD AGREEMENT</w:t>
      </w:r>
    </w:p>
    <w:p>
      <w:pPr>
        <w:spacing w:after="0" w:line="200" w:lineRule="exact"/>
        <w:rPr>
          <w:sz w:val="20"/>
          <w:szCs w:val="20"/>
          <w:color w:val="auto"/>
        </w:rPr>
      </w:pPr>
    </w:p>
    <w:p>
      <w:pPr>
        <w:spacing w:after="0" w:line="276"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PERFORMANCE-BASED RESTRICTED STOCK UNIT AWARD AGREEMENT</w:t>
      </w:r>
      <w:r>
        <w:rPr>
          <w:rFonts w:ascii="Times New Roman" w:cs="Times New Roman" w:eastAsia="Times New Roman" w:hAnsi="Times New Roman"/>
          <w:sz w:val="22"/>
          <w:szCs w:val="22"/>
          <w:color w:val="auto"/>
        </w:rPr>
        <w:t xml:space="preserve"> (the “Agreement”) is made this ____ day of _________, 20__, by and between CoreCivic, Inc., a Maryland corporation (the “Company”),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 (the “Recipient”).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37" w:lineRule="exact"/>
        <w:rPr>
          <w:sz w:val="20"/>
          <w:szCs w:val="20"/>
          <w:color w:val="auto"/>
        </w:rPr>
      </w:pPr>
    </w:p>
    <w:p>
      <w:pPr>
        <w:jc w:val="both"/>
        <w:ind w:right="20" w:firstLine="432"/>
        <w:spacing w:after="0" w:line="244" w:lineRule="auto"/>
        <w:rPr>
          <w:sz w:val="20"/>
          <w:szCs w:val="20"/>
          <w:color w:val="auto"/>
        </w:rPr>
      </w:pPr>
      <w:r>
        <w:rPr>
          <w:rFonts w:ascii="Times New Roman" w:cs="Times New Roman" w:eastAsia="Times New Roman" w:hAnsi="Times New Roman"/>
          <w:sz w:val="22"/>
          <w:szCs w:val="22"/>
          <w:color w:val="auto"/>
        </w:rPr>
        <w:t>WHEREAS, the Company has adopted the Amended and Restated 2020 Stock Incentive Plan (the “Plan”), which authorizes the Company to award Restricted Stock Units with respect to its common stock, $0.01 par value per share (the “Common Stock”), to key employees of the Company and/or its affiliates; and</w:t>
      </w:r>
    </w:p>
    <w:p>
      <w:pPr>
        <w:spacing w:after="0" w:line="20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22"/>
          <w:szCs w:val="22"/>
          <w:color w:val="auto"/>
        </w:rPr>
        <w:t>WHEREAS, the Company and Recipient wish to confirm the terms and conditions of an award of Restricted Stock Units to Recipient on __________________ (the “Date of Award”).</w:t>
      </w:r>
    </w:p>
    <w:p>
      <w:pPr>
        <w:spacing w:after="0" w:line="185"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contained herein, and other good and valuable consideration, the receipt and sufficiency of which are hereby acknowledged, it is agreed between the parties hereto as follows:</w:t>
      </w:r>
    </w:p>
    <w:p>
      <w:pPr>
        <w:spacing w:after="0" w:line="200" w:lineRule="exact"/>
        <w:rPr>
          <w:sz w:val="20"/>
          <w:szCs w:val="20"/>
          <w:color w:val="auto"/>
        </w:rPr>
      </w:pPr>
    </w:p>
    <w:p>
      <w:pPr>
        <w:ind w:firstLine="440"/>
        <w:spacing w:after="0" w:line="258" w:lineRule="auto"/>
        <w:tabs>
          <w:tab w:leader="none" w:pos="94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Except as provided in this Agreement (or an election form executed pursuant to Section 5 of this Agreement), or unless the context otherwise requires, the terms used herein shall have the same meaning as in the Plan.</w:t>
      </w:r>
    </w:p>
    <w:p>
      <w:pPr>
        <w:spacing w:after="0" w:line="185" w:lineRule="exact"/>
        <w:rPr>
          <w:rFonts w:ascii="Times New Roman" w:cs="Times New Roman" w:eastAsia="Times New Roman" w:hAnsi="Times New Roman"/>
          <w:sz w:val="22"/>
          <w:szCs w:val="22"/>
          <w:color w:val="auto"/>
        </w:rPr>
      </w:pPr>
    </w:p>
    <w:p>
      <w:pPr>
        <w:jc w:val="both"/>
        <w:ind w:firstLine="440"/>
        <w:spacing w:after="0" w:line="244" w:lineRule="auto"/>
        <w:tabs>
          <w:tab w:leader="none" w:pos="90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RSUs</w:t>
      </w:r>
      <w:r>
        <w:rPr>
          <w:rFonts w:ascii="Times New Roman" w:cs="Times New Roman" w:eastAsia="Times New Roman" w:hAnsi="Times New Roman"/>
          <w:sz w:val="22"/>
          <w:szCs w:val="22"/>
          <w:color w:val="auto"/>
        </w:rPr>
        <w:t>. Upon and subject to the terms, restrictions, limitations and conditions stated herein, the Company hereby grants an award (the “RSU Award”) to Recipient of _______ Restricted Stock Units (“RSUs”), subject to adjustment and vesting as described in Schedule A.</w:t>
      </w:r>
    </w:p>
    <w:p>
      <w:pPr>
        <w:spacing w:after="0" w:line="20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Vesting; Forfeiture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189"/>
        <w:spacing w:after="0" w:line="236" w:lineRule="auto"/>
        <w:tabs>
          <w:tab w:leader="none" w:pos="1626"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The RSUs may not be sold, assigned, transferred, pledged or otherwise encumbered or disposed of by Recipient. Any attempted sale, assignment, or transfer of the RSUs shall be void and of no effect, and the Company shall have the right to disregard the same on its books and records. Within thirty (30) days (with the date of payment selected by the Company in its sole discretion) after the vesting of any of the RSUs in accordance with Section 3(ii) of this Agreement, the Company shall issue to the Recipient one share of Common Stock for each vested RSU (subject to the Recipient’s election of a deferred payment date pursuant to Section 5 of this Agreement).</w:t>
      </w:r>
    </w:p>
    <w:p>
      <w:pPr>
        <w:spacing w:after="0" w:line="208" w:lineRule="exact"/>
        <w:rPr>
          <w:rFonts w:ascii="Times New Roman" w:cs="Times New Roman" w:eastAsia="Times New Roman" w:hAnsi="Times New Roman"/>
          <w:sz w:val="22"/>
          <w:szCs w:val="22"/>
          <w:color w:val="auto"/>
        </w:rPr>
      </w:pPr>
    </w:p>
    <w:p>
      <w:pPr>
        <w:ind w:firstLine="1189"/>
        <w:spacing w:after="0" w:line="258" w:lineRule="auto"/>
        <w:tabs>
          <w:tab w:leader="none" w:pos="164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Except as further provided in this Section 3 or in the Plan, the RSUs shall vest in accordance with Schedule A attached hereto and made a part hereof, provided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22"/>
          <w:szCs w:val="22"/>
          <w:color w:val="auto"/>
        </w:rPr>
        <w:t>that Recipient is employed full-time by the Company or an Affiliate Corporation (the “Employer”) at all times following the Date of Award and prior to and on the applicable Vesting Date, as provided in Schedule A (the “Vesting Period”).</w:t>
      </w:r>
    </w:p>
    <w:p>
      <w:pPr>
        <w:spacing w:after="0" w:line="185" w:lineRule="exact"/>
        <w:rPr>
          <w:sz w:val="20"/>
          <w:szCs w:val="20"/>
          <w:color w:val="auto"/>
        </w:rPr>
      </w:pPr>
    </w:p>
    <w:p>
      <w:pPr>
        <w:jc w:val="both"/>
        <w:ind w:firstLine="1189"/>
        <w:spacing w:after="0" w:line="244" w:lineRule="auto"/>
        <w:tabs>
          <w:tab w:leader="none" w:pos="169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set forth in Section 3(iv), if at any time during the Vesting Period, Recipient’s employment with Employer terminates for any reason, all of the unvested RSUs held by such Recipient shall immediately and automatically be forfeited to the Company without monetary consideration and shall be automatically canceled.</w:t>
      </w:r>
    </w:p>
    <w:p>
      <w:pPr>
        <w:spacing w:after="0" w:line="200" w:lineRule="exact"/>
        <w:rPr>
          <w:rFonts w:ascii="Times New Roman" w:cs="Times New Roman" w:eastAsia="Times New Roman" w:hAnsi="Times New Roman"/>
          <w:sz w:val="22"/>
          <w:szCs w:val="22"/>
          <w:color w:val="auto"/>
        </w:rPr>
      </w:pPr>
    </w:p>
    <w:p>
      <w:pPr>
        <w:jc w:val="both"/>
        <w:ind w:firstLine="1189"/>
        <w:spacing w:after="0" w:line="232" w:lineRule="auto"/>
        <w:tabs>
          <w:tab w:leader="none" w:pos="16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Accelerated Vesting Event</w:t>
      </w:r>
      <w:r>
        <w:rPr>
          <w:rFonts w:ascii="Times New Roman" w:cs="Times New Roman" w:eastAsia="Times New Roman" w:hAnsi="Times New Roman"/>
          <w:sz w:val="22"/>
          <w:szCs w:val="22"/>
          <w:color w:val="auto"/>
        </w:rPr>
        <w:t>. If, during the Vesting Period, (A) Recipient shall die while in the employ or service of the Company, (B) Recipient shall incur a “disability” (as defined in Section 1.409A-3(i)(4) of the Treasury Regulations (“Disability”)), or (C) there occurs a Change in Control and Recipient’s employment with Employer (or its successor) is terminated without Cause or Recipient resigns for Good Reason during the eighteen (18) month period immediately following the Change in Control (each of clauses (A), (B) and (C) are referred to as an “Accelerated Vesting Event”), then in any such case all the RSUs that are unvested at such time without adjustment as described in Schedule A, shall become immediately vested and nonforfeitable (to the extent not previously forfeited). If the Recipient's employment is terminated due to Retirement after December 31 of any fiscal year, but prior to the applicable Vesting Date with respect to such year in the immediately following fiscal year, then the applicable portion of the RSUs earned based on the achievement of the performance criteria set forth on Schedule A, if any, shall vest on such Vesting Date in the manner set forth in Schedule A despite the fact that the Recipient is no longer an employee of the Company on such Vesting Date. For purposes of clarity, (i) any RSUs for which the performance period (as described in Schedule A) ends following the Recipient's termination (except in the event of an Accelerated Vesting Event or as contemplated in the immediately preceding sentence) shall be forfeited and (ii) any RSUs which become vested pursuant to an Accelerated Vesting Event shall be paid within thirty (30) days of the Accelerated Vesting Event (with the date of payment selected by the Company in its sole discretion), subject to the Recipient’s election of a deferred payment date pursuant to Section 5 of this Agreement.</w:t>
      </w:r>
    </w:p>
    <w:p>
      <w:pPr>
        <w:spacing w:after="0" w:line="21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4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 Dividend Equivalents</w:t>
      </w:r>
      <w:r>
        <w:rPr>
          <w:rFonts w:ascii="Times New Roman" w:cs="Times New Roman" w:eastAsia="Times New Roman" w:hAnsi="Times New Roman"/>
          <w:sz w:val="22"/>
          <w:szCs w:val="22"/>
          <w:color w:val="auto"/>
        </w:rPr>
        <w:t>. The Recipient shall not have any voting rights with respect to the RSUs covered by this RSU Award. The Recipient shall, however, be credited with dividend equivalents with respect to the RSUs at the time of any payment of dividends on shares of Common Stock in accordance with the terms set forth in the Plan and as specified by the Committee in its sole discretion. Dividend equivalents credited with regard to any RSU shall be accumulated and paid at such time (and only at such time) as the underlying shares of Common Stock are paid according to this Sections 3. The Recipient shall be paid a cash equivalent of the dividends paid during the performance and vesting periods based on the number of shares of Common Stock, if any, that become vested.</w:t>
      </w:r>
    </w:p>
    <w:p>
      <w:pPr>
        <w:spacing w:after="0" w:line="21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As used herein, “Good Reason” shall mean (A) a material reduction in the duties, powers or authority of the Recipient as an officer or employee of the Company or (B) the relocation of the Company’s headquarters to a location more than thirty (30) miles outside of the Brentwood, Tennessee metropolitan area, in either case, without the Recipient’s consent. A termination shall be due to Good Reason only if (A) the Recipient notifies the Employer of the existence of the condition that otherwise constitutes Good Reason within thirty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-5124450</wp:posOffset>
            </wp:positionV>
            <wp:extent cx="59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both"/>
        <w:ind w:firstLine="8"/>
        <w:spacing w:after="0" w:line="244" w:lineRule="auto"/>
        <w:tabs>
          <w:tab w:leader="none" w:pos="44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initial existence of the condition and (B) the Employer fails to remedy the condition within thirty (30) days following its receipt of the Recipient’s notice of the condition constituting Good Reason (the “Cure Period”) and the Recipient terminates employment with the Employer due to the condition within thirty (30) days of the expiration of the Cure Period.</w:t>
      </w:r>
    </w:p>
    <w:p>
      <w:pPr>
        <w:spacing w:after="0" w:line="173" w:lineRule="exact"/>
        <w:rPr>
          <w:rFonts w:ascii="Times New Roman" w:cs="Times New Roman" w:eastAsia="Times New Roman" w:hAnsi="Times New Roman"/>
          <w:sz w:val="22"/>
          <w:szCs w:val="22"/>
          <w:color w:val="auto"/>
        </w:rPr>
      </w:pPr>
    </w:p>
    <w:p>
      <w:pPr>
        <w:jc w:val="both"/>
        <w:ind w:firstLine="440"/>
        <w:spacing w:after="0" w:line="239" w:lineRule="auto"/>
        <w:tabs>
          <w:tab w:leader="none" w:pos="87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RSUs Subject to Plan</w:t>
      </w:r>
      <w:r>
        <w:rPr>
          <w:rFonts w:ascii="Times New Roman" w:cs="Times New Roman" w:eastAsia="Times New Roman" w:hAnsi="Times New Roman"/>
          <w:sz w:val="22"/>
          <w:szCs w:val="22"/>
          <w:color w:val="auto"/>
        </w:rPr>
        <w:t>. This RSU Award and the issuance of shares of Common Stock in connection herewith shall be subject to, and the Company and Recipient agree to be bound by, all of the terms and conditions of the Plan (as if fully set out herein), as the same shall be amended from time to time in accordance with the terms thereof. For the avoidance of doubt, the terms of this Agreement shall control if any inconsistencies exist between the Plan, an election form and this Agreement.</w:t>
      </w:r>
    </w:p>
    <w:p>
      <w:pPr>
        <w:spacing w:after="0" w:line="207" w:lineRule="exact"/>
        <w:rPr>
          <w:rFonts w:ascii="Times New Roman" w:cs="Times New Roman" w:eastAsia="Times New Roman" w:hAnsi="Times New Roman"/>
          <w:sz w:val="22"/>
          <w:szCs w:val="22"/>
          <w:color w:val="auto"/>
        </w:rPr>
      </w:pPr>
    </w:p>
    <w:p>
      <w:pPr>
        <w:jc w:val="both"/>
        <w:ind w:firstLine="440"/>
        <w:spacing w:after="0" w:line="235" w:lineRule="auto"/>
        <w:tabs>
          <w:tab w:leader="none" w:pos="86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Rights</w:t>
      </w:r>
      <w:r>
        <w:rPr>
          <w:rFonts w:ascii="Times New Roman" w:cs="Times New Roman" w:eastAsia="Times New Roman" w:hAnsi="Times New Roman"/>
          <w:sz w:val="22"/>
          <w:szCs w:val="22"/>
          <w:color w:val="auto"/>
        </w:rPr>
        <w:t>. Notwithstanding any other provision of this Agreement, the Recipient may elect to defer the receipt of the shares of Common Stock issuable with respect to the RSUs upon the termination of the Vesting Period until such times as are approved by the Committee and are set forth in the Recipient’s applicable deferral election form. All deferral elections made by the Recipient pursuant to this Section 5 shall be made in accordance with (i) the applicable election form provided by the Committee and (ii) Section 409A of the Code, including Section 1.409A-2(a)(8) of the Treasury Regulations. If the Recipient does not timely elect to defer the receipt of shares of Common Stock pursuant to this Section 5, or if such election is ineffective (as provided for under Section 1.409A-2(a)(5) of the Treasury Regulations), then such shares shall be paid to the Recipient in accordance with Section 3 of this Agreement.</w:t>
      </w:r>
    </w:p>
    <w:p>
      <w:pPr>
        <w:spacing w:after="0" w:line="205" w:lineRule="exact"/>
        <w:rPr>
          <w:rFonts w:ascii="Times New Roman" w:cs="Times New Roman" w:eastAsia="Times New Roman" w:hAnsi="Times New Roman"/>
          <w:sz w:val="22"/>
          <w:szCs w:val="22"/>
          <w:color w:val="auto"/>
        </w:rPr>
      </w:pPr>
    </w:p>
    <w:p>
      <w:pPr>
        <w:jc w:val="both"/>
        <w:ind w:firstLine="440"/>
        <w:spacing w:after="0" w:line="246" w:lineRule="auto"/>
        <w:tabs>
          <w:tab w:leader="none" w:pos="864"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The Recipient acknowledges that the Recipient (and not the Company) shall be responsible for any tax liability that may arise as a result of this RSU Award and the issuance of shares of Common Stock (or vesting of the RSUs) in connection therewith. The Recipient shall remit to the Company a cash amount sufficient to satisfy, in whole or in part, any federal, state and local withholding tax requirements arising in connection herewith prior to the delivery of any certificate (or book entry or other credit for the Recipient’s benefit) for the shares of Common Stock. The Committee may, in its sole discretion,</w:t>
      </w:r>
    </w:p>
    <w:p>
      <w:pPr>
        <w:spacing w:after="0" w:line="1" w:lineRule="exact"/>
        <w:rPr>
          <w:rFonts w:ascii="Times New Roman" w:cs="Times New Roman" w:eastAsia="Times New Roman" w:hAnsi="Times New Roman"/>
          <w:sz w:val="21"/>
          <w:szCs w:val="21"/>
          <w:color w:val="auto"/>
        </w:rPr>
      </w:pP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require the Recipient to satisfy, in whole or in part, any such withholding tax requirements by having the Company, upon any delivery of shares of Common Stock pursuant to this Agreement (or an applicable election form executed by the Recipient pursuant to Section 5 of this Agreement), withhold from such shares of Common Stock that number of full shares of Common Stock having a Fair Market Value (determined as the date Common Stock is issued to the Recipient pursuant to this Agreement or applicable election form) equal to the amount or portion of the amount required or permitted to be withheld; or (b) satisfy such withholding requirements through another lawful method, including withholding from other wages payable to the Recipient by the Employer.</w:t>
      </w:r>
    </w:p>
    <w:p>
      <w:pPr>
        <w:spacing w:after="0" w:line="208" w:lineRule="exact"/>
        <w:rPr>
          <w:rFonts w:ascii="Times New Roman" w:cs="Times New Roman" w:eastAsia="Times New Roman" w:hAnsi="Times New Roman"/>
          <w:sz w:val="21"/>
          <w:szCs w:val="21"/>
          <w:color w:val="auto"/>
        </w:rPr>
      </w:pPr>
    </w:p>
    <w:p>
      <w:pPr>
        <w:jc w:val="both"/>
        <w:ind w:firstLine="440"/>
        <w:spacing w:after="0" w:line="238" w:lineRule="auto"/>
        <w:tabs>
          <w:tab w:leader="none" w:pos="87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The Committee shall make equitable and proportionate adjustments in the terms and conditions of, and the criteria included in, this RSU Award in recognition of unusual or nonrecurring events (including, without limitation, the events described in Section 4.2 of the Plan) affecting the Company, or the financial statements of the Company, or of changes in applicable laws, regulations, or accounting principles. Such adjustments shall be made in accordance with Section 4.2 of the Plan and Section 409A of the Code, if applicable.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ind w:right="20" w:firstLine="440"/>
        <w:spacing w:after="0" w:line="258" w:lineRule="auto"/>
        <w:tabs>
          <w:tab w:leader="none" w:pos="87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administered and enforced according to the laws of the State of Maryland, without regard to the conflicts of laws provisions thereof.</w:t>
      </w:r>
    </w:p>
    <w:p>
      <w:pPr>
        <w:spacing w:after="0" w:line="185" w:lineRule="exact"/>
        <w:rPr>
          <w:rFonts w:ascii="Times New Roman" w:cs="Times New Roman" w:eastAsia="Times New Roman" w:hAnsi="Times New Roman"/>
          <w:sz w:val="22"/>
          <w:szCs w:val="22"/>
          <w:color w:val="auto"/>
        </w:rPr>
      </w:pPr>
    </w:p>
    <w:p>
      <w:pPr>
        <w:ind w:firstLine="440"/>
        <w:spacing w:after="0" w:line="258" w:lineRule="auto"/>
        <w:tabs>
          <w:tab w:leader="none" w:pos="94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shall be binding upon and inure to the benefits of the heirs, legal representatives, successors and permitted assigns of the parties.</w:t>
      </w:r>
    </w:p>
    <w:p>
      <w:pPr>
        <w:spacing w:after="0" w:line="185" w:lineRule="exact"/>
        <w:rPr>
          <w:rFonts w:ascii="Times New Roman" w:cs="Times New Roman" w:eastAsia="Times New Roman" w:hAnsi="Times New Roman"/>
          <w:sz w:val="22"/>
          <w:szCs w:val="22"/>
          <w:color w:val="auto"/>
        </w:rPr>
      </w:pPr>
    </w:p>
    <w:p>
      <w:pPr>
        <w:jc w:val="both"/>
        <w:ind w:firstLine="440"/>
        <w:spacing w:after="0" w:line="238" w:lineRule="auto"/>
        <w:tabs>
          <w:tab w:leader="none" w:pos="89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Except as otherwise specified herein, all notices and other communications under this Agreement shall be in writing and shall be deemed to have been given if personally delivered or if sent by registered or certified United States mail, return receipt requested, postage prepaid, addressed to the proposed recipient at the last known address of such recipient. Any party may designate any other address to which notices shall be sent by giving notice of such address to the other parties in the same manner provided herein.</w:t>
      </w:r>
    </w:p>
    <w:p>
      <w:pPr>
        <w:spacing w:after="0" w:line="203" w:lineRule="exact"/>
        <w:rPr>
          <w:rFonts w:ascii="Times New Roman" w:cs="Times New Roman" w:eastAsia="Times New Roman" w:hAnsi="Times New Roman"/>
          <w:sz w:val="22"/>
          <w:szCs w:val="22"/>
          <w:color w:val="auto"/>
        </w:rPr>
      </w:pPr>
    </w:p>
    <w:p>
      <w:pPr>
        <w:jc w:val="both"/>
        <w:ind w:firstLine="440"/>
        <w:spacing w:after="0" w:line="239" w:lineRule="auto"/>
        <w:tabs>
          <w:tab w:leader="none" w:pos="87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one or more of the provisions or portion thereof contained in this Agreement shall for any reason be held to be invalid, illegal or unenforceable in any respect, the same shall not invalidate or otherwise affect any other provisions of this Agreement and this Agreement shall be construed as if such invalid, illegal or unenforceable provision or portion thereof had never been contained herein.</w:t>
      </w:r>
    </w:p>
    <w:p>
      <w:pPr>
        <w:spacing w:after="0" w:line="207" w:lineRule="exact"/>
        <w:rPr>
          <w:rFonts w:ascii="Times New Roman" w:cs="Times New Roman" w:eastAsia="Times New Roman" w:hAnsi="Times New Roman"/>
          <w:sz w:val="22"/>
          <w:szCs w:val="22"/>
          <w:color w:val="auto"/>
        </w:rPr>
      </w:pPr>
    </w:p>
    <w:p>
      <w:pPr>
        <w:jc w:val="both"/>
        <w:ind w:firstLine="440"/>
        <w:spacing w:after="0" w:line="239" w:lineRule="auto"/>
        <w:tabs>
          <w:tab w:leader="none" w:pos="87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Subject to the terms and conditions of the Plan, this Agreement expresses the entire understanding and agreement of the parties hereto with respect to such terms, restrictions and limitations. This Agreement may be executed in two or more counterparts, each of which shall be deemed an original but all of which shall constitute one and the same instrument.</w:t>
      </w:r>
    </w:p>
    <w:p>
      <w:pPr>
        <w:spacing w:after="0" w:line="207" w:lineRule="exact"/>
        <w:rPr>
          <w:rFonts w:ascii="Times New Roman" w:cs="Times New Roman" w:eastAsia="Times New Roman" w:hAnsi="Times New Roman"/>
          <w:sz w:val="22"/>
          <w:szCs w:val="22"/>
          <w:color w:val="auto"/>
        </w:rPr>
      </w:pPr>
    </w:p>
    <w:p>
      <w:pPr>
        <w:ind w:firstLine="440"/>
        <w:spacing w:after="0" w:line="258" w:lineRule="auto"/>
        <w:tabs>
          <w:tab w:leader="none" w:pos="95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used herein are for convenience of reference only and shall not be considered in interpreting this Agreement.</w:t>
      </w:r>
    </w:p>
    <w:p>
      <w:pPr>
        <w:spacing w:after="0" w:line="185" w:lineRule="exact"/>
        <w:rPr>
          <w:rFonts w:ascii="Times New Roman" w:cs="Times New Roman" w:eastAsia="Times New Roman" w:hAnsi="Times New Roman"/>
          <w:sz w:val="22"/>
          <w:szCs w:val="22"/>
          <w:color w:val="auto"/>
        </w:rPr>
      </w:pPr>
    </w:p>
    <w:p>
      <w:pPr>
        <w:jc w:val="both"/>
        <w:ind w:firstLine="440"/>
        <w:spacing w:after="0" w:line="239" w:lineRule="auto"/>
        <w:tabs>
          <w:tab w:leader="none" w:pos="86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In the event of any actual or threatened default in, or breach of, any of the terms, conditions and provisions of this Agreement, the party or parties who are thereby aggrieved shall have the right to specific performance and injunction in addition to any and all other rights and remedies at law or in equity, and all such rights and remedies shall be cumulative.</w:t>
      </w:r>
    </w:p>
    <w:p>
      <w:pPr>
        <w:spacing w:after="0" w:line="207" w:lineRule="exact"/>
        <w:rPr>
          <w:rFonts w:ascii="Times New Roman" w:cs="Times New Roman" w:eastAsia="Times New Roman" w:hAnsi="Times New Roman"/>
          <w:sz w:val="22"/>
          <w:szCs w:val="22"/>
          <w:color w:val="auto"/>
        </w:rPr>
      </w:pPr>
    </w:p>
    <w:p>
      <w:pPr>
        <w:jc w:val="both"/>
        <w:ind w:firstLine="440"/>
        <w:spacing w:after="0" w:line="244" w:lineRule="auto"/>
        <w:tabs>
          <w:tab w:leader="none" w:pos="87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the signatures of each of the parties hereto, or to a counterpart of this Agreement, and all such counterparts shall collectively constitute one Agreement. Facsimile signatures shall constitute original signatures for purposes of this Agreement.</w:t>
      </w:r>
    </w:p>
    <w:p>
      <w:pPr>
        <w:spacing w:after="0" w:line="200" w:lineRule="exact"/>
        <w:rPr>
          <w:rFonts w:ascii="Times New Roman" w:cs="Times New Roman" w:eastAsia="Times New Roman" w:hAnsi="Times New Roman"/>
          <w:sz w:val="22"/>
          <w:szCs w:val="22"/>
          <w:color w:val="auto"/>
        </w:rPr>
      </w:pPr>
    </w:p>
    <w:p>
      <w:pPr>
        <w:jc w:val="both"/>
        <w:ind w:firstLine="440"/>
        <w:spacing w:after="0" w:line="236" w:lineRule="auto"/>
        <w:tabs>
          <w:tab w:leader="none" w:pos="89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Favorable Tax Treatment</w:t>
      </w:r>
      <w:r>
        <w:rPr>
          <w:rFonts w:ascii="Times New Roman" w:cs="Times New Roman" w:eastAsia="Times New Roman" w:hAnsi="Times New Roman"/>
          <w:sz w:val="22"/>
          <w:szCs w:val="22"/>
          <w:color w:val="auto"/>
        </w:rPr>
        <w:t>. Although the Company shall administer this Agreement so that the RSU Award will be exempt from, or will be interpreted and comply with, the requirements of Section 409A of the Internal Revenue Code of 1986, as amended (the “Code”), the Company does not warrant that the RSU Award made under this Agreement will qualify for favorable tax treatment under Section 409A of the Code or any other provision of federal, state, local or foreign law. The Company shall not be liable to the Recipient for any tax, interest, or penalties that Recipient might owe as a result of the RSU Award made under this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ind w:right="80"/>
        <w:spacing w:after="0" w:line="239" w:lineRule="auto"/>
        <w:rPr>
          <w:sz w:val="20"/>
          <w:szCs w:val="20"/>
          <w:color w:val="auto"/>
        </w:rPr>
      </w:pPr>
      <w:r>
        <w:rPr>
          <w:rFonts w:ascii="Times New Roman" w:cs="Times New Roman" w:eastAsia="Times New Roman" w:hAnsi="Times New Roman"/>
          <w:sz w:val="22"/>
          <w:szCs w:val="22"/>
          <w:color w:val="auto"/>
        </w:rPr>
        <w:t>Agreement. For the avoidance of doubt, if the award of RSUs under this Agreement constitutes “deferred compensation” under Section 409A of the Code, then the applicable Section 409A provisions of the election form (described in Section 5 above), including the definition of a “separation from service” and the required six (6) month delay period provided for therein, shall be incorporated by reference herein.</w:t>
      </w:r>
    </w:p>
    <w:p>
      <w:pPr>
        <w:spacing w:after="0" w:line="207"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xml:space="preserve"> The Awards granted to Grantee pursuant to this Agreement, and any prior awards granted to Gran under the Plan, including any amounts paid or property received in settlement or satisfaction thereof, shall be subject to forfeiture, repayment, reimbursement or other recoupment (i) to the extent provided in the Company’s Recoupment Policy, adopted as of December 13, 2022, as such policy may be amended from time to time (the “Current Clawback Policy”), (ii) to the extent that Grantee in the future becomes subject to any other recoupment or clawback policy hereafter adopted by the Company, including any such policy (or amended version of the Current Clawback Policy) adopted by the Company to comply with the requirements of any applicable laws, rules or regulations, including pursuant to final SEC rules and/or New York Stock Exchange listing standards with respect to recoupment adopted in connection with the Dodd-Frank Wall Street Reform and Consumer Protection Act (such final rules and New York Stock Exchange listing standards, the “Dodd-Frank Clawback Requirements”) (such policies referenced in clause (i) or this clause (ii), collectively, the “Policies”), and (iii) to the extent provided under any applicable laws and/or listing standards which impose mandatory recoupment, under circumstances set forth in such applicable laws and listing standards, including pursuant to the Dodd-Frank Clawback Requirements and the Sarbanes-Oxley Act of 2002. The Company may utilize any method of recovery specified in the Policies in connection with any recoupment pursuant to the terms of the Policies.</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(Signatures appear on the following page)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408" w:right="25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21"/>
          <w:szCs w:val="21"/>
          <w:color w:val="auto"/>
        </w:rPr>
        <w:t>IN WITNESS WHEREOF, the parties have executed and sealed this Agreement on the day and year first set forth above.</w:t>
      </w:r>
    </w:p>
    <w:p>
      <w:pPr>
        <w:spacing w:after="0" w:line="2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CORECIVIC, INC.</w:t>
      </w:r>
    </w:p>
    <w:p>
      <w:pPr>
        <w:spacing w:after="0" w:line="2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2540</wp:posOffset>
            </wp:positionV>
            <wp:extent cx="39433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13" w:lineRule="exact"/>
        <w:rPr>
          <w:sz w:val="20"/>
          <w:szCs w:val="20"/>
          <w:color w:val="auto"/>
        </w:rPr>
      </w:pPr>
    </w:p>
    <w:p>
      <w:pPr>
        <w:ind w:left="4420"/>
        <w:spacing w:after="0"/>
        <w:tabs>
          <w:tab w:leader="none" w:pos="5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10795</wp:posOffset>
            </wp:positionV>
            <wp:extent cx="38233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RECIPIENT:</w:t>
      </w: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10795</wp:posOffset>
            </wp:positionV>
            <wp:extent cx="34201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175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08" w:right="659" w:bottom="1440" w:gutter="0" w:footer="0" w:header="0"/>
        </w:sectPr>
      </w:pPr>
    </w:p>
    <w:bookmarkStart w:id="53" w:name="page54"/>
    <w:bookmarkEnd w:id="53"/>
    <w:p>
      <w:pPr>
        <w:ind w:left="9240"/>
        <w:spacing w:after="0"/>
        <w:rPr>
          <w:sz w:val="20"/>
          <w:szCs w:val="20"/>
          <w:color w:val="auto"/>
        </w:rPr>
      </w:pPr>
      <w:r>
        <w:rPr>
          <w:rFonts w:ascii="Times New Roman" w:cs="Times New Roman" w:eastAsia="Times New Roman" w:hAnsi="Times New Roman"/>
          <w:sz w:val="20"/>
          <w:szCs w:val="20"/>
          <w:b w:val="1"/>
          <w:bCs w:val="1"/>
          <w:color w:val="auto"/>
        </w:rPr>
        <w:t>Exhibit 22.1</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List of Guarantor Subsidiaries</w:t>
      </w:r>
    </w:p>
    <w:p>
      <w:pPr>
        <w:spacing w:after="0" w:line="1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subsidiaries of CoreCivic, Inc. (the "Issuer") are guarantors of the Issuer's (i) 4.75% Senior Notes due 2027; and (ii) 8.25% Senior Notes due 2029:</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Holdings, LLC, a Delaware limited liability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Real Estate,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Abyon Transportation,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ACS Corrections of Texas,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Corpus Christi Transitional Center,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Correctional Services, LLC, a Nevada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Transitional Center Dallas,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 Tulsa,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Carver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Health Services,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International,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 South Texas,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of Tennessee,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CoreCivic Western Operations,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Alternatives, LLC, a California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Correctional Management,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 Solutions Holdings,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 Solutions Intermediate Holdings,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Solutions,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Solutions Wholesale,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Solutions Kansas,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 Horizon Management,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Transitional Center,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Level Realty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Government Solutions, LLC, a Maryland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Prison Realty Management,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Monitoring Solutions, LLC, a Texas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Rocky Mountain Offender Management Systems,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Corrections Systems of Wyoming, L.L.C., an Oklahoma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Technical and Business Institute of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Thrivur Health,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Change, LLC, a Colorado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TransCor America, LLC, a Tennessee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Turley Residential Center, L.L.C., an Oklahoma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1433195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D. Swindle, certify that:</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CoreCivic,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3"/>
        <w:spacing w:after="0" w:line="266"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3"/>
        <w:spacing w:after="0" w:line="266"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3"/>
        <w:spacing w:after="0" w:line="266"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right="20" w:hanging="513"/>
        <w:spacing w:after="0" w:line="266"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540" w:hanging="513"/>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13"/>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Patrick D. Swindle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Patrick D. Swindle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Garfinkle, certify that:</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CoreCivic,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3"/>
        <w:spacing w:after="0" w:line="266"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3"/>
        <w:spacing w:after="0" w:line="266"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3"/>
        <w:spacing w:after="0" w:line="266"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right="20" w:hanging="513"/>
        <w:spacing w:after="0" w:line="266"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540" w:hanging="513"/>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13"/>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M. Garfinkle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Chief Financial Officer, and Principal Accounting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CoreCivic, Inc. (the “Company”) on Form 10-Q for the period ending March 31, 2026 as filed with the Securities and Exchange Commission on the date hereof (the “Report”), I, Patrick D. Swindle, President and Chief Executive Officer of the Company,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Patrick D. Swindle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Patrick D. Swindle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CoreCivic, Inc. (the “Company”) on Form 10-Q for the period ending March 31, 2026 as filed with the Securities and Exchange Commission on the date hereof (the “Report”), I, David M. Garfinkle, Executive Vice President and Chief Financial Officer of the Company,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M. Garfinkle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Chief Financial Officer, and Principal Accounting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6"/>
    </w:lvl>
  </w:abstractNum>
  <w:abstractNum w:abstractNumId="6">
    <w:nsid w:val="431BD7B7"/>
    <w:multiLevelType w:val="hybridMultilevel"/>
    <w:lvl w:ilvl="0">
      <w:lvlJc w:val="left"/>
      <w:lvlText w:val="%1."/>
      <w:numFmt w:val="decimal"/>
      <w:start w:val="7"/>
    </w:lvl>
  </w:abstractNum>
  <w:abstractNum w:abstractNumId="7">
    <w:nsid w:val="3F2DBA31"/>
    <w:multiLevelType w:val="hybridMultilevel"/>
    <w:lvl w:ilvl="0">
      <w:lvlJc w:val="left"/>
      <w:lvlText w:val="%1."/>
      <w:numFmt w:val="decimal"/>
      <w:start w:val="8"/>
    </w:lvl>
  </w:abstractNum>
  <w:abstractNum w:abstractNumId="8">
    <w:nsid w:val="7C83E458"/>
    <w:multiLevelType w:val="hybridMultilevel"/>
    <w:lvl w:ilvl="0">
      <w:lvlJc w:val="left"/>
      <w:lvlText w:val="%1."/>
      <w:numFmt w:val="decimal"/>
      <w:start w:val="9"/>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16">
    <w:nsid w:val="2D1D5AE9"/>
    <w:multiLevelType w:val="hybridMultilevel"/>
    <w:lvl w:ilvl="0">
      <w:lvlJc w:val="left"/>
      <w:lvlText w:val="(%1)"/>
      <w:numFmt w:val="lowerRoman"/>
      <w:start w:val="3"/>
    </w:lvl>
    <w:lvl w:ilvl="1">
      <w:lvlJc w:val="left"/>
      <w:lvlText w:val="(%2)"/>
      <w:numFmt w:val="lowerRoman"/>
      <w:start w:val="5"/>
    </w:lvl>
  </w:abstractNum>
  <w:abstractNum w:abstractNumId="17">
    <w:nsid w:val="6763845E"/>
    <w:multiLevelType w:val="hybridMultilevel"/>
    <w:lvl w:ilvl="0">
      <w:lvlJc w:val="left"/>
      <w:lvlText w:val="%1."/>
      <w:numFmt w:val="decimal"/>
      <w:start w:val="4"/>
    </w:lvl>
  </w:abstractNum>
  <w:abstractNum w:abstractNumId="18">
    <w:nsid w:val="75A2A8D4"/>
    <w:multiLevelType w:val="hybridMultilevel"/>
    <w:lvl w:ilvl="0">
      <w:lvlJc w:val="left"/>
      <w:lvlText w:val="%1"/>
      <w:numFmt w:val="lowerLetter"/>
      <w:start w:val="1"/>
    </w:lvl>
    <w:lvl w:ilvl="1">
      <w:lvlJc w:val="left"/>
      <w:lvlText w:val="%2."/>
      <w:numFmt w:val="decimal"/>
      <w:start w:val="5"/>
    </w:lvl>
  </w:abstractNum>
  <w:abstractNum w:abstractNumId="19">
    <w:nsid w:val="8EDBDAB"/>
    <w:multiLevelType w:val="hybridMultilevel"/>
    <w:lvl w:ilvl="0">
      <w:lvlJc w:val="left"/>
      <w:lvlText w:val="(%1)"/>
      <w:numFmt w:val="lowerLetter"/>
      <w:start w:val="1"/>
    </w:lvl>
    <w:lvl w:ilvl="1">
      <w:lvlJc w:val="left"/>
      <w:lvlText w:val="%2."/>
      <w:numFmt w:val="decimal"/>
      <w:start w:val="7"/>
    </w:lvl>
  </w:abstractNum>
  <w:abstractNum w:abstractNumId="20">
    <w:nsid w:val="79838CB2"/>
    <w:multiLevelType w:val="hybridMultilevel"/>
    <w:lvl w:ilvl="0">
      <w:lvlJc w:val="left"/>
      <w:lvlText w:val="%1."/>
      <w:numFmt w:val="decimal"/>
      <w:start w:val="10"/>
    </w:lvl>
  </w:abstractNum>
  <w:abstractNum w:abstractNumId="21">
    <w:nsid w:val="4353D0CD"/>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22">
    <w:nsid w:val="B03E0C6"/>
    <w:multiLevelType w:val="hybridMultilevel"/>
    <w:lvl w:ilvl="0">
      <w:lvlJc w:val="left"/>
      <w:lvlText w:val="(%1)"/>
      <w:numFmt w:val="lowerRoman"/>
      <w:start w:val="3"/>
    </w:lvl>
    <w:lvl w:ilvl="1">
      <w:lvlJc w:val="left"/>
      <w:lvlText w:val="(%2)"/>
      <w:numFmt w:val="lowerRoman"/>
      <w:start w:val="5"/>
    </w:lvl>
  </w:abstractNum>
  <w:abstractNum w:abstractNumId="23">
    <w:nsid w:val="189A769B"/>
    <w:multiLevelType w:val="hybridMultilevel"/>
    <w:lvl w:ilvl="0">
      <w:lvlJc w:val="left"/>
      <w:lvlText w:val="(%1)"/>
      <w:numFmt w:val="decimal"/>
      <w:start w:val="30"/>
    </w:lvl>
    <w:lvl w:ilvl="1">
      <w:lvlJc w:val="left"/>
      <w:lvlText w:val="%2."/>
      <w:numFmt w:val="decimal"/>
      <w:start w:val="4"/>
    </w:lvl>
  </w:abstractNum>
  <w:abstractNum w:abstractNumId="24">
    <w:nsid w:val="54E49EB4"/>
    <w:multiLevelType w:val="hybridMultilevel"/>
    <w:lvl w:ilvl="0">
      <w:lvlJc w:val="left"/>
      <w:lvlText w:val="%1."/>
      <w:numFmt w:val="decimal"/>
      <w:start w:val="8"/>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2026-05-07T11:38:05Z</dcterms:created>
  <dcterms:modified xsi:type="dcterms:W3CDTF">2026-05-07T11:38:05Z</dcterms:modified>
</cp:coreProperties>
</file>