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GARFINKLE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CORECIVIC,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5501 VIRGINIA WAY, SUITE 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BRENTWOOD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CoreCivic, Inc.</w:t>
              </w:r>
            </w:hyperlink>
            <w:r>
              <w:rPr/>
              <w:t xml:space="preserve"> [ </w:t>
            </w:r>
            <w:r>
              <w:rPr>
                <w:rFonts w:ascii="Times;serif" w:hAnsi="Times;serif"/>
                <w:color w:val="0000FF"/>
                <w:sz w:val="24"/>
                <w:shd w:fill="FFFFFF" w:val="clear"/>
              </w:rPr>
              <w:t>CXW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33.96</w:t>
            </w:r>
            <w:r>
              <w:rPr>
                <w:rFonts w:ascii="Times;serif" w:hAnsi="Times;serif"/>
                <w:color w:val="008000"/>
                <w:position w:val="7"/>
                <w:sz w:val="16"/>
                <w:sz w:val="20"/>
                <w:shd w:fill="FFFFFF" w:val="clear"/>
              </w:rPr>
              <w:t>(1)</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293,353</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ranging from $33.95 to $34.02,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Joseph Bachmann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4522" TargetMode="External"/><Relationship Id="rId5" Type="http://schemas.openxmlformats.org/officeDocument/2006/relationships/hyperlink" Target="http://www.sec.gov/cgi-bin/browse-edgar?action=getcompany&amp;CIK=00010709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3458</Characters>
  <CharactersWithSpaces>4028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