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60325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14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-162560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6"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9"/>
          <w:szCs w:val="19"/>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001-16109</w:t>
      </w:r>
    </w:p>
    <w:p>
      <w:pPr>
        <w:sectPr>
          <w:pgSz w:w="11900" w:h="16838" w:orient="portrait"/>
          <w:cols w:equalWidth="0" w:num="1">
            <w:col w:w="11240"/>
          </w:cols>
          <w:pgMar w:left="320" w:top="1226" w:right="339" w:bottom="1440" w:gutter="0" w:footer="0" w:header="0"/>
        </w:sectPr>
      </w:pPr>
    </w:p>
    <w:p>
      <w:pPr>
        <w:spacing w:after="0" w:line="79" w:lineRule="exact"/>
        <w:rPr>
          <w:sz w:val="24"/>
          <w:szCs w:val="24"/>
          <w:color w:val="auto"/>
        </w:rPr>
      </w:pPr>
    </w:p>
    <w:p>
      <w:pPr>
        <w:jc w:val="center"/>
        <w:ind w:left="3940"/>
        <w:spacing w:after="0"/>
        <w:rPr>
          <w:sz w:val="20"/>
          <w:szCs w:val="20"/>
          <w:color w:val="auto"/>
        </w:rPr>
      </w:pPr>
      <w:r>
        <w:rPr>
          <w:rFonts w:ascii="Times New Roman" w:cs="Times New Roman" w:eastAsia="Times New Roman" w:hAnsi="Times New Roman"/>
          <w:sz w:val="32"/>
          <w:szCs w:val="32"/>
          <w:b w:val="1"/>
          <w:bCs w:val="1"/>
          <w:color w:val="auto"/>
        </w:rPr>
        <w:t>CORECIVIC,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-228600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53975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5"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5"/>
          <w:szCs w:val="15"/>
          <w:b w:val="1"/>
          <w:bCs w:val="1"/>
          <w:color w:val="auto"/>
        </w:rPr>
        <w:t>MARYLAND</w:t>
      </w:r>
    </w:p>
    <w:p>
      <w:pPr>
        <w:ind w:left="2020"/>
        <w:spacing w:after="0" w:line="227" w:lineRule="auto"/>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5"/>
          <w:szCs w:val="15"/>
          <w:b w:val="1"/>
          <w:bCs w:val="1"/>
          <w:color w:val="auto"/>
        </w:rPr>
        <w:t>62-1763875</w:t>
      </w:r>
    </w:p>
    <w:p>
      <w:pPr>
        <w:spacing w:after="0" w:line="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15" w:lineRule="exact"/>
        <w:rPr>
          <w:sz w:val="24"/>
          <w:szCs w:val="24"/>
          <w:color w:val="auto"/>
        </w:rPr>
      </w:pPr>
    </w:p>
    <w:p>
      <w:pPr>
        <w:sectPr>
          <w:pgSz w:w="11900" w:h="16838" w:orient="portrait"/>
          <w:cols w:equalWidth="0" w:num="2">
            <w:col w:w="7320" w:space="620"/>
            <w:col w:w="3300"/>
          </w:cols>
          <w:pgMar w:left="320" w:top="1226" w:right="33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5"/>
          <w:szCs w:val="15"/>
          <w:b w:val="1"/>
          <w:bCs w:val="1"/>
          <w:color w:val="auto"/>
        </w:rPr>
        <w:t>5501 VIRGINIA WAY</w:t>
      </w:r>
    </w:p>
    <w:p>
      <w:pPr>
        <w:ind w:left="1820"/>
        <w:spacing w:after="0" w:line="234" w:lineRule="auto"/>
        <w:tabs>
          <w:tab w:leader="none" w:pos="8220" w:val="left"/>
        </w:tabs>
        <w:rPr>
          <w:sz w:val="20"/>
          <w:szCs w:val="20"/>
          <w:color w:val="auto"/>
        </w:rPr>
      </w:pPr>
      <w:r>
        <w:rPr>
          <w:rFonts w:ascii="Times New Roman" w:cs="Times New Roman" w:eastAsia="Times New Roman" w:hAnsi="Times New Roman"/>
          <w:sz w:val="15"/>
          <w:szCs w:val="15"/>
          <w:b w:val="1"/>
          <w:bCs w:val="1"/>
          <w:color w:val="auto"/>
        </w:rPr>
        <w:t>BRENTWOOD, TENNESSEE</w:t>
      </w:r>
      <w:r>
        <w:rPr>
          <w:sz w:val="20"/>
          <w:szCs w:val="20"/>
          <w:color w:val="auto"/>
        </w:rPr>
        <w:tab/>
      </w:r>
      <w:r>
        <w:rPr>
          <w:rFonts w:ascii="Times New Roman" w:cs="Times New Roman" w:eastAsia="Times New Roman" w:hAnsi="Times New Roman"/>
          <w:sz w:val="15"/>
          <w:szCs w:val="15"/>
          <w:b w:val="1"/>
          <w:bCs w:val="1"/>
          <w:color w:val="auto"/>
        </w:rPr>
        <w:t>37027</w:t>
      </w: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(615) 263-3000</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0" w:type="dxa"/>
            <w:vAlign w:val="bottom"/>
          </w:tcPr>
          <w:p>
            <w:pPr>
              <w:spacing w:after="0"/>
              <w:rPr>
                <w:sz w:val="13"/>
                <w:szCs w:val="13"/>
                <w:color w:val="auto"/>
              </w:rPr>
            </w:pPr>
          </w:p>
        </w:tc>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60" w:type="dxa"/>
            <w:vAlign w:val="bottom"/>
          </w:tcPr>
          <w:p>
            <w:pPr>
              <w:spacing w:after="0"/>
              <w:rPr>
                <w:sz w:val="13"/>
                <w:szCs w:val="13"/>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3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42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6"/>
        </w:trPr>
        <w:tc>
          <w:tcPr>
            <w:tcW w:w="3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Common Stock, par value $.01 per share</w:t>
            </w:r>
          </w:p>
        </w:tc>
        <w:tc>
          <w:tcPr>
            <w:tcW w:w="220" w:type="dxa"/>
            <w:vAlign w:val="bottom"/>
          </w:tcPr>
          <w:p>
            <w:pPr>
              <w:spacing w:after="0"/>
              <w:rPr>
                <w:sz w:val="17"/>
                <w:szCs w:val="17"/>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CXW</w:t>
            </w:r>
          </w:p>
        </w:tc>
        <w:tc>
          <w:tcPr>
            <w:tcW w:w="160" w:type="dxa"/>
            <w:vAlign w:val="bottom"/>
          </w:tcPr>
          <w:p>
            <w:pPr>
              <w:spacing w:after="0"/>
              <w:rPr>
                <w:sz w:val="17"/>
                <w:szCs w:val="17"/>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New York Stock Exchange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p>
      <w:pPr>
        <w:spacing w:after="0" w:line="66" w:lineRule="exact"/>
        <w:rPr>
          <w:sz w:val="24"/>
          <w:szCs w:val="24"/>
          <w:color w:val="auto"/>
        </w:rPr>
      </w:pPr>
    </w:p>
    <w:p>
      <w:pPr>
        <w:ind w:right="3060"/>
        <w:spacing w:after="0" w:line="236"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-281305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6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8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040" w:type="dxa"/>
            <w:vAlign w:val="bottom"/>
          </w:tcPr>
          <w:p>
            <w:pPr>
              <w:ind w:left="1520"/>
              <w:spacing w:after="0" w:line="151" w:lineRule="exact"/>
              <w:rPr>
                <w:sz w:val="20"/>
                <w:szCs w:val="20"/>
                <w:color w:val="auto"/>
              </w:rPr>
            </w:pPr>
            <w:r>
              <w:rPr>
                <w:rFonts w:ascii="MS PGothic" w:cs="MS PGothic" w:eastAsia="MS PGothic" w:hAnsi="MS PGothic"/>
                <w:sz w:val="15"/>
                <w:szCs w:val="15"/>
                <w:color w:val="auto"/>
              </w:rPr>
              <w:t>☒</w:t>
            </w:r>
          </w:p>
        </w:tc>
        <w:tc>
          <w:tcPr>
            <w:tcW w:w="38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Accelerated filer</w:t>
            </w:r>
          </w:p>
        </w:tc>
        <w:tc>
          <w:tcPr>
            <w:tcW w:w="1940" w:type="dxa"/>
            <w:vAlign w:val="bottom"/>
          </w:tcPr>
          <w:p>
            <w:pPr>
              <w:ind w:left="18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040" w:type="dxa"/>
            <w:vAlign w:val="bottom"/>
          </w:tcPr>
          <w:p>
            <w:pPr>
              <w:ind w:left="1520"/>
              <w:spacing w:after="0" w:line="151" w:lineRule="exact"/>
              <w:rPr>
                <w:sz w:val="20"/>
                <w:szCs w:val="20"/>
                <w:color w:val="auto"/>
              </w:rPr>
            </w:pPr>
            <w:r>
              <w:rPr>
                <w:rFonts w:ascii="MS PGothic" w:cs="MS PGothic" w:eastAsia="MS PGothic" w:hAnsi="MS PGothic"/>
                <w:sz w:val="15"/>
                <w:szCs w:val="15"/>
                <w:color w:val="auto"/>
              </w:rPr>
              <w:t>☐</w:t>
            </w:r>
          </w:p>
        </w:tc>
        <w:tc>
          <w:tcPr>
            <w:tcW w:w="38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940" w:type="dxa"/>
            <w:vAlign w:val="bottom"/>
          </w:tcPr>
          <w:p>
            <w:pPr>
              <w:ind w:left="18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040" w:type="dxa"/>
            <w:vAlign w:val="bottom"/>
          </w:tcPr>
          <w:p>
            <w:pPr>
              <w:ind w:left="1520"/>
              <w:spacing w:after="0" w:line="151" w:lineRule="exact"/>
              <w:rPr>
                <w:sz w:val="20"/>
                <w:szCs w:val="20"/>
                <w:color w:val="auto"/>
              </w:rPr>
            </w:pPr>
            <w:r>
              <w:rPr>
                <w:rFonts w:ascii="MS PGothic" w:cs="MS PGothic" w:eastAsia="MS PGothic" w:hAnsi="MS PGothic"/>
                <w:sz w:val="15"/>
                <w:szCs w:val="15"/>
                <w:color w:val="auto"/>
              </w:rPr>
              <w:t>☐</w:t>
            </w:r>
          </w:p>
        </w:tc>
        <w:tc>
          <w:tcPr>
            <w:tcW w:w="3860" w:type="dxa"/>
            <w:vAlign w:val="bottom"/>
          </w:tcPr>
          <w:p>
            <w:pPr>
              <w:spacing w:after="0"/>
              <w:rPr>
                <w:sz w:val="22"/>
                <w:szCs w:val="22"/>
                <w:color w:val="auto"/>
              </w:rPr>
            </w:pPr>
          </w:p>
        </w:tc>
        <w:tc>
          <w:tcPr>
            <w:tcW w:w="1940" w:type="dxa"/>
            <w:vAlign w:val="bottom"/>
          </w:tcPr>
          <w:p>
            <w:pPr>
              <w:spacing w:after="0"/>
              <w:rPr>
                <w:sz w:val="22"/>
                <w:szCs w:val="22"/>
                <w:color w:val="auto"/>
              </w:rPr>
            </w:pPr>
          </w:p>
        </w:tc>
      </w:tr>
    </w:tbl>
    <w:p>
      <w:pPr>
        <w:spacing w:after="0" w:line="7" w:lineRule="exact"/>
        <w:rPr>
          <w:sz w:val="24"/>
          <w:szCs w:val="24"/>
          <w:color w:val="auto"/>
        </w:rPr>
      </w:pPr>
    </w:p>
    <w:p>
      <w:pPr>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8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89"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 w:lineRule="exact"/>
        <w:rPr>
          <w:sz w:val="24"/>
          <w:szCs w:val="24"/>
          <w:color w:val="auto"/>
        </w:rPr>
      </w:pPr>
    </w:p>
    <w:p>
      <w:pPr>
        <w:ind w:right="20"/>
        <w:spacing w:after="0" w:line="191"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73" w:lineRule="exact"/>
        <w:tabs>
          <w:tab w:leader="none" w:pos="676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4" w:lineRule="exact"/>
        <w:rPr>
          <w:sz w:val="24"/>
          <w:szCs w:val="24"/>
          <w:color w:val="auto"/>
        </w:rPr>
      </w:pPr>
    </w:p>
    <w:p>
      <w:pPr>
        <w:ind w:right="20"/>
        <w:spacing w:after="0" w:line="246" w:lineRule="auto"/>
        <w:rPr>
          <w:sz w:val="20"/>
          <w:szCs w:val="20"/>
          <w:color w:val="auto"/>
        </w:rPr>
      </w:pPr>
      <w:r>
        <w:rPr>
          <w:rFonts w:ascii="Times New Roman" w:cs="Times New Roman" w:eastAsia="Times New Roman" w:hAnsi="Times New Roman"/>
          <w:sz w:val="15"/>
          <w:szCs w:val="15"/>
          <w:color w:val="auto"/>
        </w:rPr>
        <w:t>The aggregate market value of the shares of the registrant's Common Stock held by non-affiliates was approximately $1,401,617,393 as of June 30, 2024 based on the closing price of such shares on the New York Stock Exchange on that day. The number of shares of the registrant's Common Stock outstanding on February 14, 2025 was 108,864,211.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30" w:lineRule="exact"/>
        <w:rPr>
          <w:sz w:val="24"/>
          <w:szCs w:val="24"/>
          <w:color w:val="auto"/>
        </w:rPr>
      </w:pPr>
    </w:p>
    <w:p>
      <w:pPr>
        <w:spacing w:after="0" w:line="248" w:lineRule="auto"/>
        <w:rPr>
          <w:sz w:val="20"/>
          <w:szCs w:val="20"/>
          <w:color w:val="auto"/>
        </w:rPr>
      </w:pPr>
      <w:r>
        <w:rPr>
          <w:rFonts w:ascii="Times New Roman" w:cs="Times New Roman" w:eastAsia="Times New Roman" w:hAnsi="Times New Roman"/>
          <w:sz w:val="15"/>
          <w:szCs w:val="15"/>
          <w:color w:val="auto"/>
        </w:rPr>
        <w:t>Portions of the registrant's definitive Proxy Statement for the 2025 Annual Meeting of Stockholders, currently scheduled to be held on May 15, 2025,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1000760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940" w:type="dxa"/>
            <w:vAlign w:val="bottom"/>
            <w:gridSpan w:val="21"/>
          </w:tcPr>
          <w:p>
            <w:pPr>
              <w:jc w:val="center"/>
              <w:ind w:right="4260"/>
              <w:spacing w:after="0"/>
              <w:rPr>
                <w:sz w:val="20"/>
                <w:szCs w:val="20"/>
                <w:color w:val="auto"/>
              </w:rPr>
            </w:pPr>
            <w:r>
              <w:rPr>
                <w:rFonts w:ascii="Times New Roman" w:cs="Times New Roman" w:eastAsia="Times New Roman" w:hAnsi="Times New Roman"/>
                <w:sz w:val="18"/>
                <w:szCs w:val="18"/>
                <w:b w:val="1"/>
                <w:bCs w:val="1"/>
                <w:color w:val="auto"/>
              </w:rPr>
              <w:t>CORECIVIC, INC.</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gridSpan w:val="20"/>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40" w:type="dxa"/>
            <w:vAlign w:val="bottom"/>
            <w:gridSpan w:val="25"/>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Item No.</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80" w:type="dxa"/>
            <w:vAlign w:val="bottom"/>
            <w:gridSpan w:val="22"/>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176"/>
        </w:trPr>
        <w:tc>
          <w:tcPr>
            <w:tcW w:w="9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60" w:type="dxa"/>
            <w:vAlign w:val="bottom"/>
            <w:gridSpan w:val="15"/>
            <w:vMerge w:val="restart"/>
          </w:tcPr>
          <w:p>
            <w:pPr>
              <w:jc w:val="center"/>
              <w:ind w:right="4580"/>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gridSpan w:val="15"/>
            <w:vMerge w:val="continue"/>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40" w:type="dxa"/>
            <w:vAlign w:val="bottom"/>
            <w:tcBorders>
              <w:bottom w:val="single" w:sz="8" w:color="0000EE"/>
            </w:tcBorders>
          </w:tcPr>
          <w:p>
            <w:pPr>
              <w:spacing w:after="0"/>
              <w:rPr>
                <w:sz w:val="24"/>
                <w:szCs w:val="24"/>
                <w:color w:val="auto"/>
              </w:rPr>
            </w:pPr>
          </w:p>
        </w:tc>
        <w:tc>
          <w:tcPr>
            <w:tcW w:w="3920" w:type="dxa"/>
            <w:vAlign w:val="bottom"/>
            <w:gridSpan w:val="29"/>
          </w:tcPr>
          <w:p>
            <w:pPr>
              <w:spacing w:after="0"/>
              <w:rPr>
                <w:sz w:val="24"/>
                <w:szCs w:val="24"/>
                <w:color w:val="auto"/>
              </w:rPr>
            </w:pPr>
          </w:p>
        </w:tc>
        <w:tc>
          <w:tcPr>
            <w:tcW w:w="600" w:type="dxa"/>
            <w:vAlign w:val="bottom"/>
            <w:tcBorders>
              <w:top w:val="single" w:sz="8" w:color="0000FF"/>
            </w:tcBorders>
            <w:gridSpan w:val="3"/>
          </w:tcPr>
          <w:p>
            <w:pPr>
              <w:spacing w:after="0"/>
              <w:rPr>
                <w:sz w:val="24"/>
                <w:szCs w:val="24"/>
                <w:color w:val="auto"/>
              </w:rPr>
            </w:pPr>
          </w:p>
        </w:tc>
        <w:tc>
          <w:tcPr>
            <w:tcW w:w="4620" w:type="dxa"/>
            <w:vAlign w:val="bottom"/>
            <w:gridSpan w:val="11"/>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8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Overview</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8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Operating Procedures and Offender Services for Correctional, Detention, and Residential Reentry</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6700" w:type="dxa"/>
            <w:vAlign w:val="bottom"/>
            <w:tcBorders>
              <w:top w:val="single" w:sz="8" w:color="0000FF"/>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FF"/>
              </w:rPr>
              <w:t>Facilities</w:t>
            </w:r>
          </w:p>
        </w:tc>
        <w:tc>
          <w:tcPr>
            <w:tcW w:w="2560" w:type="dxa"/>
            <w:vAlign w:val="bottom"/>
            <w:gridSpan w:val="3"/>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8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Business Development</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8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2024 Accomplishments</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8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Facility Portfolio</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8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Competitive Strengths</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8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Human Capital</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8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Government Regulation</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8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Insurance</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8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Competition</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90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1A.</w:t>
            </w:r>
          </w:p>
        </w:tc>
        <w:tc>
          <w:tcPr>
            <w:tcW w:w="98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900" w:type="dxa"/>
            <w:vAlign w:val="bottom"/>
            <w:gridSpan w:val="3"/>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1B.</w:t>
            </w:r>
          </w:p>
        </w:tc>
        <w:tc>
          <w:tcPr>
            <w:tcW w:w="98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9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1C.</w:t>
            </w:r>
          </w:p>
        </w:tc>
        <w:tc>
          <w:tcPr>
            <w:tcW w:w="204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780" w:type="dxa"/>
            <w:vAlign w:val="bottom"/>
            <w:gridSpan w:val="28"/>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6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7"/>
                <w:szCs w:val="17"/>
                <w:color w:val="auto"/>
              </w:rPr>
            </w:pPr>
          </w:p>
        </w:tc>
        <w:tc>
          <w:tcPr>
            <w:tcW w:w="100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820" w:type="dxa"/>
            <w:vAlign w:val="bottom"/>
            <w:gridSpan w:val="40"/>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7"/>
                <w:szCs w:val="17"/>
                <w:color w:val="auto"/>
              </w:rPr>
            </w:pPr>
          </w:p>
        </w:tc>
        <w:tc>
          <w:tcPr>
            <w:tcW w:w="13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8460" w:type="dxa"/>
            <w:vAlign w:val="bottom"/>
            <w:gridSpan w:val="37"/>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6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7"/>
                <w:szCs w:val="17"/>
                <w:color w:val="auto"/>
              </w:rPr>
            </w:pPr>
          </w:p>
        </w:tc>
        <w:tc>
          <w:tcPr>
            <w:tcW w:w="98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20" w:type="dxa"/>
            <w:vAlign w:val="bottom"/>
            <w:tcBorders>
              <w:bottom w:val="single" w:sz="8" w:color="0000EE"/>
            </w:tcBorders>
          </w:tcPr>
          <w:p>
            <w:pPr>
              <w:spacing w:after="0"/>
              <w:rPr>
                <w:sz w:val="24"/>
                <w:szCs w:val="24"/>
                <w:color w:val="auto"/>
              </w:rPr>
            </w:pPr>
          </w:p>
        </w:tc>
        <w:tc>
          <w:tcPr>
            <w:tcW w:w="4560" w:type="dxa"/>
            <w:vAlign w:val="bottom"/>
            <w:gridSpan w:val="9"/>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4"/>
                <w:szCs w:val="24"/>
                <w:color w:val="auto"/>
              </w:rPr>
            </w:pPr>
          </w:p>
        </w:tc>
        <w:tc>
          <w:tcPr>
            <w:tcW w:w="9820" w:type="dxa"/>
            <w:vAlign w:val="bottom"/>
            <w:gridSpan w:val="47"/>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7820" w:type="dxa"/>
            <w:vAlign w:val="bottom"/>
            <w:tcBorders>
              <w:top w:val="single" w:sz="8" w:color="0000FF"/>
            </w:tcBorders>
            <w:gridSpan w:val="45"/>
          </w:tcPr>
          <w:p>
            <w:pPr>
              <w:spacing w:after="0" w:line="196" w:lineRule="exact"/>
              <w:rPr>
                <w:sz w:val="20"/>
                <w:szCs w:val="20"/>
                <w:color w:val="auto"/>
              </w:rPr>
            </w:pPr>
            <w:r>
              <w:rPr>
                <w:rFonts w:ascii="Times New Roman" w:cs="Times New Roman" w:eastAsia="Times New Roman" w:hAnsi="Times New Roman"/>
                <w:sz w:val="18"/>
                <w:szCs w:val="18"/>
                <w:color w:val="0000FF"/>
              </w:rPr>
              <w:t>Market Price of and Distributions on Capital Stock</w:t>
            </w:r>
          </w:p>
        </w:tc>
        <w:tc>
          <w:tcPr>
            <w:tcW w:w="1760" w:type="dxa"/>
            <w:vAlign w:val="bottom"/>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8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Dividend Policy</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8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Issuer Purchases of Equity Securities</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7"/>
                <w:szCs w:val="17"/>
                <w:color w:val="auto"/>
              </w:rPr>
            </w:pPr>
          </w:p>
        </w:tc>
        <w:tc>
          <w:tcPr>
            <w:tcW w:w="98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right w:val="single" w:sz="8" w:color="0000EE"/>
            </w:tcBorders>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7"/>
                <w:szCs w:val="17"/>
                <w:color w:val="auto"/>
              </w:rPr>
            </w:pPr>
          </w:p>
        </w:tc>
        <w:tc>
          <w:tcPr>
            <w:tcW w:w="6440" w:type="dxa"/>
            <w:vAlign w:val="bottom"/>
            <w:tcBorders>
              <w:bottom w:val="single" w:sz="8" w:color="0000FF"/>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380" w:type="dxa"/>
            <w:vAlign w:val="bottom"/>
            <w:gridSpan w:val="5"/>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8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Overview</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8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Critical Accounting Policies and Estimates</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8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Results of Operations</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8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8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Inflation</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gridSpan w:val="4"/>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8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Seasonality and Quarterly Results</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90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FF"/>
            </w:tcBorders>
            <w:gridSpan w:val="9"/>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left w:val="single" w:sz="8" w:color="0000FF"/>
              <w:right w:val="single" w:sz="8" w:color="0000EE"/>
            </w:tcBorders>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7A.</w:t>
            </w:r>
          </w:p>
        </w:tc>
        <w:tc>
          <w:tcPr>
            <w:tcW w:w="98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6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7"/>
                <w:szCs w:val="17"/>
                <w:color w:val="auto"/>
              </w:rPr>
            </w:pPr>
          </w:p>
        </w:tc>
        <w:tc>
          <w:tcPr>
            <w:tcW w:w="4300" w:type="dxa"/>
            <w:vAlign w:val="bottom"/>
            <w:tcBorders>
              <w:top w:val="single" w:sz="8" w:color="0000FF"/>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520" w:type="dxa"/>
            <w:vAlign w:val="bottom"/>
            <w:gridSpan w:val="19"/>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right w:val="single" w:sz="8" w:color="0000FF"/>
            </w:tcBorders>
            <w:gridSpan w:val="10"/>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7"/>
                <w:szCs w:val="17"/>
                <w:color w:val="auto"/>
              </w:rPr>
            </w:pPr>
          </w:p>
        </w:tc>
        <w:tc>
          <w:tcPr>
            <w:tcW w:w="6480" w:type="dxa"/>
            <w:vAlign w:val="bottom"/>
            <w:tcBorders>
              <w:bottom w:val="single" w:sz="8" w:color="0000FF"/>
            </w:tcBorders>
            <w:gridSpan w:val="43"/>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3340" w:type="dxa"/>
            <w:vAlign w:val="bottom"/>
            <w:gridSpan w:val="4"/>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9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9A.</w:t>
            </w:r>
          </w:p>
        </w:tc>
        <w:tc>
          <w:tcPr>
            <w:tcW w:w="98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9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9B.</w:t>
            </w:r>
          </w:p>
        </w:tc>
        <w:tc>
          <w:tcPr>
            <w:tcW w:w="1360" w:type="dxa"/>
            <w:vAlign w:val="bottom"/>
            <w:tcBorders>
              <w:top w:val="single" w:sz="8" w:color="0000FF"/>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400" w:type="dxa"/>
            <w:vAlign w:val="bottom"/>
            <w:tcBorders>
              <w:top w:val="single" w:sz="8" w:color="0000FF"/>
            </w:tcBorders>
            <w:gridSpan w:val="3"/>
          </w:tcPr>
          <w:p>
            <w:pPr>
              <w:spacing w:after="0"/>
              <w:rPr>
                <w:sz w:val="17"/>
                <w:szCs w:val="17"/>
                <w:color w:val="auto"/>
              </w:rPr>
            </w:pPr>
          </w:p>
        </w:tc>
        <w:tc>
          <w:tcPr>
            <w:tcW w:w="8060" w:type="dxa"/>
            <w:vAlign w:val="bottom"/>
            <w:gridSpan w:val="34"/>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9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9C.</w:t>
            </w:r>
          </w:p>
        </w:tc>
        <w:tc>
          <w:tcPr>
            <w:tcW w:w="4960" w:type="dxa"/>
            <w:vAlign w:val="bottom"/>
            <w:tcBorders>
              <w:bottom w:val="single" w:sz="8" w:color="0000FF"/>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20" w:type="dxa"/>
            <w:vAlign w:val="bottom"/>
            <w:tcBorders>
              <w:bottom w:val="single" w:sz="8" w:color="0000EE"/>
            </w:tcBorders>
          </w:tcPr>
          <w:p>
            <w:pPr>
              <w:spacing w:after="0"/>
              <w:rPr>
                <w:sz w:val="17"/>
                <w:szCs w:val="17"/>
                <w:color w:val="auto"/>
              </w:rPr>
            </w:pPr>
          </w:p>
        </w:tc>
        <w:tc>
          <w:tcPr>
            <w:tcW w:w="4840" w:type="dxa"/>
            <w:vAlign w:val="bottom"/>
            <w:gridSpan w:val="12"/>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bottom w:val="single" w:sz="8" w:color="0000FF"/>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4540" w:type="dxa"/>
            <w:vAlign w:val="bottom"/>
            <w:gridSpan w:val="8"/>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4"/>
                <w:szCs w:val="24"/>
                <w:color w:val="auto"/>
              </w:rPr>
            </w:pPr>
          </w:p>
        </w:tc>
        <w:tc>
          <w:tcPr>
            <w:tcW w:w="41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720" w:type="dxa"/>
            <w:vAlign w:val="bottom"/>
            <w:gridSpan w:val="20"/>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6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7"/>
                <w:szCs w:val="17"/>
                <w:color w:val="auto"/>
              </w:rPr>
            </w:pPr>
          </w:p>
        </w:tc>
        <w:tc>
          <w:tcPr>
            <w:tcW w:w="98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12"/>
            <w:shd w:val="clear" w:color="auto" w:fill="0000FF"/>
          </w:tcPr>
          <w:p>
            <w:pPr>
              <w:spacing w:after="0" w:line="20" w:lineRule="exact"/>
              <w:rPr>
                <w:sz w:val="1"/>
                <w:szCs w:val="1"/>
                <w:color w:val="auto"/>
              </w:rPr>
            </w:pPr>
          </w:p>
        </w:tc>
        <w:tc>
          <w:tcPr>
            <w:tcW w:w="280" w:type="dxa"/>
            <w:vAlign w:val="bottom"/>
            <w:tcBorders>
              <w:right w:val="single" w:sz="8" w:color="0000EE"/>
            </w:tcBorders>
            <w:gridSpan w:val="3"/>
            <w:shd w:val="clear" w:color="auto" w:fill="0000FF"/>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7"/>
                <w:szCs w:val="17"/>
                <w:color w:val="auto"/>
              </w:rPr>
            </w:pPr>
          </w:p>
        </w:tc>
        <w:tc>
          <w:tcPr>
            <w:tcW w:w="98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6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7"/>
                <w:szCs w:val="17"/>
                <w:color w:val="auto"/>
              </w:rPr>
            </w:pPr>
          </w:p>
        </w:tc>
        <w:tc>
          <w:tcPr>
            <w:tcW w:w="5840" w:type="dxa"/>
            <w:vAlign w:val="bottom"/>
            <w:tcBorders>
              <w:top w:val="single" w:sz="8" w:color="0000FF"/>
              <w:bottom w:val="single" w:sz="8" w:color="0000FF"/>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Party Transactions and Director Independence</w:t>
            </w:r>
          </w:p>
        </w:tc>
        <w:tc>
          <w:tcPr>
            <w:tcW w:w="1440" w:type="dxa"/>
            <w:vAlign w:val="bottom"/>
            <w:tcBorders>
              <w:top w:val="single" w:sz="8" w:color="0000FF"/>
            </w:tcBorders>
            <w:gridSpan w:val="4"/>
          </w:tcPr>
          <w:p>
            <w:pPr>
              <w:spacing w:after="0"/>
              <w:rPr>
                <w:sz w:val="17"/>
                <w:szCs w:val="17"/>
                <w:color w:val="auto"/>
              </w:rPr>
            </w:pPr>
          </w:p>
        </w:tc>
        <w:tc>
          <w:tcPr>
            <w:tcW w:w="2540" w:type="dxa"/>
            <w:vAlign w:val="bottom"/>
            <w:gridSpan w:val="2"/>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6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7"/>
                <w:szCs w:val="17"/>
                <w:color w:val="auto"/>
              </w:rPr>
            </w:pPr>
          </w:p>
        </w:tc>
        <w:tc>
          <w:tcPr>
            <w:tcW w:w="98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00" w:type="dxa"/>
            <w:vAlign w:val="bottom"/>
            <w:gridSpan w:val="17"/>
          </w:tcPr>
          <w:p>
            <w:pPr>
              <w:jc w:val="center"/>
              <w:ind w:right="454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4"/>
                <w:szCs w:val="24"/>
                <w:color w:val="auto"/>
              </w:rPr>
            </w:pPr>
          </w:p>
        </w:tc>
        <w:tc>
          <w:tcPr>
            <w:tcW w:w="31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1380" w:type="dxa"/>
            <w:vAlign w:val="bottom"/>
            <w:gridSpan w:val="8"/>
          </w:tcPr>
          <w:p>
            <w:pPr>
              <w:spacing w:after="0"/>
              <w:rPr>
                <w:sz w:val="24"/>
                <w:szCs w:val="24"/>
                <w:color w:val="auto"/>
              </w:rPr>
            </w:pPr>
          </w:p>
        </w:tc>
        <w:tc>
          <w:tcPr>
            <w:tcW w:w="720" w:type="dxa"/>
            <w:vAlign w:val="bottom"/>
            <w:tcBorders>
              <w:top w:val="single" w:sz="8" w:color="0000FF"/>
            </w:tcBorders>
            <w:gridSpan w:val="7"/>
          </w:tcPr>
          <w:p>
            <w:pPr>
              <w:spacing w:after="0"/>
              <w:rPr>
                <w:sz w:val="24"/>
                <w:szCs w:val="24"/>
                <w:color w:val="auto"/>
              </w:rPr>
            </w:pPr>
          </w:p>
        </w:tc>
        <w:tc>
          <w:tcPr>
            <w:tcW w:w="4560" w:type="dxa"/>
            <w:vAlign w:val="bottom"/>
            <w:gridSpan w:val="9"/>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6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7"/>
                <w:szCs w:val="17"/>
                <w:color w:val="auto"/>
              </w:rPr>
            </w:pPr>
          </w:p>
        </w:tc>
        <w:tc>
          <w:tcPr>
            <w:tcW w:w="982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00" w:type="dxa"/>
            <w:vAlign w:val="bottom"/>
            <w:gridSpan w:val="18"/>
          </w:tcPr>
          <w:p>
            <w:pPr>
              <w:jc w:val="center"/>
              <w:ind w:right="4340"/>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SIGNATURES</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20" w:type="dxa"/>
            <w:vAlign w:val="bottom"/>
            <w:gridSpan w:val="29"/>
          </w:tcPr>
          <w:p>
            <w:pPr>
              <w:spacing w:after="0"/>
              <w:rPr>
                <w:sz w:val="24"/>
                <w:szCs w:val="24"/>
                <w:color w:val="auto"/>
              </w:rPr>
            </w:pPr>
          </w:p>
        </w:tc>
        <w:tc>
          <w:tcPr>
            <w:tcW w:w="640" w:type="dxa"/>
            <w:vAlign w:val="bottom"/>
            <w:tcBorders>
              <w:top w:val="single" w:sz="8" w:color="0000FF"/>
            </w:tcBorders>
            <w:gridSpan w:val="5"/>
          </w:tcPr>
          <w:p>
            <w:pPr>
              <w:jc w:val="center"/>
              <w:ind w:left="70"/>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149"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10-K, or Annual Report, contains statements as to our beliefs and expectations of the outcome of future events that are forward-looking statements as defined within the meaning of the Private Securities Litigation Reform Act of 1995, as amended. All statements other than statements of current or historical fact contained in this Annual Report, including statements regarding our future financial position, business strategy, budgets, projected costs and plans, and objectives of management for future operations, are forward-looking statements. The words "anticipate," "believe," "continue," "could," "estimate," "expect," "intend," "may," "plan," "projects," "will," and similar expressions, as they relate to us, are intended to identify forward-looking statements. These forward-looking statements are subject to risks and uncertainties that could cause actual results to differ materially from the statements made in this Annual Report. These include, but are not limited to, the risks and uncertainties associated with:</w:t>
      </w:r>
    </w:p>
    <w:p>
      <w:pPr>
        <w:spacing w:after="0" w:line="81" w:lineRule="exact"/>
        <w:rPr>
          <w:sz w:val="20"/>
          <w:szCs w:val="20"/>
          <w:color w:val="auto"/>
        </w:rPr>
      </w:pPr>
    </w:p>
    <w:p>
      <w:pPr>
        <w:jc w:val="both"/>
        <w:ind w:left="102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policy, legislation and regulations that affect utilization of the private sector for corrections, detention, and residential reentry services, in general, or our business, in particular, including, but not limited to, the continued utilization of our correctional and detention facilities by the federal government as a consequence of presidential executive orders, and the impact of any changes to immigration reform and sentencing laws (we do not, under longstanding policy, lobby for or against policies or legislation that would determine the basis for, or duration of, an individual's incarceration or detention);</w:t>
      </w:r>
    </w:p>
    <w:p>
      <w:pPr>
        <w:spacing w:after="0" w:line="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correctional, detention, and residential reentry facility management contracts because of reasons including, but not limited to, sufficient governmental appropriations, contract compliance, negative publicity and effects of inmate disturbances;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privatization of the corrections and detention industry, the acceptance of our services, the timing of the opening of new facilities and the commencement of new management contracts (including the extent and pace at which new contracts are utilized), as well as our ability to utilize available beds;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activate idle facilities in a timely manner in order to meet the expected growth in demand for our facilities and services from the federal government that may occur as a result of changes in policies and actions of the new presidential administration, and to realize projected returns resulting therefrom;</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but not limited to, the impact governmental budgets can have on our contract renewals and renegotiations, per diem rates, and occupancy;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because of, among other things, changes in occupancy levels; competition; contract renegotiations or terminations; inflation and other increases in costs of operations, including a rise in labor costs; fluctuations in interest rates and risks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budget uncertainty, the impact of the debt ceiling and the potential for government shutdowns and changing budget priorities;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and consummate future development and acquisition opportunities and realize projected returns resulting therefrom;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debt and equity financing on terms that are favorable to us, or at all.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or all of our forward-looking statements in this Annual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Our statements can be affected by inaccurate assumptions we might make or by known or unknown risks, uncertainties and assumptions, including the risks, uncertainties, and assumptions described in "Risk Factors" included elsewhere in this Annual Report and in other reports, documents, and other information we file with the Securities and Exchange Commission, or the SEC, from time to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these risks, uncertainties and assumptions, the forward-looking events and circumstances discussed in this Annual Report may not occur and actual results could differ materially from those anticipated or implied in the forward-looking statements. When you consider these forward-looking statements, you should keep in mind the risk factors and other cautionary statements in this Annual Report, including in "Management's Discussion and Analysis of Financial Condition and Results of Operations," "Business" and "Risk Factors."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forward-looking statements speak only as of the date made. We undertake no obligation to publicly update or revise any forward-looking statements, whether as a result of new information, future events or circumstances or otherwise, except as required by law. All subsequent written and oral forward-looking statements attributable to us or persons acting on our behalf are expressly qualified in their entirety by the cautionary statements contained in this Annual Report.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"Part I, Item 1A. Risk Factors" of this Annual Report. Set forth below is a summary list of the principal risk factors as of the date of the filing of this Annual Report.</w:t>
      </w:r>
    </w:p>
    <w:p>
      <w:pPr>
        <w:spacing w:after="0" w:line="68" w:lineRule="exact"/>
        <w:rPr>
          <w:sz w:val="20"/>
          <w:szCs w:val="20"/>
          <w:color w:val="auto"/>
        </w:rPr>
      </w:pPr>
    </w:p>
    <w:p>
      <w:pPr>
        <w:jc w:val="both"/>
        <w:ind w:left="760" w:hanging="378"/>
        <w:spacing w:after="0" w:line="257"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Resistance to privatization of correctional, detention, and residential reentry facilities, and negative publicity regarding inmate disturbances or perceived poor operational performance, could result in our inability to obtain new contracts, the loss of existing contracts, or other unforeseen consequences.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fluctuations in occupancy levels, and a decrease in occupancy levels could cause a decrease in revenues and profitability.</w:t>
      </w:r>
    </w:p>
    <w:p>
      <w:pPr>
        <w:spacing w:after="0" w:line="31"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government appropriations, and our results of operations may be negatively affected by governmental budgetary challenges or government shutdowns.</w:t>
      </w: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reduce the U.S. federal deficit could adversely affect our liquidity, results of operations and financial condition.</w:t>
      </w:r>
    </w:p>
    <w:p>
      <w:pPr>
        <w:spacing w:after="0" w:line="2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may adversely affect the profitability of our business.</w:t>
      </w:r>
    </w:p>
    <w:p>
      <w:pPr>
        <w:spacing w:after="0" w:line="3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terminations, non-renewals, or competitive re-bids of our government contracts.</w:t>
      </w:r>
    </w:p>
    <w:p>
      <w:pPr>
        <w:spacing w:after="0" w:line="27"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new contracts to develop and manage correctional, detention, and residential reentry facilities depends on many factors outside our control.</w:t>
      </w:r>
    </w:p>
    <w:p>
      <w:pPr>
        <w:ind w:left="760" w:hanging="378"/>
        <w:spacing w:after="0" w:line="263"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growth in the utilization of detention beds by the federal government may not be realized, which could negatively impact our stock price.</w:t>
      </w: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community opposition to facility location, which may adversely affect our ability to obtain new contracts.</w:t>
      </w:r>
    </w:p>
    <w:p>
      <w:pPr>
        <w:spacing w:after="0" w:line="27"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start-up and operating costs on new contracts before receiving related revenues, which may impact our cash flows and not be recouped.</w:t>
      </w:r>
    </w:p>
    <w:p>
      <w:pPr>
        <w:jc w:val="both"/>
        <w:ind w:left="760" w:hanging="378"/>
        <w:spacing w:after="0" w:line="259"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agencies may investigate and audit our contracts and operational performance, and if any deficiencies or improprieties are found, we may be required to cure those deficiencies or improprieties, refund revenues we have received, or forego anticipated revenues, and we may be subject to penalties and sanctions, including contract termination and prohibitions on our bidding in response to Requests for Proposals.</w:t>
      </w:r>
    </w:p>
    <w:p>
      <w:pPr>
        <w:ind w:left="76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facility contracts or with unique and increased governmental regulation could result in material penalties or non-renewal or termination of noncompliant contracts or our other contracts to provide or manage correctional, detention, and residential reentry facilities.</w:t>
      </w:r>
    </w:p>
    <w:p>
      <w:pPr>
        <w:ind w:left="76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with data privacy, security and exchange legal requirements could have a material adverse impact on our business, financial position, results of operations, cash flows and reputation.</w:t>
      </w: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governmental customers for a significant portion of our revenues.</w:t>
      </w:r>
    </w:p>
    <w:p>
      <w:pPr>
        <w:spacing w:after="0" w:line="3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our senior management and our ability to attract and retain sufficient qualified personnel.</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types of litigation.</w:t>
      </w:r>
    </w:p>
    <w:p>
      <w:pPr>
        <w:spacing w:after="0" w:line="2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necessary insurance costs.</w:t>
      </w:r>
    </w:p>
    <w:p>
      <w:pPr>
        <w:spacing w:after="0" w:line="3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inflation.</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in part on the performance and capabilities of third parties with whom we have commercial relationships.</w:t>
      </w:r>
    </w:p>
    <w:p>
      <w:pPr>
        <w:spacing w:after="0" w:line="22" w:lineRule="exact"/>
        <w:rPr>
          <w:rFonts w:ascii="Times New Roman" w:cs="Times New Roman" w:eastAsia="Times New Roman" w:hAnsi="Times New Roman"/>
          <w:sz w:val="18"/>
          <w:szCs w:val="18"/>
          <w:color w:val="auto"/>
        </w:rPr>
      </w:pPr>
    </w:p>
    <w:p>
      <w:pPr>
        <w:jc w:val="both"/>
        <w:ind w:left="760" w:hanging="378"/>
        <w:spacing w:after="0" w:line="259"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 or negative changes in the level of acceptance of, or resistance to, the use of electronic monitoring products could cause our electronic monitoring products and other technology to become obsolete or require the redesign of our electronic monitoring products, which could have an adverse effect on our business.</w:t>
      </w: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third parties to manufacture and supply our electronic monitoring products. If our suppliers cannot provide the products or services we require in a timely manner and with such quality as we expect, our ability to market and sell our electronic monitoring products and services could be harmed.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left="38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ownership of real estate.</w:t>
      </w:r>
    </w:p>
    <w:p>
      <w:pPr>
        <w:spacing w:after="0" w:line="2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an increase in costs or difficulty of obtaining adequate levels of surety credit on favorable terms.</w:t>
      </w:r>
    </w:p>
    <w:p>
      <w:pPr>
        <w:spacing w:after="0" w:line="22" w:lineRule="exact"/>
        <w:rPr>
          <w:rFonts w:ascii="Times New Roman" w:cs="Times New Roman" w:eastAsia="Times New Roman" w:hAnsi="Times New Roman"/>
          <w:sz w:val="18"/>
          <w:szCs w:val="18"/>
          <w:color w:val="auto"/>
        </w:rPr>
      </w:pPr>
    </w:p>
    <w:p>
      <w:pPr>
        <w:ind w:left="380" w:hanging="378"/>
        <w:spacing w:after="0" w:line="263"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delay or failure of the provision of our technology services or information systems, or the compromise of the security thereof, could adversely affect our business, financial condition or results of operations.</w:t>
      </w: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corporate social responsibility.</w:t>
      </w:r>
    </w:p>
    <w:p>
      <w:pPr>
        <w:spacing w:after="0" w:line="27" w:lineRule="exact"/>
        <w:rPr>
          <w:rFonts w:ascii="Times New Roman" w:cs="Times New Roman" w:eastAsia="Times New Roman" w:hAnsi="Times New Roman"/>
          <w:sz w:val="18"/>
          <w:szCs w:val="18"/>
          <w:color w:val="auto"/>
        </w:rPr>
      </w:pPr>
    </w:p>
    <w:p>
      <w:pPr>
        <w:ind w:left="380" w:hanging="378"/>
        <w:spacing w:after="0" w:line="258"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owner and operator of correctional, detention, and residential reentry facilities, we are subject to risks relating to acts of God, outbreaks of epidemic or pandemic disease, global climate change, terrorist activity and war.</w:t>
      </w: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affect our financial health and prevent us from fulfilling our obligations under our debt securities.</w:t>
      </w:r>
    </w:p>
    <w:p>
      <w:pPr>
        <w:spacing w:after="0" w:line="31" w:lineRule="exact"/>
        <w:rPr>
          <w:rFonts w:ascii="Times New Roman" w:cs="Times New Roman" w:eastAsia="Times New Roman" w:hAnsi="Times New Roman"/>
          <w:sz w:val="18"/>
          <w:szCs w:val="18"/>
          <w:color w:val="auto"/>
        </w:rPr>
      </w:pPr>
    </w:p>
    <w:p>
      <w:pPr>
        <w:ind w:left="380" w:hanging="378"/>
        <w:spacing w:after="0" w:line="261"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Bank Credit Facility, indentures related to our senior notes, and other debt instruments have restrictive covenants that could limit our financial flexibility.</w:t>
      </w: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is secured by a substantial portion of our assets.</w:t>
      </w:r>
    </w:p>
    <w:p>
      <w:pPr>
        <w:spacing w:after="0" w:line="22" w:lineRule="exact"/>
        <w:rPr>
          <w:rFonts w:ascii="Times New Roman" w:cs="Times New Roman" w:eastAsia="Times New Roman" w:hAnsi="Times New Roman"/>
          <w:sz w:val="18"/>
          <w:szCs w:val="18"/>
          <w:color w:val="auto"/>
        </w:rPr>
      </w:pPr>
    </w:p>
    <w:p>
      <w:pPr>
        <w:jc w:val="both"/>
        <w:ind w:left="380" w:hanging="378"/>
        <w:spacing w:after="0" w:line="259"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our indebtedness will require a significant amount of cash or may require us to refinance our indebtedness before it matures. Our ability to generate cash depends on many factors beyond our control and there is no assurance that we will be able to refinance our debt on acceptable terms, or at all.</w:t>
      </w:r>
    </w:p>
    <w:p>
      <w:pPr>
        <w:ind w:left="380" w:hanging="378"/>
        <w:spacing w:after="0" w:line="261"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repurchase all or a portion of our senior notes upon a change of control, and the debt under our Bank Credit Facility is subject to acceleration upon a change of control.</w:t>
      </w: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current indebtedness levels, we may still incur more debt.</w:t>
      </w:r>
    </w:p>
    <w:p>
      <w:pPr>
        <w:spacing w:after="0" w:line="22"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capital may be affected by general macroeconomic conditions.</w:t>
      </w:r>
    </w:p>
    <w:p>
      <w:pPr>
        <w:spacing w:after="0" w:line="31" w:lineRule="exact"/>
        <w:rPr>
          <w:rFonts w:ascii="Times New Roman" w:cs="Times New Roman" w:eastAsia="Times New Roman" w:hAnsi="Times New Roman"/>
          <w:sz w:val="18"/>
          <w:szCs w:val="18"/>
          <w:color w:val="auto"/>
        </w:rPr>
      </w:pPr>
    </w:p>
    <w:p>
      <w:pPr>
        <w:jc w:val="both"/>
        <w:ind w:left="380" w:hanging="378"/>
        <w:spacing w:after="0" w:line="257"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Activist resistance to the use of public-private partnerships for correctional, detention, and residential reentry facilities could impact our ability to obtain financing to grow our business or to refinance existing indebtedness, which could have a material adverse effect on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interest rates increase the cost of our variable rate debt.</w:t>
      </w:r>
    </w:p>
    <w:p>
      <w:pPr>
        <w:spacing w:after="0" w:line="22"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equity securities may vary substantially, which may limit our stockholders' ability to liquidate their investment.</w:t>
      </w:r>
    </w:p>
    <w:p>
      <w:pPr>
        <w:spacing w:after="0" w:line="31"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available for future sale could adversely affect the market price of our common stock.</w:t>
      </w:r>
    </w:p>
    <w:p>
      <w:pPr>
        <w:spacing w:after="0" w:line="27" w:lineRule="exact"/>
        <w:rPr>
          <w:rFonts w:ascii="Times New Roman" w:cs="Times New Roman" w:eastAsia="Times New Roman" w:hAnsi="Times New Roman"/>
          <w:sz w:val="18"/>
          <w:szCs w:val="18"/>
          <w:color w:val="auto"/>
        </w:rPr>
      </w:pPr>
    </w:p>
    <w:p>
      <w:pPr>
        <w:ind w:left="380" w:hanging="378"/>
        <w:spacing w:after="0" w:line="258"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offerings of debt or equity securities ranking senior to our common stock or incurrence of debt (including under our Bank Credit Facility) may adversely affect the market price of our common stock.</w:t>
      </w: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preferred stock could adversely affect holders of our common stock and discourage a takeover.</w:t>
      </w:r>
    </w:p>
    <w:p>
      <w:pPr>
        <w:spacing w:after="0" w:line="31"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charter and bylaws and Maryland law could make it difficult for a third party to acquire our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3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diversified government solutions company with the scale and experience needed to solve tough government challenges in flexible, cost-effective ways. Through three segments, CoreCivic Safety, CoreCivic Community, and CoreCivic Properties, we provide a broad range of solutions to government partners that serve the public good through corrections and detention management, a network of residential reentry centers to help address America's recidivism crisis, and government real estate solutions. We have been a flexible and dependable partner for government for over 40 years. Our employees are driven by a deep sense of service, high standards of professionalism and a responsibility to help government better the public good.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the nation's largest owner of partnership correctional, detention, and residential reentry facilities and one of the largest prison operators in the United States. As of December 31, 2024, through our CoreCivic Safety segment, we operated 42 correctional and detention facilities, 38 of which we owned or controlled via a long-term lease, with a total design capacity of approximately 62,000 beds. Through our CoreCivic Community segment, we operated 21 residential reentry centers, which we owned or controlled via a long-term lease, with a total design capacity of approximately 4,000 beds. In addition, through our CoreCivic Properties segment, we owned 6 properties, with a total design capacity of approximately 10,000 beds.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providing fundamental residential services, our correctional, detention, and residential reentry facilities offer a variety of rehabilitation and educational programs, including basic education, faith-based services, life skills and employment training, and substance abuse treatment. These services are intended to help reduce recidivism and to prepare offenders for their successful reentry into society upon their release. We also provide or make available to offenders certain health care (including medical, dental, and mental health services), food services, and work and recreational programs.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Maryland corporation formed in 1983. Our principal executive offices are located at 5501 Virginia Way, Brentwood, Tennessee, 37027, and our telephone number at that location is (615) 263-3000. Our website address is www.corecivic.com. We make available on or through our website certain reports and amendments to those reports that we file with or furnish to the SEC in accordance with the Securities Exchange Act of 1934, as amended, or the Exchange Act. Such reports include our Annual Reports on Form 10-K, our Quarterly Reports on Form 10-Q and our Current Reports on Form 8-K and our definitive proxy statement. We make this information available on our website free of charge as soon as reasonably practicable after we electronically file the information with, or furnish it to, the SEC. In addition, we routinely post on the “Investors” page of our website news releases, announcements and other statements about our business and results of operations, some of which may contain information that may be deemed material to investors. Therefore, we encourage investors to monitor the “Investors” page of our website and review the information we post on that page. Information contained on our website is not incorporated by reference herein and is not part of this Annual Report.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 maintains a website that contains reports, proxy and information statements, and other information regarding issuers that file electronically with the SEC at the following address: www.sec.gov.</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ongoing operations are organized into three principal business segments:</w:t>
      </w:r>
    </w:p>
    <w:p>
      <w:pPr>
        <w:spacing w:after="0" w:line="117" w:lineRule="exact"/>
        <w:rPr>
          <w:sz w:val="20"/>
          <w:szCs w:val="20"/>
          <w:color w:val="auto"/>
        </w:rPr>
      </w:pPr>
    </w:p>
    <w:p>
      <w:pPr>
        <w:jc w:val="both"/>
        <w:ind w:left="840" w:hanging="380"/>
        <w:spacing w:after="0" w:line="261"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CoreCivic Safety segment, consisting of 42 correctional and detention facilities that are owned or controlled via a long-term lease and managed by CoreCivic, as well as those correctional and detention facilities owned by third parties but managed by CoreCivic. CoreCivic Safety also includes the operating results of our subsidiary that provides transportation services to governmental agencies, TransCor America, LLC, or TransCor.</w:t>
      </w:r>
    </w:p>
    <w:p>
      <w:pPr>
        <w:spacing w:after="0" w:line="71" w:lineRule="exact"/>
        <w:rPr>
          <w:rFonts w:ascii="Times New Roman" w:cs="Times New Roman" w:eastAsia="Times New Roman" w:hAnsi="Times New Roman"/>
          <w:sz w:val="18"/>
          <w:szCs w:val="18"/>
          <w:color w:val="auto"/>
        </w:rPr>
      </w:pPr>
    </w:p>
    <w:p>
      <w:pPr>
        <w:ind w:left="840" w:hanging="380"/>
        <w:spacing w:after="0" w:line="282"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CoreCivic Community segment, consisting of 21 residential reentry centers that are owned or controlled via a long-term lease and managed by CoreCivic. CoreCivic Community also includes the operating results of our electronic monitoring and case management services.</w:t>
      </w:r>
    </w:p>
    <w:p>
      <w:pPr>
        <w:spacing w:after="0" w:line="53" w:lineRule="exact"/>
        <w:rPr>
          <w:rFonts w:ascii="Times New Roman" w:cs="Times New Roman" w:eastAsia="Times New Roman" w:hAnsi="Times New Roman"/>
          <w:sz w:val="18"/>
          <w:szCs w:val="18"/>
          <w:color w:val="auto"/>
        </w:rPr>
      </w:pPr>
    </w:p>
    <w:p>
      <w:pPr>
        <w:ind w:left="840" w:hanging="380"/>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CoreCivic Properties segment, consisting of 6 correctional real estate properties owned by CoreCivic.</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our total segment net operating income, which we define as a facility's revenues (including interest income associated with finance leases) less operating expenses, was divided among our three business segments as follows:</w:t>
      </w:r>
    </w:p>
    <w:p>
      <w:pPr>
        <w:spacing w:after="0" w:line="37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38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r>
      <w:tr>
        <w:trPr>
          <w:trHeight w:val="210"/>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Safety</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91.1 %</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84.7 %</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84.1 %</w:t>
            </w:r>
          </w:p>
        </w:tc>
      </w:tr>
      <w:tr>
        <w:trPr>
          <w:trHeight w:val="216"/>
        </w:trPr>
        <w:tc>
          <w:tcPr>
            <w:tcW w:w="48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Community</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4.6 %</w:t>
            </w: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5.2 %</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r>
      <w:tr>
        <w:trPr>
          <w:trHeight w:val="234"/>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Properties</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4.3 %</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10.1 %</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12.0 %</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customers primarily consist of federal, state, and local government agencies. Federal correctional and detention authorities primarily consist of the U.S. Immigration and Customs Enforcement, or ICE, the United States Marshals Service, or USMS, and the Federal Bureau of Prisons, or BOP. Payments by federal correctional, detention and residential reentry authorities represented 51%, 52%, and 54% of our total revenue for the years ended December 31, 2024, 2023, and 2022,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 contracts for providing bed capacity and correctional, detention, and residential reentry services in our CoreCivic Safety and CoreCivic Community segments typically have terms of one to five years and contain multiple renewal options. Most of our facility contracts also contain clauses that allow the government agency to terminate the contract at any time without cause, and our facility contracts are generally subject to annual or bi-annual legislative appropriations of funds. Notwithstanding these termination clauses, the contract renewal rate for properties we owned or controlled via long-term lease in these segments was approximately 96% over the five years ended December 31, 2024. The lease agreements in our CoreCivic Properties segment typically have terms of five to twenty years including renewal options, and generally have more restrictive termination clauses.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CoreCivic Safety and CoreCivic Community segments, we are compensated for providing bed capacity and correctional, detention, and residential reentry services at a per diem rate based upon actual or minimum guaranteed occupancy levels. Occupancy rates for a particular facility are typically low when first opened or immediately following an expansion. However, beyond the start-up period, which typically ranges from 90 to 180 days, the occupancy rate tends to stabilize. Our occupancy rates declined during 2022 due to the continuing effects of COVID-19, but began to increase in 2023 following the expiration of Title 42, among other factors, and as further described hereinafter. The average compensated occupancy of our correctional, detention, and residential reentry facilities, based on rated capacity was as follows for 2024, 2023, and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10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0"/>
        </w:trPr>
        <w:tc>
          <w:tcPr>
            <w:tcW w:w="1140" w:type="dxa"/>
            <w:vAlign w:val="bottom"/>
          </w:tcPr>
          <w:p>
            <w:pPr>
              <w:spacing w:after="0"/>
              <w:rPr>
                <w:sz w:val="18"/>
                <w:szCs w:val="18"/>
                <w:color w:val="auto"/>
              </w:rPr>
            </w:pPr>
          </w:p>
        </w:tc>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CoreCivic Safety facilities</w:t>
            </w: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76 %</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72 %</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CoreCivic Community facilities</w:t>
            </w:r>
          </w:p>
        </w:tc>
        <w:tc>
          <w:tcPr>
            <w:tcW w:w="7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65 %</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62 %</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58 %</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5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75 %</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72 %</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70 %</w:t>
            </w:r>
          </w:p>
        </w:tc>
        <w:tc>
          <w:tcPr>
            <w:tcW w:w="1120" w:type="dxa"/>
            <w:vAlign w:val="bottom"/>
          </w:tcPr>
          <w:p>
            <w:pPr>
              <w:spacing w:after="0"/>
              <w:rPr>
                <w:sz w:val="21"/>
                <w:szCs w:val="21"/>
                <w:color w:val="auto"/>
              </w:rPr>
            </w:pPr>
          </w:p>
        </w:tc>
      </w:tr>
      <w:tr>
        <w:trPr>
          <w:trHeight w:val="845"/>
        </w:trPr>
        <w:tc>
          <w:tcPr>
            <w:tcW w:w="1140" w:type="dxa"/>
            <w:vAlign w:val="bottom"/>
          </w:tcPr>
          <w:p>
            <w:pPr>
              <w:spacing w:after="0"/>
              <w:rPr>
                <w:sz w:val="24"/>
                <w:szCs w:val="24"/>
                <w:color w:val="auto"/>
              </w:rPr>
            </w:pPr>
          </w:p>
        </w:tc>
        <w:tc>
          <w:tcPr>
            <w:tcW w:w="5060" w:type="dxa"/>
            <w:vAlign w:val="bottom"/>
            <w:tcBorders>
              <w:top w:val="single" w:sz="8" w:color="CFF0FC"/>
            </w:tcBorders>
          </w:tcPr>
          <w:p>
            <w:pPr>
              <w:jc w:val="right"/>
              <w:ind w:right="450"/>
              <w:spacing w:after="0"/>
              <w:rPr>
                <w:sz w:val="20"/>
                <w:szCs w:val="20"/>
                <w:color w:val="auto"/>
              </w:rPr>
            </w:pPr>
            <w:r>
              <w:rPr>
                <w:rFonts w:ascii="Times New Roman" w:cs="Times New Roman" w:eastAsia="Times New Roman" w:hAnsi="Times New Roman"/>
                <w:sz w:val="18"/>
                <w:szCs w:val="18"/>
                <w:color w:val="auto"/>
              </w:rPr>
              <w:t>8</w:t>
            </w:r>
          </w:p>
        </w:tc>
        <w:tc>
          <w:tcPr>
            <w:tcW w:w="7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-1071245</wp:posOffset>
            </wp:positionV>
            <wp:extent cx="1200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-1053465</wp:posOffset>
            </wp:positionV>
            <wp:extent cx="120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-1071245</wp:posOffset>
            </wp:positionV>
            <wp:extent cx="1200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-1053465</wp:posOffset>
            </wp:positionV>
            <wp:extent cx="120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-1071245</wp:posOffset>
            </wp:positionV>
            <wp:extent cx="1200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-1053465</wp:posOffset>
            </wp:positionV>
            <wp:extent cx="120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average compensated occupancy of our CoreCivic Safety and CoreCivic Community facilities, excluding idled facilities, was 86%, 82%, and 81% for 2024,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Procedures and Offender Services for Correctional, Detention, and Residential Reentry Facilities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our customer contracts, we are responsible for the overall operations of our facilities, including staff recruitment, general administration of the facilities, facility maintenance, security, and supervision of the residents in our care. We are required by our customer contracts to maintain certain levels of insurance coverage for general liability, workers' compensation, vehicle liability, and property loss or damage. We also are required to indemnify our customers for claims and costs arising out of our operations and, in certain cases, to maintain performance bonds and other collateral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Reentry programs.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a focus on inmate reentry provides great benefits for our communities – more people living healthy and productive lives and contributing to strong families and local economies. We have committed to evolving our model with an increased focus on reentry services, and we are working to equip the men and women in our care with the services, support, and resources they need to be successful upon reentry.</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provide a wide range of evidence-based reentry programs and activities in our facilities. At most of the facilities we manage, offenders have the opportunity to enhance their basic education from literacy through earning a high school equivalency certificate endorsed by their respective state. In some cases, we also provide opportunities for postsecondary educational achievements and chances to participate in college degree programs.</w:t>
      </w:r>
    </w:p>
    <w:p>
      <w:pPr>
        <w:spacing w:after="0" w:line="1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the offenders who are close to taking their GED/HiSET exam, we have invested in the equipment needed to use the GED/HiSET Academy software program, which is an offline software program providing over 200 hours of individualized lessons up to a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grade level. The GED/HiSET Academy incorporates teaching best practices and provides an atmosphere to engage and motivate students to learn everything they need to know to pass the GED/HiSET exam. According to a 2022 study by Steven Sprick Schuster and Ben Stickle, "Are Schools in Prison Worth It? The Effects of and Economic Returns to Prison Education", prison education decreases the likelihood of recidivism by 14.8% and increases the likelihood of employment by 6.9%.</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offer a broad spectrum of career/technical education opportunities to help individuals learn marketable job skills. Our construction trade programs are certified by the National Center for Construction Education and Research, or NCCER. This progressive program has evolved into curricula for more than 70 craft and maintenance areas and a complete series of more than 70 assessments offered in over 6,000 NCCER-accredited training and assessment locations across the United States. Graduates of these programs enter the job market with certified skills that significantly enhance employability. At several of our facilities, we also offer other effective vocational programs, such as the Persevere and Pivot Tech software coding programs. The coding programs provide an opportunity to learn software coding and job readiness/employability skills specific to the technology field.</w:t>
      </w:r>
    </w:p>
    <w:p>
      <w:pPr>
        <w:spacing w:after="0" w:line="7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are proud of the educational programs we offer and intend to maintain and continue to develop such programs. Examples of programs and new programming technology we deployed or expanded over the previous two years:</w:t>
      </w:r>
    </w:p>
    <w:p>
      <w:pPr>
        <w:spacing w:after="0" w:line="162" w:lineRule="exact"/>
        <w:rPr>
          <w:sz w:val="20"/>
          <w:szCs w:val="20"/>
          <w:color w:val="auto"/>
        </w:rPr>
      </w:pPr>
    </w:p>
    <w:p>
      <w:pPr>
        <w:jc w:val="both"/>
        <w:ind w:left="840" w:hanging="383"/>
        <w:spacing w:after="0" w:line="266"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we developed Go Further Discovery, a new resident learning management system, or LMS, which offers self-directed digital content in the areas of academics, continuing technical education, career preparation, entrepreneurship, behavior change, reentry, faith-based, inspirational, and self-help. The new LMS includes courses from content partners, as well as content developed internally by CoreCivic.</w:t>
      </w:r>
    </w:p>
    <w:p>
      <w:pPr>
        <w:spacing w:after="0" w:line="175" w:lineRule="exact"/>
        <w:rPr>
          <w:rFonts w:ascii="Times New Roman" w:cs="Times New Roman" w:eastAsia="Times New Roman" w:hAnsi="Times New Roman"/>
          <w:sz w:val="18"/>
          <w:szCs w:val="18"/>
          <w:color w:val="auto"/>
        </w:rPr>
      </w:pPr>
    </w:p>
    <w:p>
      <w:pPr>
        <w:jc w:val="both"/>
        <w:ind w:left="840" w:hanging="383"/>
        <w:spacing w:after="0" w:line="266"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we offered the "Escape the Odds Box Truck Program" at our Saguaro Correctional Facility in Arizona and at our Crossroads Correctional Center in Montana. The program trains individuals on how to start and operate a non-Commercial Drivers License, or CDL, box truck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jc w:val="both"/>
        <w:ind w:left="383" w:hanging="383"/>
        <w:spacing w:after="0" w:line="261"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we implemented several additional programs to help prepare justice-involved individuals for life after release, including offering the Promising People Virtual Reality programs in Electricians Helper, Culinary and other vocational programs at our Cibola County Corrections Facility in New Mexico. Promising People, LLC creates and delivers new learning technologies to develop pre-apprentice learning experiences for trade skills using the latest 3D video and Virtual Reality systems.</w:t>
      </w:r>
    </w:p>
    <w:p>
      <w:pPr>
        <w:spacing w:after="0" w:line="179" w:lineRule="exact"/>
        <w:rPr>
          <w:rFonts w:ascii="Times New Roman" w:cs="Times New Roman" w:eastAsia="Times New Roman" w:hAnsi="Times New Roman"/>
          <w:sz w:val="18"/>
          <w:szCs w:val="18"/>
          <w:color w:val="auto"/>
        </w:rPr>
      </w:pPr>
    </w:p>
    <w:p>
      <w:pPr>
        <w:jc w:val="both"/>
        <w:ind w:left="383" w:hanging="383"/>
        <w:spacing w:after="0" w:line="256"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deployed a Resident Network, or ResNet, at approximately 20 of our correctional facilities, which involved the installation of a secure controlled network, and the addition of an average of 20 new Microsoft® Surface laptops at each of these sites. With strict security measures in place designed to ensure compliance and public safety, an important component of ResNet is connecting residents to online job skills training, testing and certification. ResNet is now the means by which many of our programs are offered, including our educational and vocational programs, and other programs we believe are vital to reentry such as anger management, substance abuse education, and financial literacy.</w:t>
      </w:r>
    </w:p>
    <w:p>
      <w:pPr>
        <w:spacing w:after="0" w:line="187" w:lineRule="exact"/>
        <w:rPr>
          <w:rFonts w:ascii="Times New Roman" w:cs="Times New Roman" w:eastAsia="Times New Roman" w:hAnsi="Times New Roman"/>
          <w:sz w:val="18"/>
          <w:szCs w:val="18"/>
          <w:color w:val="auto"/>
        </w:rPr>
      </w:pPr>
    </w:p>
    <w:p>
      <w:pPr>
        <w:jc w:val="both"/>
        <w:ind w:left="383" w:hanging="383"/>
        <w:spacing w:after="0" w:line="261"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partnered with Re-entry Coaching Academy, or ReCA, a non-profit organization, to offer Life Coaching training and certification for incarcerated individuals at our Saguaro Correctional Facility in Arizona. The program is peer-based, being led by certified life coaches, facilitators, and community leaders with lived experience. Graduates of the program are now serving as Peer Life Coaches and are training other inmates to be Life Coaches at the Saguaro facility.</w:t>
      </w:r>
    </w:p>
    <w:p>
      <w:pPr>
        <w:spacing w:after="0" w:line="179" w:lineRule="exact"/>
        <w:rPr>
          <w:rFonts w:ascii="Times New Roman" w:cs="Times New Roman" w:eastAsia="Times New Roman" w:hAnsi="Times New Roman"/>
          <w:sz w:val="18"/>
          <w:szCs w:val="18"/>
          <w:color w:val="auto"/>
        </w:rPr>
      </w:pPr>
    </w:p>
    <w:p>
      <w:pPr>
        <w:jc w:val="both"/>
        <w:ind w:left="383" w:hanging="383"/>
        <w:spacing w:after="0" w:line="258"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partnered with Our Journey, a non-profit organization led by an individual who has lived experience. Our Journey produces reentry booklets customized for each state. The booklets are written from the lived-experience perspective and use information gathered from focus groups and community networks to develop customized local information. We have partnered with Our Journey to produce these booklets for each state in which we have facilities. In 2023, a booklet for the state of Georgia was completed and in 2024, a booklet for the state of Tennessee was completed. A booklet for the state of Arizona is expected to be completed in early 2025.</w:t>
      </w:r>
    </w:p>
    <w:p>
      <w:pPr>
        <w:spacing w:after="0" w:line="190" w:lineRule="exact"/>
        <w:rPr>
          <w:rFonts w:ascii="Times New Roman" w:cs="Times New Roman" w:eastAsia="Times New Roman" w:hAnsi="Times New Roman"/>
          <w:sz w:val="18"/>
          <w:szCs w:val="18"/>
          <w:color w:val="auto"/>
        </w:rPr>
      </w:pPr>
    </w:p>
    <w:p>
      <w:pPr>
        <w:jc w:val="both"/>
        <w:ind w:left="383" w:hanging="383"/>
        <w:spacing w:after="0" w:line="241"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implemented several additional programs to help prepare justice-involved individuals for life after release, including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Opportunity", a life skills and employment readiness program at our Tallahatchie County Correctional Facility in Mississippi, and Rebound Employment Training, which teaches the skills necessary to become a successful online freelancer or remote worker upon release. We are expanding the Rebound Employment Training program beyond the five facilities at which we piloted the program during 2023. Both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Opportunity program and the Rebound Employment Training program are being expanded through our Go Further Discovery LMS. In 2023, we also partnered with Geographic Solutions whose "Virtual One Stop Reentry Employment Opportunities" software system was customized for us and allows incarcerated persons the opportunity to search and apply for current job openings in the communities to which they will be released. The Geographic Solutions program also provides employment readiness and resume building skills at our Jenkins Correctional Center in Georgia.</w:t>
      </w:r>
    </w:p>
    <w:p>
      <w:pPr>
        <w:spacing w:after="0" w:line="89" w:lineRule="exact"/>
        <w:rPr>
          <w:rFonts w:ascii="Times New Roman" w:cs="Times New Roman" w:eastAsia="Times New Roman" w:hAnsi="Times New Roman"/>
          <w:sz w:val="18"/>
          <w:szCs w:val="18"/>
          <w:color w:val="auto"/>
        </w:rPr>
      </w:pPr>
    </w:p>
    <w:p>
      <w:pPr>
        <w:jc w:val="both"/>
        <w:ind w:left="383" w:hanging="383"/>
        <w:spacing w:after="0" w:line="256"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began offering Steered Straight's "One Step Away" recovery program and, in 2024, we offered the program at our Hardeman County Correctional Facility in Tennessee, our Trousdale Turner Correctional Center in Tennessee, and at our Lake Erie Correctional Institution in Ohio. Steered Straight is a non-profit organization formed in 2007 and is designed to carry an important message to youth on the extreme dangers of drugs, gang involvement and associated criminal activity. The "One Step Away" program is the organization's prison inmate rehabilitation program that works to reduce drug usage and overdoses, particularly fentanyl, as well as to strengthen incarcerated persons' recovery and aftercare.</w:t>
      </w:r>
    </w:p>
    <w:p>
      <w:pPr>
        <w:spacing w:after="0" w:line="79" w:lineRule="exact"/>
        <w:rPr>
          <w:rFonts w:ascii="Times New Roman" w:cs="Times New Roman" w:eastAsia="Times New Roman" w:hAnsi="Times New Roman"/>
          <w:sz w:val="18"/>
          <w:szCs w:val="18"/>
          <w:color w:val="auto"/>
        </w:rPr>
      </w:pPr>
    </w:p>
    <w:p>
      <w:pPr>
        <w:jc w:val="both"/>
        <w:ind w:left="383" w:hanging="383"/>
        <w:spacing w:after="0" w:line="261"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partnered with Reboot Recovery to offer a peer-led, 12-week research-based PTSD/Trauma and Resiliency program for incarcerated veterans. In 2024, we expanded the program beyond the four CoreCivic Safety facilities at which we piloted the program in 2023, and the program is now offered at eight CoreCivic Safety facilities. We anticipate further expansion of the program to other CoreCivic Safety facilities in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3"/>
          </w:cols>
          <w:pgMar w:left="777" w:top="1440" w:right="339" w:bottom="1440" w:gutter="0" w:footer="0" w:header="0"/>
        </w:sectPr>
      </w:pPr>
    </w:p>
    <w:bookmarkStart w:id="10" w:name="page11"/>
    <w:bookmarkEnd w:id="10"/>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those with assessed substance abuse disorders, we offer cognitive behavioral evidence-based treatment programs with proven clinical outcomes, such as the Residential Drug Abuse Program. We offer both therapeutic community models and intensive outpatient programs. We also offer drug and alcohol use education/DWI programs at some of our facilities. Our goal in providing substance abuse treatment is to stimulate internal motivation for change and progress through the stages of change so that lasting behavioral change can occur. Our drug and alcohol education programs help participants understand their relationships with drugs and alcohol and the links between drug and alcohol use and crime, as well as equipping participants with information designed to help them make better choices that can lead to healthier relationships in their lives. According to a study by the Florida State University College of Criminology and Criminal Justice, "An Assessment of Substance Abuse Treatment Programs in Florida's Prisons Using a Random Assignment Experimental Design" submitted to the National Institute of Justice, Office of Justice Programs, U.S. Department of Justice, in 2016, inmates who completed addiction treatment in prison have significantly lower recidivism levels regardless of the treatment model used.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 program offerings include our Victim Impact Programs, available at a number of our Safety and Community facilities, which seek to educate offenders about the negative effects their criminal conduct can have on others. All of our facility chaplains facilitate diverse and inclusive opportunities for those in our care to engage in the practice of spirituality and to exercise individual religious freedom. In several facilities, we offer faith-based programs with an emphasis on character development, spiritual growth, and successful reentry. Beginning in 2024, we utilized "Finding the Good Life", a custom evidence-based inter-faith curriculum we developed with The Change Companies. The Change Companies helps organizations in behavioral health, corrections and addiction treatment bridge the gap between theory and practice.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Reentry and Life Skills programs prepare individuals for life after incarceration by teaching them how to successfully conduct a job search, how to manage their budget and financial matters, parenting skills, and relationship and family skills. Equally significant, we offer cognitive behavioral programs aimed at changing anti-social attitudes and behaviors in offenders, with a focus on altering the level of criminal thinking. In 2017, we introduced a comprehensive reentry strategy we call "Go Further," a forward thinking, process approach to reentry. "Go Further" encompasses all facility reentry programs, adds a proprietary cognitive/behavioral curriculum, and encourages staff and offenders to take a collaborative approach to assist in reentry preparation.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2021, we opened a "Go Further Release" program in the Denver, Colorado area. Go Further Release is a program we developed that provides stabilization services and reentry coaching to individuals being released from our facilities. The program provides "Reach-in" services during the justice-involved individual's last 90 days of incarceration which are designed to prepare individuals for release and make a connection with a reentry coach that will provide support to them after release. "Stabilization and Reentry Coaching" services are provided during an individual's first 90 days of release and an ongoing community support group is available as long as needed. All services are free of charge. In 2022, we received approval from the Georgia Department of Corrections, or GDOC, to implement a Go Further Release program to support our Coffee, Jenkins, and Wheeler facilities. We are providing this program through an engagement with Life Empowerment Enterprises, a local non-profit organization.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Across the country, our dedicated staff, along with the assistance of thousands of volunteers, work to provide guidance, direction, and post-incarceration services to the men and women in our care. We believe these critical reentry programs help fight the serious challenge of recidivism facing the United States.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our community corrections facilities, we provide an array of services to clients and residents who are serving their full sentence, the last portion of their sentence, waiting to be sentenced, or awaiting trial while supervised in a community environment. We offer housing and programs with a key focus on employment, job readiness, life skills and various substance abuse treatment programs, in order to help residents successfully reenter their communities and reduce the risk of recidivism.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For example, most of our community corrections facilities have community networking programs, like those at our Cheyenne Transitional Center in Wyoming, to </w:t>
      </w:r>
      <w:r>
        <w:rPr>
          <w:rFonts w:ascii="Times New Roman" w:cs="Times New Roman" w:eastAsia="Times New Roman" w:hAnsi="Times New Roman"/>
          <w:sz w:val="18"/>
          <w:szCs w:val="18"/>
          <w:color w:val="242424"/>
        </w:rPr>
        <w:t>help residents connect with community members and match them with jobs. Our staff takes an active role in going into the community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creating collaborative relationships with employers to assist residents when they first arrive at our facility and provide support for a smoother transition in job seeking. Our programs in the state of Colorado partner with a financial institution to conduct classes with our residents on financial wellness, including the importance of having a savings account, the importance of, and how to establish, credit, and how to establish a bank account. At our CAI Ocean View facility in California, we offer our residents the ability to receive a "Certificate of Completion in Money Smarts and Transitional Skills". The classes are taught by our Employment Specialist and Program Facilitator at the Ocean View facility and are offered to all residents on a daily basis. The Ocean View facility has also partnered with the San Diego City College to offer residents classes in Forklift Operation, Auto Mechanics, and Carpentry. We have also partnered with Coastline and Career Expansion, Inc. at our CAI Boston Avenue facility in California to provide a training program in workforce development, construction, utilities, energy and safety. Students learn skills from basic industry awareness to Occupational Safety and Health Administration, or OSHA, requirements in this five-week, on-site program. They also learn how to properly use hand and power tools, and how to safely handle construction materials. Upon completion, students receive an industry-recognized certificate. Further, in 2024, we implemented several new programs at our CAI Boston Avenue facility including, among others, our Go Further program mentioned above, a Victim Impact Program, and a Seeking Safety program. In addition, in 2024, our South Raleigh Reentry Center in Raleigh, North Carolina, partnered with the North Carolina Works and Wake Local Reentry Council, or WLRC, to help residents gain Culinary, Heavy Machinery Operator, Forklift, and CDL certifications. WLRC is a collaborative of organizations working to help men and women transition back into the community after leaving incarceration. In </w:t>
      </w:r>
      <w:r>
        <w:rPr>
          <w:rFonts w:ascii="Times New Roman" w:cs="Times New Roman" w:eastAsia="Times New Roman" w:hAnsi="Times New Roman"/>
          <w:sz w:val="18"/>
          <w:szCs w:val="18"/>
          <w:color w:val="000000"/>
        </w:rPr>
        <w:t>some of our community corrections</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facilities, we offer housing and program services to parolees who have completed their sentence but lack a viable reentry plan. Through a focus on employment and skill development, we provide a means for these parolees to successfully reintegrate into their communities.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provide day-reporting and substance abuse treatment programs at some of our community corrections facilities. These programs, depending on the needs of the resident, can provide cognitive behavioral-based programs to assist in the resident's successful reentry while holding the individual accountable while living in the community</w:t>
      </w:r>
      <w:r>
        <w:rPr>
          <w:rFonts w:ascii="Times New Roman" w:cs="Times New Roman" w:eastAsia="Times New Roman" w:hAnsi="Times New Roman"/>
          <w:sz w:val="18"/>
          <w:szCs w:val="18"/>
          <w:color w:val="474646"/>
        </w:rPr>
        <w: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provide a number of non-residential correctional alternative services, including electronic monitoring and case management services, under our CoreCivic Community segment. Governmental customers use electronic monitoring products and services to monitor low risk offenders as a way to help reduce overcrowding in correctional facilities, as a monitoring and sanctioning tool, and to promote public safety by imposing restrictions on movement and serving as a deterrent for alcohol usage. Providing these non-residential services is a natural complement to our broad network of residential reentry facilities and can help keep individuals from returning to prison or being incarcerated in the first place.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Ultimately, the work we do is intended to give people the necessary skills to reintegrate with their communities permanently. We are proud of the teachers, counselors, case managers, chaplains, and other offender support service professionals who provide these services to the men and women entrusted to our care.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Advocacy.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underscoring our long-term commitment to reducing recidivism, since October 2017, we have maintained a nationwide initiative to advocate for a range of government policies that will help formerly incarcerated people successfully reenter society and stay out of prison. As part of this continued initiative, we apply government relations resources and expertise to advocate for the following policies:</w:t>
      </w:r>
    </w:p>
    <w:p>
      <w:pPr>
        <w:spacing w:after="0" w:line="68"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"Ban-the-Box" proposals to help improve former inmates' chances at getting a job;</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legal barriers to make it easier and less risky for companies to hire former incarcerated individuals;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funding for reentry programs in areas such as education, addiction treatment, faith-based offerings, victim impact and post-release employment;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impact bond pilot programs that tie contractor payments to positive outcomes.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2020, we announced that we will publicly advocate at the federal and state levels for a slate of new policies that will help people succeed in their communities after being released from prison. Specifically, we pledged our support for Pell Grant Restoration, Voting Rights Restoration and Licensure Reform Policies. We maintain a partnership with Prison Fellowship, a leading advocate for criminal justice reform serving formerly incarcerated individuals and their family members. Through a network of programming and advocacy efforts, the organization seeks to effect positive change at every level of the criminal justice system. We have committed to a multi-year partnership in Prison Fellowship's First Chance Network, or FCN. Serving over 250,000 children annually, the FCN addresses persistent gaps in opportunity for children who have incarcerated parents and seeks to create a trajectory toward healthy life outcomes and prevent youth justice involvement.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Advocacy for Pell Grant Restoration is an extension of our longtime commitment to providing educational opportunities in our facilities, as research consistently shows that educational attainment can significantly reduce an incarcerated person's likelihood of recidivating. Currently, CoreCivic has working partnerships with fifteen colleges and institutions of higher learning nationwide to facilitate provision of post-secondary educational opportunities in various facilities. We continue to pursue opportunities to expand this network and the facilities in which these services are offered.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Supporting policies that advance the expansion of reentry programs aligns closely with our ongoing efforts to assess and expand reentry-focused programming in our facilities. To that end, we actively engage subject matter experts and practitioners, including formerly incarcerated individuals who bring valuable, lived experiences that better inform innovations and enhancements to those programmatic offerings.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as successful as we may be with our work inside our facilities, incarcerated individuals still face embedded societal barriers and collateral consequences when they return to their communities. Supporting recidivism-reducing policies is one way we can bridge the gap and give the men and women entrusted to our care a better opportunity at never returning to prison.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guidelines.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American Correctional Association, or ACA, is an independent organization comprised of corrections professionals that establishes accreditation standards for correctional and detention facilities around the world. Outside agency standards, such as those established by the ACA, provide us with the industry's most widely accepted operational guidelines. ACA accredited facilities must be audited and re-accredited at least every three years. We have sought and received ACA accreditation for 33, or approximately 97%, of the eligible facilities we operated as of December 31, 2024, excluding our residential reentry facilities. During 2024, 12 of the facilities we manage were newly accredited or re-accredited by the ACA with an average score of 99.7%, making our portfolio average 99.6%.</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Beyond the standards provided by the ACA, our facilities are operated in accordance with a variety of company and facility-specific policies and procedures, as well as various contractual requirements. Many of these policies and procedures reflect the high standards generated by a number of sources, including the ACA, the National Commission on Correctional Healthcare, OSHA, as well as federal, state, and local government codes and regulations and longstanding correctional procedures.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facilities are operated in compliance with the Prison Rape Elimination Act, or PREA, standards. All confinement facilities covered under the PREA standards must be audited at least every three years to maintain compliance with the PREA standards. We utilize United States Department of Justice, or DOJ, certified PREA auditors to help ensure that all facilities operate in compliance with applicable PREA regulations.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facilities operate under these established standards, policies, and procedures, and also are subject to annual audits by our Quality Assurance Division, or QAD, which operates under, and reports directly to, our Office of General Counsel and acts independently from our Operations Division. Through the QAD, we have devoted significant resources to ensuring that our facilities meet outside agency and accrediting organization standards and guidelines.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QAD has achieved conformance with the Institute of Internal Auditors' International Professional Practices Framework®, </w:t>
      </w:r>
      <w:r>
        <w:rPr>
          <w:rFonts w:ascii="Times New Roman" w:cs="Times New Roman" w:eastAsia="Times New Roman" w:hAnsi="Times New Roman"/>
          <w:sz w:val="18"/>
          <w:szCs w:val="18"/>
          <w:i w:val="1"/>
          <w:iCs w:val="1"/>
          <w:color w:val="auto"/>
        </w:rPr>
        <w:t>Global Internal Audit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Standards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Global Internal Audit Standards </w:t>
      </w:r>
      <w:r>
        <w:rPr>
          <w:rFonts w:ascii="Times New Roman" w:cs="Times New Roman" w:eastAsia="Times New Roman" w:hAnsi="Times New Roman"/>
          <w:sz w:val="18"/>
          <w:szCs w:val="18"/>
          <w:color w:val="auto"/>
        </w:rPr>
        <w:t>guide the worldwide professional practice of internal auditing and serve as a basis for evaluating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elevating the quality of the internal audit function. The QAD employs a team of full-time auditors, who are subject matter experts from all major disciplines within institutional operations. Annually, QAD auditors generally conduct unannounced on-site evaluations of each CoreCivic Safety facility we operate using specialized audit tools, typically containing approximately 1,455 audit indicators across all major operational areas. In most instances, these audit tools are tailored to facility and partner specific requirements. In addition, audit teams provide guidance to facility staff on operational best practices and assist staff with addressing specific areas of need, such as meeting requirements of new partner contracts and providing detailed training on compliance requirements for new departmental managers.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QAD management team coordinates overall operational auditing and compliance efforts across all correctional, detention, and residential reentry facilities we manage. In conjunction with subject matter experts and other stakeholders having risk management responsibilities, the QAD management team develops performance measurement tools used in facility audits. The QAD management team provides governance of the corrective action plan process for any items of nonconformance identified through internal and external facility reviews. Our QAD also contracts with teams of ACA certified correctional auditors to evaluate compliance with ACA standards at accredited facilities. Similarly, the QAD routinely incorporates a review of facility compliance with key ACA standards and PREA regulations during annual audits of company facilities.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own internal audit and contract compliance efforts, we are also subject to oversight by our government partners. As part of their standard monitoring and compliance programs, approximately 75% of our federal and state government partners typically conduct formal contract-compliance audits and inspections at least annually at CoreCivic Safety facilities. In addition to these annual audits of our facilities, many partners conduct additional area-specific operational audits and inspections on a more frequent basis, including monthly, quarterly, and semi-annually. Some of these audits and facility inspections by our partners are conducted on an unannounced basis. In 2024, our government partners conducted approximately 210 annual, semi-annual, quarterly, and monthly compliance audits and inspections at our CoreCivic Safety facilities. In addition, the majority of our federal and state government partners employ on-site contract monitors who monitor performance and contract compliance at our facilities on a full- or part-time basis. In 2024, 97% of the CoreCivic Safety facilities we manage had an assigned contract monitor.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we own, or control via a long-term lease, approximately 55% of all privately owned prison beds in the United States, manage approximately 39% of all privately managed prison beds in the United States, and are currently the second largest private owner and provider of community corrections services in the nation. Under the direction of our partnership development department, we market our facilities and services to government agencies responsible for federal, state, and local correctional, detention, and residential reentry facilities in the United States. With 66,488 beds in our Safety and Community segments and occupancy of 75% in 2024, including idle correctional and residential reentry facilities during the period they were idle, we have the capacity to grow earnings and cash flows without the need to deploy significant capital. At December 31, 2024, we also had two idle facilities consisting of 4,960 beds in our Properties segment that could generate additional earnings and cash flow if we are able to enter into an agreement to utilize the facilities. Under the direction of our innovation department, we also intend to continue to pursue new development opportunities in our Properties segment, to meet the need to modernize outdated correctional infrastructure across the country, and explore potential opportunities to expand the scope of non-residential correctional alternatives we provide in our Community segment. We will also respond to customer demand and may develop or expand correctional and detention facilities when we believe potential long-term returns justify the capital deployment.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execute cross-departmental efforts to market CoreCivic Safety solutions to government partners that seek corrections and detention management services, CoreCivic Community solutions to government partners seeking residential reentry services, and CoreCivic Properties solutions to customers that need correctional real estate and maintenance services. Our flexible business model enables our customers to utilize our real estate assets to suit their needs, which can result in facilities moving among our Safety, Community, and Properties segments.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Business from our federal customers, including primarily ICE, the USMS, and the BOP, constituted 51%, 52%, and 54% of our total revenue during 2024, 2023, and 2022, respectively. Business from our federal customers continues to be a significant component of our business, although the source of revenue is derived from many contracts at various types of properties (i.e., correctional, detention, and reentry). ICE (29%, 30%, and 29% during 2024, 2023, and 2022, respectively) and the USMS (21%, 21%, and 22% during 2024, 2023 and 2022, respectively) each accounted for 10% or more of our total revenue during the last three years.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contracts with federal partners contain clauses that guarantee the federal partner access to a minimum bed capacity in exchange for a fixed monthly payment. However, these contracts also generally provide the government the ability to cancel the contract for non-appropriation of funds or for convenience. The solutions we provide to our federal customers continue to be a significant component of our business. We believe our ability to provide flexible solutions and fulfill emergent needs of our federal customers would be very difficult and costly to replicate in the public sector.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26, 2021, then-President Biden issued an Executive Order on Reforming Our Incarceration System to Eliminate the Use of Privately Operated Criminal Detention Facilities, or the Private Prison EO. The Private Prison EO directed the Attorney General to not renew DOJ contracts with privately operated criminal detention facilities. Two agencies of the DOJ, the BOP and the USMS, utilize our services. The BOP houses inmates who have been convicted, and the USMS is generally responsible for detainees who are awaiting trial. The Private Prison EO only applied to agencies that are part of the DOJ, which includes the BOP and USMS. We no longer operate any prison contracts for the BOP. ICE facilities were not covered by the Private Prison EO, as ICE is an agency of the Department of Homeland Security, or DHS, not the DOJ. For the years ended December 31, 2024, 2023, and 2022, the USMS accounted for 21% ($406.4 million), 21% ($400.4 million), and 22% ($403.9 million), respectively, of our total revenue.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Unlike the BOP, the USMS does not own detention capacity and relies on the private sector, along with various government agencies, for its detainee population. We currently have two detention facilities that have direct contracts with the USMS. Because of the lack of alternative bed capacity, one of the contracts was renewed upon its expiration in September 2023, and now expires in September 2028. The second direct contract expires in October 2025. On January 20, 2025, President Trump reversed the Private Prison EO. However, it is possible future administrations could issue similar executive orders restricting the use of private correctional and detention facilities by the federal government.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as a pandemic. As a result, in the first quarter of 2020, the federal government decided to deny entry at the United States southern border to asylum-seekers and anyone crossing the southern border without proper documentation or authority in an effort to contain the spread of COVID-19, a policy known as Title 42. This policy resulted in a reduction to the number of people ICE detained, including in our detention facilities. The financial impact was somewhat mitigated by fixed monthly payments from ICE at certain of our facilities, to ensure ICE has adequate bed capacity in the event of a surge in the future. Based on COVID-19 trends, the DHS allowed Title 42 to expire on May 11, 2023, which has resulted in an increase in the number of undocumented people permitted to enter the United States claiming asylum, and has resulted in an increase in the number of people apprehended and detained by ICE. During 2023, revenue from ICE was $565.5 million compared to $579.5 million during 2019, prior to the implementation of Title 42. During the year ended December 31, 2024, revenue from ICE was $564.8 million. Our revenue from ICE was negatively impacted during 2024 by the termination of an inter-governmental service agreement, or IGSA, for the 2,400-bed South Texas Family Residential Center, or STFRC, effective August 9, 2024, a facility we leased from a third-party.</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10, 2024, we received notice from ICE of its intent to terminate the IGSA for services at the STFRC, effective August 9, 2024. As a result, we provided notice to the third-party lessor of the facility of our intent to terminate the lease effective as of the same date, with no financial penalties as permitted by the lease agreement. Total revenue generated at the STFRC was $101.2 million and $156.6 million during 2024 and 2023, respectively. Facility net operating income at this facility was $51.5 million and $65.6 million during 2024 and 2023, respectively. The decrease in facility net operating income from 2023 to 2024 at the STFRC, which resulted from the termination, was partially offset by the accelerated recognition of deferred revenue, as well as the accelerated decline in detainee populations in early July 2024, resulting in the elimination of most operating expenses though we continued to generate fixed contractual revenue through the termination date. Even excluding these unique factors positively affecting 2024,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margin at STFRC exceeded the average operating margin of our portfolio due to the size and scalability of expenses, and due to the unique design and specialized services provided at the facility. Accordingly, the termination of the contract at this facility had, and will continue to have, a negative impact on operating margins following the termination date. During 2024 and 2023, operating margins in the CoreCivic Safety segment were 23.9% and 21.7%, respectively, while operating margins excluding the STFRC were 22.3% and 19.6%,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partnering with the third-party owner of STFRC to market the facility to DHS. However, we can provide no assurance that we will enter into an agreement with ICE to reopen the facility, or that if we enter into another agreement with ICE to utilize the STFRC, that we would generate revenues or facility net operating income similar to amounts we previously generated at this facility.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Federal revenues from contracts at correctional, detention, and residential reentry facilities that we operate increased 0.7% from $995.2 million during 2023 to $1,002.2 million during 2024. The increase in federal revenue was primarily a result of increased occupancy and per diem increases at certain facilities and as a result of one additional day of operations due to a leap year in 2024, partially offset by the termination of an IGSA with respect to the STFRC. As previously described herein, Title 42, which was implemented in the first quarter of 2020, resulted in a reduction to the number of people ICE detained, including in our detention facilities. The financial impact of Title 42 was somewhat mitigated by fixed monthly payments from ICE at certain of our facilities, to ensure ICE has adequate bed capacity in the event of a surge in the future. The expiration of Title 42 on May 11, 2023 resulted in an increase in the number of undocumented people permitted to enter the United States claiming asylum, and has also resulted in an increase in the number of people apprehended and detained by ICE. During the year ended December 31, 2024, revenue from ICE was $564.8 million compared to $565.5 million during the year ended December 31, 2023. </w:t>
      </w:r>
      <w:r>
        <w:rPr>
          <w:rFonts w:ascii="Times New Roman" w:cs="Times New Roman" w:eastAsia="Times New Roman" w:hAnsi="Times New Roman"/>
          <w:sz w:val="18"/>
          <w:szCs w:val="18"/>
          <w:color w:val="242424"/>
        </w:rPr>
        <w:t>Given the termination of the IGSA with ICE with respect to the STFRC, total management revenues were, and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expected to continue to be, negatively impacted following the August 9, 2024 termination date, when compared to prior periods</w:t>
      </w:r>
      <w:r>
        <w:rPr>
          <w:rFonts w:ascii="Times New Roman" w:cs="Times New Roman" w:eastAsia="Times New Roman" w:hAnsi="Times New Roman"/>
          <w:sz w:val="18"/>
          <w:szCs w:val="18"/>
          <w:color w:val="000000"/>
        </w:rPr>
        <w:t>, as further described in</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Part II, Item 7. Management's Discussion and Analysis of Financial Condition and Results of Operations</w:t>
      </w:r>
      <w:r>
        <w:rPr>
          <w:rFonts w:ascii="Times New Roman" w:cs="Times New Roman" w:eastAsia="Times New Roman" w:hAnsi="Times New Roman"/>
          <w:sz w:val="18"/>
          <w:szCs w:val="18"/>
          <w:color w:val="000000"/>
        </w:rPr>
        <w:t>", or MD&amp;A.</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expect demand from the federal government for our correctional and detention facilities to increase under the new presidential administration, particularly from ICE, as a result of anticipated changes in immigration policy and funding levels of our federal government partners charged with correctional and detention responsibilities. This anticipated increase in demand could result in higher utilization of our available capacity under existing contracts, as well as through new contracts utilizing our idle correctional and detention facilities or our other existing capacity. However, we can provide no assurance that the federal government will increase the utilization of our available capacity. Further, the activation of our idle correctional and detention facilities generally requires four to six months to hire, train, and prepare our facilities to accept residential populations, which could result in substantial expenses before we are able to realize additional revenue.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 revenues from contracts at correctional, detention, and residential reentry facilities that we operate constituted 40%, 39%, and 36% of our total revenue during 2024, 2023, and 2022, respectively, and increased 5.0% from $738.6 million during 2023 to $775.4 million during 2024. The state of Tennessee is our largest state customer, accounting for 10% of our total revenue during 2024, with no other state customer generating 10% or more of our total revenue. State revenues increased as a result of per diem increases under a number of our state contracts, as certain states have recognized the need to provide additional funding to address increases in the wages of our employees. State revenues also increased due to higher utilization from the states of Montana and Wyoming due to new management contracts executed during 2023 and 2024, as well as higher utilization from other states under existing management contracts. State revenues generated during the year ended December 31, 2024 also benefited from one additional day of operations due to 2024 being a leap year. The increase in state revenues in 2024 was partially offset by a decrease in state revenues at our Allen Gamble Correctional Center that resulted from a new lease agreement effective October 1, 2023, and is now reported in our Properties segment.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long-term growth opportunities of our business remain attractive as government agencies consider their emergent needs, as well as the efficiency and offender programming opportunities we provide as flexible solutions to satisfy our partners' needs. We have been in discussions with ICE to utilize additional bed capacity in our portfolio at facilities with existing contracts, and have responded to their requests for information and requests for proposals, or RFPs, for activation of certain of our idle facilities. We have also been in discussions with several state and county government agencies that have experienced challenges in staffing their public-sector facilities and 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seeking solutions from the private sector. Further, several of our existing government partners, as well as prospective government partners, have been experiencing growth in offender populations and overcrowded conditions. Governments are continuing to assess their need for correctional space, and several are continuing to consider alternative correctional capacity for their aged or inefficient infrastructure, or are seeking cost savings by utilizing the private sector, which could result in increased future demand for the solutions we provide. For example, on September 25, 2023, we announced that we signed a management contract with Hinds County, Mississippi to care for up to 250 adult male pre-trial detainees at our 2,672-bed Tallahatchie County Correctional Facility in Tutwiler, Mississippi. The initial contract term is for two years, which may be extended for an additional year upon mutual agreement. In addition, on November 16, 2023, we announced that we signed a management contract with the state of Wyoming to care for up to 240 male inmates at the Tallahatchie facility. The term of the contract runs through June 30, 2026. Also on November 16, 2023, we announced that we signed a contract with Harris County, Texas, to care for up to 360 male inmates at the Tallahatchie facility. Upon mutual agreement, Harris County may access an additional 360 beds at the facility. The initial contract term began on December 1, 2023, and was recently renewed for an additional one-year term, which commenced December 1, 2024. Following the recent renewal, the contract may be extended at Harris County's option for up to three additional one-year terms. In addition to the recent contracts with Hinds County, the state of Wyoming, and Harris County, we currently care for residents from the USMS, the state of Vermont, the U.S. Virgin Islands, and Tallahatchie County at the Tallahatchie facility, which demonstrates the flexible solutions that we provide. On November 14, 2023, we announced that we signed a management contract with the state of Montana to care for up to 120 inmates at our 1,896-bed Saguaro Correctional Facility in Eloy, Arizona. The contract is scheduled to expire on October 31, 2025, and may be extended by mutual agreement for a total term of up to seven years. In addition, on August 1, 2024, we entered into a second management contract with the state of Montana to care for an unspecified number of inmates at facilities we operate. The second contract is scheduled to expire on July 31, 2026, and may be extended by mutual agreement for a total term of up to seven years. As of December 31, 2024, we cared for approximately 245 inmates from the state of Montana at our Saguaro facility. We also care for residents from the state of Hawaii and the state of Idaho at the Saguaro facility. On January 16, 2025, we announced that we were awarded a new management contract with the state of Montana to care for additional inmates outside the state of Montana, with 240 inmates expected to arrive at our Tallahatchie facility during the first quarter of 2025. We also manage the fully occupied company-owned Crossroads Correctional Center in Shelby, Montana for the state of Montana pursuant to a separate management contract.</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in December 2021, the state of Arizona awarded us a contract for up to 2,706 inmates at our 3,060-bed La Palma Correctional Center in Arizona, which commenced in April 2022. We are not aware of a larger prison contract awarded to the private sector by any state in over a decade. In August 2022, we completed the sale of the 1,978-bed McRae Correctional Facility to the Georgia Building Authority in order to update its aged and inefficient public sector correctional infrastructure. Competing budget priorities often impede our customers' ability to construct new prison beds of their own or update their older facilities, which we believe could result in further demand for private sector prison capacity solutions in the long-term.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can further develop our business by, among other things:</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expanding our existing customer relationships and filling existing capacity within our facilities, while maintaining an adequate inventory of available capacity that we believe provides us with flexibility and a competitive advantage when bidding for new management contracts;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terms of our existing contracts and expanding the services we provide under those contracts;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additional opportunities to lease our facilities to government and other third-party operators in need of correctional, detention, and residential reentry capacity;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mission-critical real estate solutions for government agencies focused on corrections and detention real estate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other asset acquisitions and business combinations through transactions with non-government third parties;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expanding our focus on community corrections and reentry programming that align with the needs of our government partners;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6" w:lineRule="exact"/>
        <w:rPr>
          <w:sz w:val="20"/>
          <w:szCs w:val="20"/>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Exploring potential opportunities to expand the scope of non-residential correctional alternative solutions we provide to government agencies;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relationships with new customers that have either previously not outsourced their correctional facility management needs or have utilized other private enterprises.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generally receive inquiries from or on behalf of government agencies that are considering outsourcing the ownership and/or management of certain facilities or that have already decided to contract with a private enterprise. When we receive such an inquiry, we determine whether there is an existing need for our correctional, detention, and residential reentry facilities and/or services and whether the legal and political climate in which the inquiring party operates is conducive to serious consideration of outsourcing. Based on these findings, an initial cost analysis is conducted to further determine project feasibility.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Frequently, government agencies responsible for correctional, detention, and residential reentry facilities and services procure space and services through solicitations or competitive procurements. As part of our process of responding to such requests, members of our management team meet with the appropriate personnel from the agency making the request to best determine the agency's needs. If the project fits within our strategy, we submit a written response. A typical solicitation or competitive procurement requires bidders to provide detailed information, including, but not limited to, the space and services to be provided by the bidder, its experience and qualifications, and the price at which the bidder is willing to provide the facility and services (which services may include the purchase, renovation, improvement or expansion of an existing facility or the planning, design and construction of a new facility). The requesting agency selects a provider believed to be able to provide the requested bed capacity, if needed, and most qualified to provide the requested services, and then negotiates the price and terms of the contract with that provider.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Accomplishments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we renewed several significant contracts and completed numerous other transactions and milestones, including the following: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CoreCivic Safety, Community and Properties:</w:t>
      </w:r>
    </w:p>
    <w:p>
      <w:pPr>
        <w:spacing w:after="0" w:line="335"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Renewed all 36 of our contracts that were up for renewal, although one of our contracts was cancelled prior to its expiration.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new management contract in August 2024 with the state of Montana to care for inmates at our facilities. As of December 31, 2024, we cared for approximately 245 inmates for the state of Montana at our 1,896-bed Saguaro Correctional Facility in Eloy, Arizona, which includes inmates for Montana under a separate contract awarded in November 2023.</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Go Further Discovery, a new resident LMS which offers self-directed digital content in the areas of academics, continuing technical education, career preparation, entrepreneurship, behavior change, reentry, faith-based, inspirational, and self-help. The new LMS includes courses from content partners, as well as content developed internally by CoreCivic.</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Offered the "Escape the Odds Box Truck Program" at our Saguaro Correctional Facility in Arizona and at our Crossroads Correctional Center in Montana. The program trains individuals on how to start and operate a non-CDL, box truck business.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several additional programs to help prepare justice-involved individuals for life after release, including offering the Promising People Virtual Reality programs in Electricians Helper, Culinary and other vocational programs at our Cibola County Corrections Facility in New Mexico. Promising People, LLC creates and delivers new learning technologies to develop pre-apprentice learning experiences for trade skills using the latest 3D video and Virtual Reality systems.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Piloted a First Responder Reboot program for staff at our Trousdale Turner Correctional Center in Tennessee. The program, offered by Reboot Recovery, the same company that offers our reboot program for incarcerated veterans, is a 12-week, faith-based, peer-led course that helps first responders and their families heal from critical incident stress and trauma.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6" w:lineRule="exact"/>
        <w:rPr>
          <w:sz w:val="20"/>
          <w:szCs w:val="20"/>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242424"/>
        </w:rPr>
        <w:t>Partnered with WLRC at our South Raleigh Reentry Center in Raleigh, North Carolina, to help residents gain Culinary, Heavy Machinery Operator, Forklift, and CDL certifications. WLRC is a collaborative of organizations working to help men and women transition back into the community after leaving incarceration.</w:t>
      </w:r>
    </w:p>
    <w:p>
      <w:pPr>
        <w:spacing w:after="0" w:line="67" w:lineRule="exact"/>
        <w:rPr>
          <w:rFonts w:ascii="Times New Roman" w:cs="Times New Roman" w:eastAsia="Times New Roman" w:hAnsi="Times New Roman"/>
          <w:sz w:val="18"/>
          <w:szCs w:val="18"/>
          <w:color w:val="242424"/>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Medication Assisted Treatment, or MAT, program to include up to 500 individuals at our La Palma Correctional Center who are under the state of Arizona's jurisdiction. MAT is the use of FDA-approved medications in combination with counseling and behavioral therapies, which is effective in the treatment of opioid use disorders and can help people to sustain recovery.</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Project Vista, the project name at CoreCivic to build, create, and maintain correctional environments and daily routines that mirror the community and free world as much as possible. Evidence shows that a normalized setting, over traditional institutions, better prepare justice-involved individuals returning to society, thereby increasing success across various life areas upon release. Fourteen Project Vista projects were completed during 2024.</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335" w:lineRule="exact"/>
        <w:rPr>
          <w:sz w:val="20"/>
          <w:szCs w:val="20"/>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an underwritten registered public offering of $500.0 million aggregate principal amount of 8.25% senior unsecured notes due 2029, or the New 8.25% Senior Notes.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Tendered and redeemed in full our remaining outstanding 8.25% senior unsecured notes issued in 2021, or the Old 8.25% Senior Notes, amounting to $593.1 million. The notes, with an original principal amount of $675.0 million, were originally scheduled to mature in April 2026.</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 total of 4.4 million common shares at a total cost of $68.5 million, or $15.43 per share, under our share repurchase program, increasing the total number of shares repurchased under our share repurchase program to 14.5 million common shares at a total cost of $181.1 million, or $12.47 per share since the program was authorized by our Board of Directors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Facility Portfolio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CoreCivic Safety and Community Facilities and Facility Management Contracts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correctional, detention, and residential reentry facilities can generally be classified according to the level(s) of security at such facility. Minimum security facilities have open housing within an appropriately designed and patrolled institutional perimeter. Medium security facilities have either cells, rooms or dormitories, a secure perimeter, and some form of external patrol. Maximum security facilities have cells, a secure perimeter, and external patrol. Multi-security facilities have various areas encompassing minimum, medium or maximum security.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CoreCivic Safety and Community facilities can also be classified according to their primary function. The primary functional categories are:</w:t>
      </w:r>
    </w:p>
    <w:p>
      <w:pPr>
        <w:spacing w:after="0" w:line="115" w:lineRule="exact"/>
        <w:rPr>
          <w:sz w:val="20"/>
          <w:szCs w:val="20"/>
          <w:color w:val="auto"/>
        </w:rPr>
      </w:pPr>
    </w:p>
    <w:p>
      <w:pPr>
        <w:ind w:left="1020" w:hanging="503"/>
        <w:spacing w:after="0" w:line="284"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Correctional Facilities</w:t>
      </w:r>
      <w:r>
        <w:rPr>
          <w:rFonts w:ascii="Times New Roman" w:cs="Times New Roman" w:eastAsia="Times New Roman" w:hAnsi="Times New Roman"/>
          <w:sz w:val="18"/>
          <w:szCs w:val="18"/>
          <w:color w:val="auto"/>
        </w:rPr>
        <w:t>. Correctional facilities care for and provide contractually agreed upon programs and services primarily to sentenced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adult prisoners, typically prisoners on whom a sentence in excess of one year has been imposed.</w:t>
      </w:r>
    </w:p>
    <w:p>
      <w:pPr>
        <w:spacing w:after="0" w:line="50"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Detention Facilities</w:t>
      </w:r>
      <w:r>
        <w:rPr>
          <w:rFonts w:ascii="Times New Roman" w:cs="Times New Roman" w:eastAsia="Times New Roman" w:hAnsi="Times New Roman"/>
          <w:sz w:val="18"/>
          <w:szCs w:val="18"/>
          <w:color w:val="auto"/>
        </w:rPr>
        <w:t>. Detention facilities care for and provide contractually agreed upon programs and services to (i) individuals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detained by ICE, (ii) individuals who are awaiting trial who have been charged with violations of federal criminal law (and are therefore in the custody of the USMS) or state criminal law, and (iii) prisoners who have been convicted of crimes and on whom a sentence of one year or less has been imposed. Detention facilities could also include residential facilities which provide space and residential services in an open and safe environment to individuals who have been detained by ICE and are awaiting the outcome of immigration hearings.</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Community Corrections. </w:t>
      </w:r>
      <w:r>
        <w:rPr>
          <w:rFonts w:ascii="Times New Roman" w:cs="Times New Roman" w:eastAsia="Times New Roman" w:hAnsi="Times New Roman"/>
          <w:sz w:val="18"/>
          <w:szCs w:val="18"/>
          <w:color w:val="auto"/>
        </w:rPr>
        <w:t>Community corrections/residential reentry facilities offer housing and programs to offenders who are serving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last portion of their sentence or who have been assigned to the facility in lieu of a jail or prison sentence, with a key focus on employment, job readiness, and life skills.</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through our CoreCivic Safety segment, we operated 42 correctional and detention facilities, 38 of which we owned or controlled via a long-term lease, and four of which we managed and were owned by our government partners. Through our CoreCivic Community segment, we also operated 21 residential reentry centers, which we owned or controlled via a long-term lease. The following table includes certain information regarding each facility as of December 31, 2024, including the primary customer contract, contract term and remaining renewal options, if any, related to such facility, or if the facility is available for customer contract (e.g., idled).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Design</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Capacit</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 Type</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100" w:type="dxa"/>
            <w:vAlign w:val="bottom"/>
          </w:tcPr>
          <w:p>
            <w:pPr>
              <w:spacing w:after="0"/>
              <w:rPr>
                <w:sz w:val="12"/>
                <w:szCs w:val="12"/>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Customer</w:t>
            </w: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w:t>
            </w:r>
          </w:p>
        </w:tc>
        <w:tc>
          <w:tcPr>
            <w:tcW w:w="2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Level</w:t>
            </w: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13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Renewal Options</w:t>
            </w:r>
          </w:p>
        </w:tc>
        <w:tc>
          <w:tcPr>
            <w:tcW w:w="0" w:type="dxa"/>
            <w:vAlign w:val="bottom"/>
          </w:tcPr>
          <w:p>
            <w:pPr>
              <w:spacing w:after="0"/>
              <w:rPr>
                <w:sz w:val="1"/>
                <w:szCs w:val="1"/>
                <w:color w:val="auto"/>
              </w:rPr>
            </w:pPr>
          </w:p>
        </w:tc>
      </w:tr>
      <w:tr>
        <w:trPr>
          <w:trHeight w:val="173"/>
        </w:trPr>
        <w:tc>
          <w:tcPr>
            <w:tcW w:w="3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96"/>
        </w:trPr>
        <w:tc>
          <w:tcPr>
            <w:tcW w:w="34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CoreCivic Safety Facilities:</w:t>
            </w:r>
          </w:p>
        </w:tc>
        <w:tc>
          <w:tcPr>
            <w:tcW w:w="100" w:type="dxa"/>
            <w:vAlign w:val="bottom"/>
            <w:shd w:val="clear" w:color="auto" w:fill="CFF0FC"/>
          </w:tcPr>
          <w:p>
            <w:pPr>
              <w:spacing w:after="0"/>
              <w:rPr>
                <w:sz w:val="17"/>
                <w:szCs w:val="17"/>
                <w:color w:val="auto"/>
              </w:rPr>
            </w:pPr>
          </w:p>
        </w:tc>
        <w:tc>
          <w:tcPr>
            <w:tcW w:w="20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Safety - Owned and Managed:</w:t>
            </w: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Central Arizona Florence</w:t>
            </w:r>
          </w:p>
        </w:tc>
        <w:tc>
          <w:tcPr>
            <w:tcW w:w="100" w:type="dxa"/>
            <w:vAlign w:val="bottom"/>
            <w:shd w:val="clear" w:color="auto" w:fill="CFF0FC"/>
          </w:tcPr>
          <w:p>
            <w:pPr>
              <w:spacing w:after="0"/>
              <w:rPr>
                <w:sz w:val="16"/>
                <w:szCs w:val="16"/>
                <w:color w:val="auto"/>
              </w:rPr>
            </w:pPr>
          </w:p>
        </w:tc>
        <w:tc>
          <w:tcPr>
            <w:tcW w:w="2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Correctional Complex</w:t>
            </w:r>
          </w:p>
        </w:tc>
        <w:tc>
          <w:tcPr>
            <w:tcW w:w="100" w:type="dxa"/>
            <w:vAlign w:val="bottom"/>
            <w:shd w:val="clear" w:color="auto" w:fill="CFF0FC"/>
          </w:tcPr>
          <w:p>
            <w:pPr>
              <w:spacing w:after="0"/>
              <w:rPr>
                <w:sz w:val="18"/>
                <w:szCs w:val="18"/>
                <w:color w:val="auto"/>
              </w:rPr>
            </w:pP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USMS</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4,128</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Sep-28</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Florence, Arizona</w:t>
            </w:r>
          </w:p>
        </w:tc>
        <w:tc>
          <w:tcPr>
            <w:tcW w:w="10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Eloy Detention Center</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Medium</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Jun-28</w:t>
            </w:r>
          </w:p>
        </w:tc>
        <w:tc>
          <w:tcPr>
            <w:tcW w:w="220" w:type="dxa"/>
            <w:vAlign w:val="bottom"/>
          </w:tcPr>
          <w:p>
            <w:pPr>
              <w:spacing w:after="0"/>
              <w:rPr>
                <w:sz w:val="24"/>
                <w:szCs w:val="24"/>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Indefinite</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Eloy, Arizona</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La Palma Correctional Center</w:t>
            </w:r>
          </w:p>
        </w:tc>
        <w:tc>
          <w:tcPr>
            <w:tcW w:w="100" w:type="dxa"/>
            <w:vAlign w:val="bottom"/>
            <w:shd w:val="clear" w:color="auto" w:fill="CFF0FC"/>
          </w:tcPr>
          <w:p>
            <w:pPr>
              <w:spacing w:after="0"/>
              <w:rPr>
                <w:sz w:val="17"/>
                <w:szCs w:val="17"/>
                <w:color w:val="auto"/>
              </w:rPr>
            </w:pP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Arizona</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3,060</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Apr-27</w:t>
            </w:r>
          </w:p>
        </w:tc>
        <w:tc>
          <w:tcPr>
            <w:tcW w:w="2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6"/>
                <w:szCs w:val="16"/>
                <w:color w:val="auto"/>
                <w:w w:val="99"/>
              </w:rPr>
              <w:t>(1) 5 year</w:t>
            </w:r>
          </w:p>
        </w:tc>
        <w:tc>
          <w:tcPr>
            <w:tcW w:w="0" w:type="dxa"/>
            <w:vAlign w:val="bottom"/>
          </w:tcPr>
          <w:p>
            <w:pPr>
              <w:spacing w:after="0"/>
              <w:rPr>
                <w:sz w:val="1"/>
                <w:szCs w:val="1"/>
                <w:color w:val="auto"/>
              </w:rPr>
            </w:pPr>
          </w:p>
        </w:tc>
      </w:tr>
      <w:tr>
        <w:trPr>
          <w:trHeight w:val="202"/>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Eloy, Arizona</w:t>
            </w:r>
          </w:p>
        </w:tc>
        <w:tc>
          <w:tcPr>
            <w:tcW w:w="10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 Rock Correctional Center (D)</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 Arizona</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Medium</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Jul-26</w:t>
            </w:r>
          </w:p>
        </w:tc>
        <w:tc>
          <w:tcPr>
            <w:tcW w:w="220" w:type="dxa"/>
            <w:vAlign w:val="bottom"/>
          </w:tcPr>
          <w:p>
            <w:pPr>
              <w:spacing w:after="0"/>
              <w:rPr>
                <w:sz w:val="24"/>
                <w:szCs w:val="24"/>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(2) 5 year</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Eloy, Arizona</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Saguaro Correctional Facility</w:t>
            </w:r>
          </w:p>
        </w:tc>
        <w:tc>
          <w:tcPr>
            <w:tcW w:w="100" w:type="dxa"/>
            <w:vAlign w:val="bottom"/>
            <w:shd w:val="clear" w:color="auto" w:fill="CFF0FC"/>
          </w:tcPr>
          <w:p>
            <w:pPr>
              <w:spacing w:after="0"/>
              <w:rPr>
                <w:sz w:val="17"/>
                <w:szCs w:val="17"/>
                <w:color w:val="auto"/>
              </w:rPr>
            </w:pP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Hawaii</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Jul-25</w:t>
            </w:r>
          </w:p>
        </w:tc>
        <w:tc>
          <w:tcPr>
            <w:tcW w:w="2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6"/>
                <w:szCs w:val="16"/>
                <w:color w:val="auto"/>
                <w:w w:val="99"/>
              </w:rPr>
              <w:t>(1) 1 year</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Eloy, Arizona</w:t>
            </w:r>
          </w:p>
        </w:tc>
        <w:tc>
          <w:tcPr>
            <w:tcW w:w="10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Leo Chesney Correctional Center (E)</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Idled 2015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20" w:type="dxa"/>
            <w:vAlign w:val="bottom"/>
          </w:tcPr>
          <w:p>
            <w:pPr>
              <w:spacing w:after="0"/>
              <w:rPr>
                <w:sz w:val="24"/>
                <w:szCs w:val="24"/>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4"/>
                <w:szCs w:val="24"/>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4"/>
                <w:szCs w:val="24"/>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Live Oak, California</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Otay Mesa Detention Center</w:t>
            </w:r>
          </w:p>
        </w:tc>
        <w:tc>
          <w:tcPr>
            <w:tcW w:w="100" w:type="dxa"/>
            <w:vAlign w:val="bottom"/>
            <w:shd w:val="clear" w:color="auto" w:fill="CFF0FC"/>
          </w:tcPr>
          <w:p>
            <w:pPr>
              <w:spacing w:after="0"/>
              <w:rPr>
                <w:sz w:val="17"/>
                <w:szCs w:val="17"/>
                <w:color w:val="auto"/>
              </w:rPr>
            </w:pP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Minimum/</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Dec-29</w:t>
            </w:r>
          </w:p>
        </w:tc>
        <w:tc>
          <w:tcPr>
            <w:tcW w:w="2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6"/>
                <w:szCs w:val="16"/>
                <w:color w:val="auto"/>
                <w:w w:val="99"/>
              </w:rPr>
              <w:t>(1) 5 year</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San Diego, California</w:t>
            </w:r>
          </w:p>
        </w:tc>
        <w:tc>
          <w:tcPr>
            <w:tcW w:w="10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Medium</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Bent County Correctional Facility</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 Colorado</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Medium</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Jun-25</w:t>
            </w:r>
          </w:p>
        </w:tc>
        <w:tc>
          <w:tcPr>
            <w:tcW w:w="220" w:type="dxa"/>
            <w:vAlign w:val="bottom"/>
          </w:tcPr>
          <w:p>
            <w:pPr>
              <w:spacing w:after="0"/>
              <w:rPr>
                <w:sz w:val="24"/>
                <w:szCs w:val="24"/>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(1) 1 year</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Las Animas, Colorado</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Crowley County Correctional</w:t>
            </w:r>
          </w:p>
        </w:tc>
        <w:tc>
          <w:tcPr>
            <w:tcW w:w="100" w:type="dxa"/>
            <w:vAlign w:val="bottom"/>
            <w:shd w:val="clear" w:color="auto" w:fill="CFF0FC"/>
          </w:tcPr>
          <w:p>
            <w:pPr>
              <w:spacing w:after="0"/>
              <w:rPr>
                <w:sz w:val="16"/>
                <w:szCs w:val="16"/>
                <w:color w:val="auto"/>
              </w:rPr>
            </w:pPr>
          </w:p>
        </w:tc>
        <w:tc>
          <w:tcPr>
            <w:tcW w:w="2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Facility</w:t>
            </w:r>
          </w:p>
        </w:tc>
        <w:tc>
          <w:tcPr>
            <w:tcW w:w="100" w:type="dxa"/>
            <w:vAlign w:val="bottom"/>
            <w:shd w:val="clear" w:color="auto" w:fill="CFF0FC"/>
          </w:tcPr>
          <w:p>
            <w:pPr>
              <w:spacing w:after="0"/>
              <w:rPr>
                <w:sz w:val="18"/>
                <w:szCs w:val="18"/>
                <w:color w:val="auto"/>
              </w:rPr>
            </w:pP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Colorado</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Medium</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Jun-25</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6"/>
                <w:szCs w:val="16"/>
                <w:color w:val="auto"/>
                <w:w w:val="99"/>
              </w:rPr>
              <w:t>(1) 1 year</w:t>
            </w:r>
          </w:p>
        </w:tc>
        <w:tc>
          <w:tcPr>
            <w:tcW w:w="0" w:type="dxa"/>
            <w:vAlign w:val="bottom"/>
          </w:tcPr>
          <w:p>
            <w:pPr>
              <w:spacing w:after="0"/>
              <w:rPr>
                <w:sz w:val="1"/>
                <w:szCs w:val="1"/>
                <w:color w:val="auto"/>
              </w:rPr>
            </w:pPr>
          </w:p>
        </w:tc>
      </w:tr>
      <w:tr>
        <w:trPr>
          <w:trHeight w:val="208"/>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Olney Springs, Colorado</w:t>
            </w:r>
          </w:p>
        </w:tc>
        <w:tc>
          <w:tcPr>
            <w:tcW w:w="10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Huerfano County Correctional Center</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Idled 2010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Medium</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200" w:type="dxa"/>
            <w:vAlign w:val="bottom"/>
          </w:tcPr>
          <w:p>
            <w:pPr>
              <w:spacing w:after="0"/>
              <w:rPr>
                <w:sz w:val="24"/>
                <w:szCs w:val="24"/>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4"/>
                <w:szCs w:val="24"/>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Walsenburg, Colorado</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Kit Carson Correctional Center</w:t>
            </w:r>
          </w:p>
        </w:tc>
        <w:tc>
          <w:tcPr>
            <w:tcW w:w="100" w:type="dxa"/>
            <w:vAlign w:val="bottom"/>
            <w:shd w:val="clear" w:color="auto" w:fill="CFF0FC"/>
          </w:tcPr>
          <w:p>
            <w:pPr>
              <w:spacing w:after="0"/>
              <w:rPr>
                <w:sz w:val="17"/>
                <w:szCs w:val="17"/>
                <w:color w:val="auto"/>
              </w:rPr>
            </w:pP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Idled 2016</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Medium</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Burlington, Colorado</w:t>
            </w:r>
          </w:p>
        </w:tc>
        <w:tc>
          <w:tcPr>
            <w:tcW w:w="10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Coffee Correctional Facility (F)</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 Georgia</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Medium</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Jun-25</w:t>
            </w:r>
          </w:p>
        </w:tc>
        <w:tc>
          <w:tcPr>
            <w:tcW w:w="220" w:type="dxa"/>
            <w:vAlign w:val="bottom"/>
          </w:tcPr>
          <w:p>
            <w:pPr>
              <w:spacing w:after="0"/>
              <w:rPr>
                <w:sz w:val="24"/>
                <w:szCs w:val="24"/>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(9) 1 year</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Nicholls, Georgia</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Jenkins Correctional Center (F)</w:t>
            </w:r>
          </w:p>
        </w:tc>
        <w:tc>
          <w:tcPr>
            <w:tcW w:w="100" w:type="dxa"/>
            <w:vAlign w:val="bottom"/>
            <w:shd w:val="clear" w:color="auto" w:fill="CFF0FC"/>
          </w:tcPr>
          <w:p>
            <w:pPr>
              <w:spacing w:after="0"/>
              <w:rPr>
                <w:sz w:val="17"/>
                <w:szCs w:val="17"/>
                <w:color w:val="auto"/>
              </w:rPr>
            </w:pP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Georgia</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Medium</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Jun-25</w:t>
            </w:r>
          </w:p>
        </w:tc>
        <w:tc>
          <w:tcPr>
            <w:tcW w:w="2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6"/>
                <w:szCs w:val="16"/>
                <w:color w:val="auto"/>
                <w:w w:val="99"/>
              </w:rPr>
              <w:t>(10) 1 year</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Millen, Georgia</w:t>
            </w:r>
          </w:p>
        </w:tc>
        <w:tc>
          <w:tcPr>
            <w:tcW w:w="10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Stewart Detention Center</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Medium</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c>
          <w:tcPr>
            <w:tcW w:w="220" w:type="dxa"/>
            <w:vAlign w:val="bottom"/>
          </w:tcPr>
          <w:p>
            <w:pPr>
              <w:spacing w:after="0"/>
              <w:rPr>
                <w:sz w:val="24"/>
                <w:szCs w:val="24"/>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Lumpkin, Georgia</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Wheeler Correctional Facility (F)</w:t>
            </w:r>
          </w:p>
        </w:tc>
        <w:tc>
          <w:tcPr>
            <w:tcW w:w="100" w:type="dxa"/>
            <w:vAlign w:val="bottom"/>
            <w:shd w:val="clear" w:color="auto" w:fill="CFF0FC"/>
          </w:tcPr>
          <w:p>
            <w:pPr>
              <w:spacing w:after="0"/>
              <w:rPr>
                <w:sz w:val="17"/>
                <w:szCs w:val="17"/>
                <w:color w:val="auto"/>
              </w:rPr>
            </w:pP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Georgia</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Medium</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Jun-25</w:t>
            </w:r>
          </w:p>
        </w:tc>
        <w:tc>
          <w:tcPr>
            <w:tcW w:w="2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6"/>
                <w:szCs w:val="16"/>
                <w:color w:val="auto"/>
                <w:w w:val="99"/>
              </w:rPr>
              <w:t>(9) 1 year</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Alamo, Georgia</w:t>
            </w:r>
          </w:p>
        </w:tc>
        <w:tc>
          <w:tcPr>
            <w:tcW w:w="10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Midwest Regional Reception Center</w:t>
            </w: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Idled 2021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200" w:type="dxa"/>
            <w:vAlign w:val="bottom"/>
          </w:tcPr>
          <w:p>
            <w:pPr>
              <w:spacing w:after="0"/>
              <w:rPr>
                <w:sz w:val="24"/>
                <w:szCs w:val="24"/>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4"/>
                <w:szCs w:val="24"/>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Leavenworth, Kansas</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Design</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 Type</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46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80" w:type="dxa"/>
            <w:vAlign w:val="bottom"/>
          </w:tcPr>
          <w:p>
            <w:pPr>
              <w:spacing w:after="0"/>
              <w:rPr>
                <w:sz w:val="12"/>
                <w:szCs w:val="12"/>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Customer</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8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Level</w:t>
            </w: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Renewal Options</w:t>
            </w:r>
          </w:p>
        </w:tc>
        <w:tc>
          <w:tcPr>
            <w:tcW w:w="0" w:type="dxa"/>
            <w:vAlign w:val="bottom"/>
          </w:tcPr>
          <w:p>
            <w:pPr>
              <w:spacing w:after="0"/>
              <w:rPr>
                <w:sz w:val="1"/>
                <w:szCs w:val="1"/>
                <w:color w:val="auto"/>
              </w:rPr>
            </w:pPr>
          </w:p>
        </w:tc>
      </w:tr>
      <w:tr>
        <w:trPr>
          <w:trHeight w:val="173"/>
        </w:trPr>
        <w:tc>
          <w:tcPr>
            <w:tcW w:w="3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96"/>
        </w:trPr>
        <w:tc>
          <w:tcPr>
            <w:tcW w:w="34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Lee Adjustment Center</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Commonwealth of</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Jun-25</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(3) 2 year</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Beattyville, Kentucky</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Kentucky</w:t>
            </w: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Marion Adjustment Center</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Idled 2013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Minimum/</w:t>
            </w:r>
          </w:p>
        </w:tc>
        <w:tc>
          <w:tcPr>
            <w:tcW w:w="1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60" w:type="dxa"/>
            <w:vAlign w:val="bottom"/>
          </w:tcPr>
          <w:p>
            <w:pPr>
              <w:spacing w:after="0"/>
              <w:rPr>
                <w:sz w:val="24"/>
                <w:szCs w:val="24"/>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 Mary, Kentucky</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Medium</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Prairie Correctional Facility</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Idled 2010</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Medium</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Appleton, Minnesota</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Adams County Correctional Center</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Medium</w:t>
            </w:r>
          </w:p>
        </w:tc>
        <w:tc>
          <w:tcPr>
            <w:tcW w:w="1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Feb-25</w:t>
            </w:r>
          </w:p>
        </w:tc>
        <w:tc>
          <w:tcPr>
            <w:tcW w:w="2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Adams County, Mississippi</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Tallahatchie County Correctional</w:t>
            </w:r>
          </w:p>
        </w:tc>
        <w:tc>
          <w:tcPr>
            <w:tcW w:w="80" w:type="dxa"/>
            <w:vAlign w:val="bottom"/>
            <w:shd w:val="clear" w:color="auto" w:fill="CFF0FC"/>
          </w:tcPr>
          <w:p>
            <w:pPr>
              <w:spacing w:after="0"/>
              <w:rPr>
                <w:sz w:val="16"/>
                <w:szCs w:val="16"/>
                <w:color w:val="auto"/>
              </w:rPr>
            </w:pPr>
          </w:p>
        </w:tc>
        <w:tc>
          <w:tcPr>
            <w:tcW w:w="19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Facility (G)</w:t>
            </w:r>
          </w:p>
        </w:tc>
        <w:tc>
          <w:tcPr>
            <w:tcW w:w="80" w:type="dxa"/>
            <w:vAlign w:val="bottom"/>
            <w:shd w:val="clear" w:color="auto" w:fill="CFF0FC"/>
          </w:tcPr>
          <w:p>
            <w:pPr>
              <w:spacing w:after="0"/>
              <w:rPr>
                <w:sz w:val="18"/>
                <w:szCs w:val="18"/>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USMS</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Jun-26</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r>
        <w:trPr>
          <w:trHeight w:val="208"/>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Tutwiler, Mississippi</w:t>
            </w:r>
          </w:p>
        </w:tc>
        <w:tc>
          <w:tcPr>
            <w:tcW w:w="8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Crossroads Correctional Center (H)</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 Montana</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1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Jun-25</w:t>
            </w:r>
          </w:p>
        </w:tc>
        <w:tc>
          <w:tcPr>
            <w:tcW w:w="2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(2) 2 year</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Shelby, Montana</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Nevada Southern Detention Center</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USMS</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Medium</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Oct-25</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(1) 5 year</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Pahrump, Nevada</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Elizabeth Detention Center</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Minimum</w:t>
            </w:r>
          </w:p>
        </w:tc>
        <w:tc>
          <w:tcPr>
            <w:tcW w:w="1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Feb-25</w:t>
            </w:r>
          </w:p>
        </w:tc>
        <w:tc>
          <w:tcPr>
            <w:tcW w:w="20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Elizabeth, New Jersey</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Cibola County Corrections Center</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USMS</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Medium</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Milan, New Mexico</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Torrance County Detention Facility</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1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Mar-25</w:t>
            </w:r>
          </w:p>
        </w:tc>
        <w:tc>
          <w:tcPr>
            <w:tcW w:w="2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Estancia, New Mexico</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Lake Erie Correctional</w:t>
            </w:r>
          </w:p>
        </w:tc>
        <w:tc>
          <w:tcPr>
            <w:tcW w:w="80" w:type="dxa"/>
            <w:vAlign w:val="bottom"/>
            <w:shd w:val="clear" w:color="auto" w:fill="CFF0FC"/>
          </w:tcPr>
          <w:p>
            <w:pPr>
              <w:spacing w:after="0"/>
              <w:rPr>
                <w:sz w:val="16"/>
                <w:szCs w:val="16"/>
                <w:color w:val="auto"/>
              </w:rPr>
            </w:pPr>
          </w:p>
        </w:tc>
        <w:tc>
          <w:tcPr>
            <w:tcW w:w="19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Institution (I)</w:t>
            </w:r>
          </w:p>
        </w:tc>
        <w:tc>
          <w:tcPr>
            <w:tcW w:w="80" w:type="dxa"/>
            <w:vAlign w:val="bottom"/>
            <w:shd w:val="clear" w:color="auto" w:fill="CFF0FC"/>
          </w:tcPr>
          <w:p>
            <w:pPr>
              <w:spacing w:after="0"/>
              <w:rPr>
                <w:sz w:val="18"/>
                <w:szCs w:val="18"/>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Ohio</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Medium</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Jun-32</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r>
        <w:trPr>
          <w:trHeight w:val="209"/>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Conneaut, Ohio</w:t>
            </w:r>
          </w:p>
        </w:tc>
        <w:tc>
          <w:tcPr>
            <w:tcW w:w="8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Northeast Ohio Correctional Center</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USMS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Medium</w:t>
            </w:r>
          </w:p>
        </w:tc>
        <w:tc>
          <w:tcPr>
            <w:tcW w:w="1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May-27</w:t>
            </w:r>
          </w:p>
        </w:tc>
        <w:tc>
          <w:tcPr>
            <w:tcW w:w="2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Youngstown, Ohio</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Cimarron Correctional Facility</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USMS</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Sep-25</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Cushing, Oklahoma</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Diamondback Correctional Facility</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Idled 2010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1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60" w:type="dxa"/>
            <w:vAlign w:val="bottom"/>
          </w:tcPr>
          <w:p>
            <w:pPr>
              <w:spacing w:after="0"/>
              <w:rPr>
                <w:sz w:val="24"/>
                <w:szCs w:val="24"/>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Watonga, Oklahoma</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Trousdale Turner Correctional Center</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State of Tennessee</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2,552</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Jun-26</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Hartsville, Tennessee</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West Tennessee Detention Facility</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Idled 2021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Multi</w:t>
            </w:r>
          </w:p>
        </w:tc>
        <w:tc>
          <w:tcPr>
            <w:tcW w:w="1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Detention</w:t>
            </w:r>
          </w:p>
        </w:tc>
        <w:tc>
          <w:tcPr>
            <w:tcW w:w="160" w:type="dxa"/>
            <w:vAlign w:val="bottom"/>
          </w:tcPr>
          <w:p>
            <w:pPr>
              <w:spacing w:after="0"/>
              <w:rPr>
                <w:sz w:val="24"/>
                <w:szCs w:val="24"/>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Mason, Tennessee</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Whiteville Correctional Facility (J)</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State of Tennessee</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Medium</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Correctional</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Jun-26</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Whiteville, Tennessee</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22" w:name="page23"/>
    <w:bookmarkEnd w:id="22"/>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Design</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 Type</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42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100" w:type="dxa"/>
            <w:vAlign w:val="bottom"/>
          </w:tcPr>
          <w:p>
            <w:pPr>
              <w:spacing w:after="0"/>
              <w:rPr>
                <w:sz w:val="12"/>
                <w:szCs w:val="12"/>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Customer</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2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Level</w:t>
            </w: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8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Renewal Options</w:t>
            </w:r>
          </w:p>
        </w:tc>
        <w:tc>
          <w:tcPr>
            <w:tcW w:w="0" w:type="dxa"/>
            <w:vAlign w:val="bottom"/>
          </w:tcPr>
          <w:p>
            <w:pPr>
              <w:spacing w:after="0"/>
              <w:rPr>
                <w:sz w:val="1"/>
                <w:szCs w:val="1"/>
                <w:color w:val="auto"/>
              </w:rPr>
            </w:pPr>
          </w:p>
        </w:tc>
      </w:tr>
      <w:tr>
        <w:trPr>
          <w:trHeight w:val="173"/>
        </w:trPr>
        <w:tc>
          <w:tcPr>
            <w:tcW w:w="34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2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w:t>
            </w:r>
          </w:p>
        </w:tc>
        <w:tc>
          <w:tcPr>
            <w:tcW w:w="18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Eden Detention Center</w:t>
            </w: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USMS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2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1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Detention</w:t>
            </w:r>
          </w:p>
        </w:tc>
        <w:tc>
          <w:tcPr>
            <w:tcW w:w="1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8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Eden, Texas</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Houston Processing Center</w:t>
            </w:r>
          </w:p>
        </w:tc>
        <w:tc>
          <w:tcPr>
            <w:tcW w:w="10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Detention</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Aug-25</w:t>
            </w:r>
          </w:p>
        </w:tc>
        <w:tc>
          <w:tcPr>
            <w:tcW w:w="1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(5) 1 year</w:t>
            </w: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Houston, Texas</w:t>
            </w:r>
          </w:p>
        </w:tc>
        <w:tc>
          <w:tcPr>
            <w:tcW w:w="10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Laredo Processing Center</w:t>
            </w: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Minimum/</w:t>
            </w:r>
          </w:p>
        </w:tc>
        <w:tc>
          <w:tcPr>
            <w:tcW w:w="1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Detention</w:t>
            </w:r>
          </w:p>
        </w:tc>
        <w:tc>
          <w:tcPr>
            <w:tcW w:w="1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Mar-25</w:t>
            </w:r>
          </w:p>
        </w:tc>
        <w:tc>
          <w:tcPr>
            <w:tcW w:w="18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Indefinite</w:t>
            </w: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Laredo, Texas</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 Don Hutto Residential Center</w:t>
            </w:r>
          </w:p>
        </w:tc>
        <w:tc>
          <w:tcPr>
            <w:tcW w:w="10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Detention</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Jul-25</w:t>
            </w:r>
          </w:p>
        </w:tc>
        <w:tc>
          <w:tcPr>
            <w:tcW w:w="1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w w:val="99"/>
              </w:rPr>
              <w:t>(5) 1 year</w:t>
            </w: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Taylor, Texas</w:t>
            </w:r>
          </w:p>
        </w:tc>
        <w:tc>
          <w:tcPr>
            <w:tcW w:w="10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Webb County Detention Center</w:t>
            </w: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ICE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2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Medium</w:t>
            </w:r>
          </w:p>
        </w:tc>
        <w:tc>
          <w:tcPr>
            <w:tcW w:w="1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Detention</w:t>
            </w:r>
          </w:p>
        </w:tc>
        <w:tc>
          <w:tcPr>
            <w:tcW w:w="1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Feb-29</w:t>
            </w:r>
          </w:p>
        </w:tc>
        <w:tc>
          <w:tcPr>
            <w:tcW w:w="18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Indefinite</w:t>
            </w: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Laredo, Texas</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Safety - Managed Only:</w:t>
            </w:r>
          </w:p>
        </w:tc>
        <w:tc>
          <w:tcPr>
            <w:tcW w:w="2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Citrus County Detention Facility</w:t>
            </w: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Citrus County, FL</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2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Multi</w:t>
            </w: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Detention</w:t>
            </w:r>
          </w:p>
        </w:tc>
        <w:tc>
          <w:tcPr>
            <w:tcW w:w="10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Sep-30</w:t>
            </w:r>
          </w:p>
        </w:tc>
        <w:tc>
          <w:tcPr>
            <w:tcW w:w="13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(2) 5 year</w:t>
            </w: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Lecanto, Florida</w:t>
            </w:r>
          </w:p>
        </w:tc>
        <w:tc>
          <w:tcPr>
            <w:tcW w:w="2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Lake City Correctional Facility</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 Florida</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2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Medium</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Correctional</w:t>
            </w:r>
          </w:p>
        </w:tc>
        <w:tc>
          <w:tcPr>
            <w:tcW w:w="1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Jun-26</w:t>
            </w:r>
          </w:p>
        </w:tc>
        <w:tc>
          <w:tcPr>
            <w:tcW w:w="1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Lake City, Florida</w:t>
            </w:r>
          </w:p>
        </w:tc>
        <w:tc>
          <w:tcPr>
            <w:tcW w:w="2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Hardeman County Correctional</w:t>
            </w:r>
          </w:p>
        </w:tc>
        <w:tc>
          <w:tcPr>
            <w:tcW w:w="2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Facility</w:t>
            </w: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State of Tennessee</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220" w:type="dxa"/>
            <w:vAlign w:val="bottom"/>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Medium</w:t>
            </w: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Correctional</w:t>
            </w:r>
          </w:p>
        </w:tc>
        <w:tc>
          <w:tcPr>
            <w:tcW w:w="10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Jun-29</w:t>
            </w:r>
          </w:p>
        </w:tc>
        <w:tc>
          <w:tcPr>
            <w:tcW w:w="13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Whiteville, Tennessee</w:t>
            </w:r>
          </w:p>
        </w:tc>
        <w:tc>
          <w:tcPr>
            <w:tcW w:w="2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 Central Correctional Center</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State of Tennessee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12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Medium</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Correctional</w:t>
            </w:r>
          </w:p>
        </w:tc>
        <w:tc>
          <w:tcPr>
            <w:tcW w:w="1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Jun-25</w:t>
            </w:r>
          </w:p>
        </w:tc>
        <w:tc>
          <w:tcPr>
            <w:tcW w:w="130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Clifton, Tennessee</w:t>
            </w:r>
          </w:p>
        </w:tc>
        <w:tc>
          <w:tcPr>
            <w:tcW w:w="2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design capacity for CoreCivic</w:t>
            </w:r>
          </w:p>
        </w:tc>
        <w:tc>
          <w:tcPr>
            <w:tcW w:w="21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20" w:type="dxa"/>
            <w:vAlign w:val="bottom"/>
            <w:vMerge w:val="continue"/>
          </w:tcPr>
          <w:p>
            <w:pPr>
              <w:spacing w:after="0"/>
              <w:rPr>
                <w:sz w:val="15"/>
                <w:szCs w:val="15"/>
                <w:color w:val="auto"/>
              </w:rPr>
            </w:pPr>
          </w:p>
        </w:tc>
        <w:tc>
          <w:tcPr>
            <w:tcW w:w="2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62,329</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Safety Facilities</w:t>
            </w:r>
          </w:p>
        </w:tc>
        <w:tc>
          <w:tcPr>
            <w:tcW w:w="2160" w:type="dxa"/>
            <w:vAlign w:val="bottom"/>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Design</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 Type</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46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80" w:type="dxa"/>
            <w:vAlign w:val="bottom"/>
          </w:tcPr>
          <w:p>
            <w:pPr>
              <w:spacing w:after="0"/>
              <w:rPr>
                <w:sz w:val="12"/>
                <w:szCs w:val="12"/>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Customer</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80" w:type="dxa"/>
            <w:vAlign w:val="bottom"/>
          </w:tcPr>
          <w:p>
            <w:pPr>
              <w:spacing w:after="0"/>
              <w:rPr>
                <w:sz w:val="12"/>
                <w:szCs w:val="12"/>
                <w:color w:val="auto"/>
              </w:rPr>
            </w:pP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Security Level</w:t>
            </w: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Renewal Options</w:t>
            </w:r>
          </w:p>
        </w:tc>
        <w:tc>
          <w:tcPr>
            <w:tcW w:w="0" w:type="dxa"/>
            <w:vAlign w:val="bottom"/>
          </w:tcPr>
          <w:p>
            <w:pPr>
              <w:spacing w:after="0"/>
              <w:rPr>
                <w:sz w:val="1"/>
                <w:szCs w:val="1"/>
                <w:color w:val="auto"/>
              </w:rPr>
            </w:pPr>
          </w:p>
        </w:tc>
      </w:tr>
      <w:tr>
        <w:trPr>
          <w:trHeight w:val="173"/>
        </w:trPr>
        <w:tc>
          <w:tcPr>
            <w:tcW w:w="3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96"/>
        </w:trPr>
        <w:tc>
          <w:tcPr>
            <w:tcW w:w="34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CoreCivic Community Facilities:</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CAI Boston Avenue</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 California</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80" w:type="dxa"/>
            <w:vAlign w:val="bottom"/>
          </w:tcPr>
          <w:p>
            <w:pPr>
              <w:spacing w:after="0"/>
              <w:rPr>
                <w:sz w:val="24"/>
                <w:szCs w:val="24"/>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Jun-33</w:t>
            </w:r>
          </w:p>
        </w:tc>
        <w:tc>
          <w:tcPr>
            <w:tcW w:w="20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San Diego, California</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CAI Ocean View</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BOP</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Aug-25</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(1) 1 year</w:t>
            </w:r>
          </w:p>
        </w:tc>
        <w:tc>
          <w:tcPr>
            <w:tcW w:w="0" w:type="dxa"/>
            <w:vAlign w:val="bottom"/>
          </w:tcPr>
          <w:p>
            <w:pPr>
              <w:spacing w:after="0"/>
              <w:rPr>
                <w:sz w:val="1"/>
                <w:szCs w:val="1"/>
                <w:color w:val="auto"/>
              </w:rPr>
            </w:pPr>
          </w:p>
        </w:tc>
      </w:tr>
      <w:tr>
        <w:trPr>
          <w:trHeight w:val="202"/>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San Diego, California</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Adams Transitional Center</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Adams County</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80" w:type="dxa"/>
            <w:vAlign w:val="bottom"/>
          </w:tcPr>
          <w:p>
            <w:pPr>
              <w:spacing w:after="0"/>
              <w:rPr>
                <w:sz w:val="24"/>
                <w:szCs w:val="24"/>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Jun-25</w:t>
            </w:r>
          </w:p>
        </w:tc>
        <w:tc>
          <w:tcPr>
            <w:tcW w:w="2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Denver, Colorado</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Arapahoe Community Treatment</w:t>
            </w:r>
          </w:p>
        </w:tc>
        <w:tc>
          <w:tcPr>
            <w:tcW w:w="80" w:type="dxa"/>
            <w:vAlign w:val="bottom"/>
            <w:shd w:val="clear" w:color="auto" w:fill="CFF0FC"/>
          </w:tcPr>
          <w:p>
            <w:pPr>
              <w:spacing w:after="0"/>
              <w:rPr>
                <w:sz w:val="16"/>
                <w:szCs w:val="16"/>
                <w:color w:val="auto"/>
              </w:rPr>
            </w:pPr>
          </w:p>
        </w:tc>
        <w:tc>
          <w:tcPr>
            <w:tcW w:w="19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Center</w:t>
            </w:r>
          </w:p>
        </w:tc>
        <w:tc>
          <w:tcPr>
            <w:tcW w:w="80" w:type="dxa"/>
            <w:vAlign w:val="bottom"/>
            <w:shd w:val="clear" w:color="auto" w:fill="CFF0FC"/>
          </w:tcPr>
          <w:p>
            <w:pPr>
              <w:spacing w:after="0"/>
              <w:rPr>
                <w:sz w:val="18"/>
                <w:szCs w:val="18"/>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Arapahoe County</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Jun-25</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Englewood, Colorado</w:t>
            </w:r>
          </w:p>
        </w:tc>
        <w:tc>
          <w:tcPr>
            <w:tcW w:w="8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Centennial Community Transition</w:t>
            </w: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Center</w:t>
            </w:r>
          </w:p>
        </w:tc>
        <w:tc>
          <w:tcPr>
            <w:tcW w:w="8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Arapahoe County</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80" w:type="dxa"/>
            <w:vAlign w:val="bottom"/>
          </w:tcPr>
          <w:p>
            <w:pPr>
              <w:spacing w:after="0"/>
              <w:rPr>
                <w:sz w:val="17"/>
                <w:szCs w:val="17"/>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Jun-25</w:t>
            </w:r>
          </w:p>
        </w:tc>
        <w:tc>
          <w:tcPr>
            <w:tcW w:w="200" w:type="dxa"/>
            <w:vAlign w:val="bottom"/>
          </w:tcPr>
          <w:p>
            <w:pPr>
              <w:spacing w:after="0"/>
              <w:rPr>
                <w:sz w:val="17"/>
                <w:szCs w:val="17"/>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Englewood, Colorado</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Columbine Facility</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Idled 2020</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Denver, Colorado</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Commerce Transitional Center</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Adams County</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80" w:type="dxa"/>
            <w:vAlign w:val="bottom"/>
          </w:tcPr>
          <w:p>
            <w:pPr>
              <w:spacing w:after="0"/>
              <w:rPr>
                <w:sz w:val="24"/>
                <w:szCs w:val="24"/>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Jun-25</w:t>
            </w:r>
          </w:p>
        </w:tc>
        <w:tc>
          <w:tcPr>
            <w:tcW w:w="2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Indefinite</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Commerce City, Colorado</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Longmont Community Treatment</w:t>
            </w:r>
          </w:p>
        </w:tc>
        <w:tc>
          <w:tcPr>
            <w:tcW w:w="80" w:type="dxa"/>
            <w:vAlign w:val="bottom"/>
            <w:shd w:val="clear" w:color="auto" w:fill="CFF0FC"/>
          </w:tcPr>
          <w:p>
            <w:pPr>
              <w:spacing w:after="0"/>
              <w:rPr>
                <w:sz w:val="16"/>
                <w:szCs w:val="16"/>
                <w:color w:val="auto"/>
              </w:rPr>
            </w:pPr>
          </w:p>
        </w:tc>
        <w:tc>
          <w:tcPr>
            <w:tcW w:w="19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Center</w:t>
            </w:r>
          </w:p>
        </w:tc>
        <w:tc>
          <w:tcPr>
            <w:tcW w:w="80" w:type="dxa"/>
            <w:vAlign w:val="bottom"/>
            <w:shd w:val="clear" w:color="auto" w:fill="CFF0FC"/>
          </w:tcPr>
          <w:p>
            <w:pPr>
              <w:spacing w:after="0"/>
              <w:rPr>
                <w:sz w:val="18"/>
                <w:szCs w:val="18"/>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Boulder County</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Jun-25</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Longmont, Colorado</w:t>
            </w:r>
          </w:p>
        </w:tc>
        <w:tc>
          <w:tcPr>
            <w:tcW w:w="8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 Raleigh Reentry Center</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BOP</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80" w:type="dxa"/>
            <w:vAlign w:val="bottom"/>
          </w:tcPr>
          <w:p>
            <w:pPr>
              <w:spacing w:after="0"/>
              <w:rPr>
                <w:sz w:val="24"/>
                <w:szCs w:val="24"/>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Sep-25</w:t>
            </w:r>
          </w:p>
        </w:tc>
        <w:tc>
          <w:tcPr>
            <w:tcW w:w="2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(2) 1 year</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Raleigh, North Carolina</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Oklahoma Reentry Opportunity</w:t>
            </w:r>
          </w:p>
        </w:tc>
        <w:tc>
          <w:tcPr>
            <w:tcW w:w="80" w:type="dxa"/>
            <w:vAlign w:val="bottom"/>
            <w:shd w:val="clear" w:color="auto" w:fill="CFF0FC"/>
          </w:tcPr>
          <w:p>
            <w:pPr>
              <w:spacing w:after="0"/>
              <w:rPr>
                <w:sz w:val="16"/>
                <w:szCs w:val="16"/>
                <w:color w:val="auto"/>
              </w:rPr>
            </w:pPr>
          </w:p>
        </w:tc>
        <w:tc>
          <w:tcPr>
            <w:tcW w:w="19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Center</w:t>
            </w:r>
          </w:p>
        </w:tc>
        <w:tc>
          <w:tcPr>
            <w:tcW w:w="80" w:type="dxa"/>
            <w:vAlign w:val="bottom"/>
            <w:shd w:val="clear" w:color="auto" w:fill="CFF0FC"/>
          </w:tcPr>
          <w:p>
            <w:pPr>
              <w:spacing w:after="0"/>
              <w:rPr>
                <w:sz w:val="18"/>
                <w:szCs w:val="18"/>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BOP</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Jan-26</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Oklahoma City, Oklahoma</w:t>
            </w:r>
          </w:p>
        </w:tc>
        <w:tc>
          <w:tcPr>
            <w:tcW w:w="8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Turley Residential Center</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BOP</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80" w:type="dxa"/>
            <w:vAlign w:val="bottom"/>
          </w:tcPr>
          <w:p>
            <w:pPr>
              <w:spacing w:after="0"/>
              <w:rPr>
                <w:sz w:val="24"/>
                <w:szCs w:val="24"/>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Jan-26</w:t>
            </w:r>
          </w:p>
        </w:tc>
        <w:tc>
          <w:tcPr>
            <w:tcW w:w="20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Tulsa, Oklahoma</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Austin Residential Reentry Center</w:t>
            </w:r>
          </w:p>
        </w:tc>
        <w:tc>
          <w:tcPr>
            <w:tcW w:w="80" w:type="dxa"/>
            <w:vAlign w:val="bottom"/>
            <w:shd w:val="clear" w:color="auto" w:fill="CFF0FC"/>
          </w:tcPr>
          <w:p>
            <w:pPr>
              <w:spacing w:after="0"/>
              <w:rPr>
                <w:sz w:val="24"/>
                <w:szCs w:val="24"/>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BOP</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80" w:type="dxa"/>
            <w:vAlign w:val="bottom"/>
            <w:shd w:val="clear" w:color="auto" w:fill="CFF0FC"/>
          </w:tcPr>
          <w:p>
            <w:pPr>
              <w:spacing w:after="0"/>
              <w:rPr>
                <w:sz w:val="24"/>
                <w:szCs w:val="24"/>
                <w:color w:val="auto"/>
              </w:rPr>
            </w:pP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4"/>
                <w:szCs w:val="24"/>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60" w:type="dxa"/>
            <w:vAlign w:val="bottom"/>
            <w:shd w:val="clear" w:color="auto" w:fill="CFF0FC"/>
          </w:tcPr>
          <w:p>
            <w:pPr>
              <w:spacing w:after="0"/>
              <w:rPr>
                <w:sz w:val="24"/>
                <w:szCs w:val="24"/>
                <w:color w:val="auto"/>
              </w:rPr>
            </w:pP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Feb-26</w:t>
            </w:r>
          </w:p>
        </w:tc>
        <w:tc>
          <w:tcPr>
            <w:tcW w:w="200" w:type="dxa"/>
            <w:vAlign w:val="bottom"/>
            <w:shd w:val="clear" w:color="auto" w:fill="CFF0FC"/>
          </w:tcPr>
          <w:p>
            <w:pPr>
              <w:spacing w:after="0"/>
              <w:rPr>
                <w:sz w:val="24"/>
                <w:szCs w:val="24"/>
                <w:color w:val="auto"/>
              </w:rPr>
            </w:pPr>
          </w:p>
        </w:tc>
        <w:tc>
          <w:tcPr>
            <w:tcW w:w="12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(4) 1 year</w:t>
            </w:r>
          </w:p>
        </w:tc>
        <w:tc>
          <w:tcPr>
            <w:tcW w:w="0" w:type="dxa"/>
            <w:vAlign w:val="bottom"/>
          </w:tcPr>
          <w:p>
            <w:pPr>
              <w:spacing w:after="0"/>
              <w:rPr>
                <w:sz w:val="1"/>
                <w:szCs w:val="1"/>
                <w:color w:val="auto"/>
              </w:rPr>
            </w:pPr>
          </w:p>
        </w:tc>
      </w:tr>
      <w:tr>
        <w:trPr>
          <w:trHeight w:val="209"/>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Del Valle, Texas</w:t>
            </w:r>
          </w:p>
        </w:tc>
        <w:tc>
          <w:tcPr>
            <w:tcW w:w="8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Austin Transitional Center</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 Texas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80" w:type="dxa"/>
            <w:vAlign w:val="bottom"/>
          </w:tcPr>
          <w:p>
            <w:pPr>
              <w:spacing w:after="0"/>
              <w:rPr>
                <w:sz w:val="24"/>
                <w:szCs w:val="24"/>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Aug-25</w:t>
            </w:r>
          </w:p>
        </w:tc>
        <w:tc>
          <w:tcPr>
            <w:tcW w:w="2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(3) 1 year</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 Valle, Texas</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Corpus Christi Transitional Center</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Texas</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Aug-25</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(1) 2 year</w:t>
            </w:r>
          </w:p>
        </w:tc>
        <w:tc>
          <w:tcPr>
            <w:tcW w:w="0" w:type="dxa"/>
            <w:vAlign w:val="bottom"/>
          </w:tcPr>
          <w:p>
            <w:pPr>
              <w:spacing w:after="0"/>
              <w:rPr>
                <w:sz w:val="1"/>
                <w:szCs w:val="1"/>
                <w:color w:val="auto"/>
              </w:rPr>
            </w:pPr>
          </w:p>
        </w:tc>
      </w:tr>
      <w:tr>
        <w:trPr>
          <w:trHeight w:val="202"/>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Corpus Christi, Texas</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594"/>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Dallas Transitional Center</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 Texas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80" w:type="dxa"/>
            <w:vAlign w:val="bottom"/>
          </w:tcPr>
          <w:p>
            <w:pPr>
              <w:spacing w:after="0"/>
              <w:rPr>
                <w:sz w:val="24"/>
                <w:szCs w:val="24"/>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Aug-25</w:t>
            </w:r>
          </w:p>
        </w:tc>
        <w:tc>
          <w:tcPr>
            <w:tcW w:w="2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(3) 1 year</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Hutchins, Texas</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El Paso Multi-Use Facility</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Texas</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Aug-25</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(3) 1 year</w:t>
            </w:r>
          </w:p>
        </w:tc>
        <w:tc>
          <w:tcPr>
            <w:tcW w:w="0" w:type="dxa"/>
            <w:vAlign w:val="bottom"/>
          </w:tcPr>
          <w:p>
            <w:pPr>
              <w:spacing w:after="0"/>
              <w:rPr>
                <w:sz w:val="1"/>
                <w:szCs w:val="1"/>
                <w:color w:val="auto"/>
              </w:rPr>
            </w:pPr>
          </w:p>
        </w:tc>
      </w:tr>
      <w:tr>
        <w:trPr>
          <w:trHeight w:val="202"/>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El Paso, Texas</w:t>
            </w:r>
          </w:p>
        </w:tc>
        <w:tc>
          <w:tcPr>
            <w:tcW w:w="8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24" w:name="page25"/>
    <w:bookmarkEnd w:id="24"/>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Design</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 Type</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44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100" w:type="dxa"/>
            <w:vAlign w:val="bottom"/>
          </w:tcPr>
          <w:p>
            <w:pPr>
              <w:spacing w:after="0"/>
              <w:rPr>
                <w:sz w:val="12"/>
                <w:szCs w:val="12"/>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Customer</w:t>
            </w:r>
          </w:p>
        </w:tc>
        <w:tc>
          <w:tcPr>
            <w:tcW w:w="10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Security Level</w:t>
            </w: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6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Renewal Options</w:t>
            </w:r>
          </w:p>
        </w:tc>
        <w:tc>
          <w:tcPr>
            <w:tcW w:w="0" w:type="dxa"/>
            <w:vAlign w:val="bottom"/>
          </w:tcPr>
          <w:p>
            <w:pPr>
              <w:spacing w:after="0"/>
              <w:rPr>
                <w:sz w:val="1"/>
                <w:szCs w:val="1"/>
                <w:color w:val="auto"/>
              </w:rPr>
            </w:pPr>
          </w:p>
        </w:tc>
      </w:tr>
      <w:tr>
        <w:trPr>
          <w:trHeight w:val="173"/>
        </w:trPr>
        <w:tc>
          <w:tcPr>
            <w:tcW w:w="34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18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6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 Paso Transitional Center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 Texas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Aug-25</w:t>
            </w:r>
          </w:p>
        </w:tc>
        <w:tc>
          <w:tcPr>
            <w:tcW w:w="16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(3) 1 year</w:t>
            </w:r>
          </w:p>
        </w:tc>
        <w:tc>
          <w:tcPr>
            <w:tcW w:w="0" w:type="dxa"/>
            <w:vAlign w:val="bottom"/>
          </w:tcPr>
          <w:p>
            <w:pPr>
              <w:spacing w:after="0"/>
              <w:rPr>
                <w:sz w:val="1"/>
                <w:szCs w:val="1"/>
                <w:color w:val="auto"/>
              </w:rPr>
            </w:pPr>
          </w:p>
        </w:tc>
      </w:tr>
      <w:tr>
        <w:trPr>
          <w:trHeight w:val="210"/>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 Paso, Texas</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Fort Worth Transitional Center</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 Texas</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Aug-25</w:t>
            </w:r>
          </w:p>
        </w:tc>
        <w:tc>
          <w:tcPr>
            <w:tcW w:w="1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w w:val="99"/>
              </w:rPr>
              <w:t>(3) 1 year</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Fort Worth, Texas</w:t>
            </w: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Ghent Residential Reentry Center</w:t>
            </w: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BOP</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Aug-25</w:t>
            </w:r>
          </w:p>
        </w:tc>
        <w:tc>
          <w:tcPr>
            <w:tcW w:w="16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(2) 1 year</w:t>
            </w:r>
          </w:p>
        </w:tc>
        <w:tc>
          <w:tcPr>
            <w:tcW w:w="0" w:type="dxa"/>
            <w:vAlign w:val="bottom"/>
          </w:tcPr>
          <w:p>
            <w:pPr>
              <w:spacing w:after="0"/>
              <w:rPr>
                <w:sz w:val="1"/>
                <w:szCs w:val="1"/>
                <w:color w:val="auto"/>
              </w:rPr>
            </w:pPr>
          </w:p>
        </w:tc>
      </w:tr>
      <w:tr>
        <w:trPr>
          <w:trHeight w:val="210"/>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Norfolk, Virginia</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James River Residential Reentry</w:t>
            </w:r>
          </w:p>
        </w:tc>
        <w:tc>
          <w:tcPr>
            <w:tcW w:w="100" w:type="dxa"/>
            <w:vAlign w:val="bottom"/>
            <w:shd w:val="clear" w:color="auto" w:fill="CFF0FC"/>
          </w:tcPr>
          <w:p>
            <w:pPr>
              <w:spacing w:after="0"/>
              <w:rPr>
                <w:sz w:val="16"/>
                <w:szCs w:val="16"/>
                <w:color w:val="auto"/>
              </w:rPr>
            </w:pPr>
          </w:p>
        </w:tc>
        <w:tc>
          <w:tcPr>
            <w:tcW w:w="1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Center</w:t>
            </w:r>
          </w:p>
        </w:tc>
        <w:tc>
          <w:tcPr>
            <w:tcW w:w="100" w:type="dxa"/>
            <w:vAlign w:val="bottom"/>
            <w:shd w:val="clear" w:color="auto" w:fill="CFF0FC"/>
          </w:tcPr>
          <w:p>
            <w:pPr>
              <w:spacing w:after="0"/>
              <w:rPr>
                <w:sz w:val="18"/>
                <w:szCs w:val="18"/>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BOP</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Aug-25</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w w:val="99"/>
              </w:rPr>
              <w:t>(2) 1 year</w:t>
            </w:r>
          </w:p>
        </w:tc>
        <w:tc>
          <w:tcPr>
            <w:tcW w:w="0" w:type="dxa"/>
            <w:vAlign w:val="bottom"/>
          </w:tcPr>
          <w:p>
            <w:pPr>
              <w:spacing w:after="0"/>
              <w:rPr>
                <w:sz w:val="1"/>
                <w:szCs w:val="1"/>
                <w:color w:val="auto"/>
              </w:rPr>
            </w:pPr>
          </w:p>
        </w:tc>
      </w:tr>
      <w:tr>
        <w:trPr>
          <w:trHeight w:val="208"/>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Newport News, Virginia</w:t>
            </w:r>
          </w:p>
        </w:tc>
        <w:tc>
          <w:tcPr>
            <w:tcW w:w="10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Cheyenne Transitional Center</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 Wyoming</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w:t>
            </w: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Jun-26</w:t>
            </w:r>
          </w:p>
        </w:tc>
        <w:tc>
          <w:tcPr>
            <w:tcW w:w="16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(2) 2 year</w:t>
            </w:r>
          </w:p>
        </w:tc>
        <w:tc>
          <w:tcPr>
            <w:tcW w:w="0" w:type="dxa"/>
            <w:vAlign w:val="bottom"/>
          </w:tcPr>
          <w:p>
            <w:pPr>
              <w:spacing w:after="0"/>
              <w:rPr>
                <w:sz w:val="1"/>
                <w:szCs w:val="1"/>
                <w:color w:val="auto"/>
              </w:rPr>
            </w:pPr>
          </w:p>
        </w:tc>
      </w:tr>
      <w:tr>
        <w:trPr>
          <w:trHeight w:val="210"/>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Cheyenne, Wyoming</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Corrections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4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Total design capacity for CoreCivic</w:t>
            </w:r>
          </w:p>
        </w:tc>
        <w:tc>
          <w:tcPr>
            <w:tcW w:w="100" w:type="dxa"/>
            <w:vAlign w:val="bottom"/>
            <w:shd w:val="clear" w:color="auto" w:fill="CFF0FC"/>
          </w:tcPr>
          <w:p>
            <w:pPr>
              <w:spacing w:after="0"/>
              <w:rPr>
                <w:sz w:val="15"/>
                <w:szCs w:val="15"/>
                <w:color w:val="auto"/>
              </w:rPr>
            </w:pPr>
          </w:p>
        </w:tc>
        <w:tc>
          <w:tcPr>
            <w:tcW w:w="198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spacing w:after="0"/>
              <w:rPr>
                <w:sz w:val="15"/>
                <w:szCs w:val="15"/>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4,159</w:t>
            </w: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Community Facilities</w:t>
            </w:r>
          </w:p>
        </w:tc>
        <w:tc>
          <w:tcPr>
            <w:tcW w:w="100" w:type="dxa"/>
            <w:vAlign w:val="bottom"/>
            <w:tcBorders>
              <w:bottom w:val="single" w:sz="8" w:color="CFF0FC"/>
            </w:tcBorders>
            <w:shd w:val="clear" w:color="auto" w:fill="CFF0FC"/>
          </w:tcPr>
          <w:p>
            <w:pPr>
              <w:spacing w:after="0"/>
              <w:rPr>
                <w:sz w:val="17"/>
                <w:szCs w:val="17"/>
                <w:color w:val="auto"/>
              </w:rPr>
            </w:pPr>
          </w:p>
        </w:tc>
        <w:tc>
          <w:tcPr>
            <w:tcW w:w="19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74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-8255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34" w:lineRule="exact"/>
        <w:rPr>
          <w:sz w:val="20"/>
          <w:szCs w:val="20"/>
          <w:color w:val="auto"/>
        </w:rPr>
      </w:pPr>
    </w:p>
    <w:p>
      <w:pPr>
        <w:jc w:val="both"/>
        <w:ind w:left="503" w:hanging="503"/>
        <w:spacing w:after="0" w:line="255"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capacity measures the number of beds, and accordingly, the number of offenders each facility is designed to accommodate. Facilities housing detainees on a short-term basis may exceed the original intended design capacity due to the lower level of services required by detainees in custody for a brief period. From time to time, we may evaluate the design capacity of our facilities based on the customers using the facilities, and the ability to reconfigure space with minimal capital outlays.</w:t>
      </w:r>
    </w:p>
    <w:p>
      <w:pPr>
        <w:spacing w:after="0" w:line="2" w:lineRule="exact"/>
        <w:rPr>
          <w:rFonts w:ascii="Times New Roman" w:cs="Times New Roman" w:eastAsia="Times New Roman" w:hAnsi="Times New Roman"/>
          <w:sz w:val="18"/>
          <w:szCs w:val="18"/>
          <w:color w:val="auto"/>
        </w:rPr>
      </w:pPr>
    </w:p>
    <w:p>
      <w:pPr>
        <w:jc w:val="both"/>
        <w:ind w:left="503" w:hanging="503"/>
        <w:spacing w:after="0" w:line="250"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numerous facilities that have more than a single function (i.e., housing both long-term sentenced adult prisoners and pre-trial detainees). The primary functional categories into which facility types are identified were determined by the relative size of offender populations in a particular facility on December 31, 2024. If, for example, a 1,000-bed facility cared for 900 adult offenders with sentences in excess of one year and 100 pre-trial detainees, the primary functional category to which it would be assigned would be that of correctional facilities and not detention facilities. It should be understood that the primary functional category to which multi-user facilities are assigned may change from time to time.</w:t>
      </w:r>
    </w:p>
    <w:p>
      <w:pPr>
        <w:spacing w:after="0" w:line="2" w:lineRule="exact"/>
        <w:rPr>
          <w:rFonts w:ascii="Times New Roman" w:cs="Times New Roman" w:eastAsia="Times New Roman" w:hAnsi="Times New Roman"/>
          <w:sz w:val="18"/>
          <w:szCs w:val="18"/>
          <w:color w:val="auto"/>
        </w:rPr>
      </w:pPr>
    </w:p>
    <w:p>
      <w:pPr>
        <w:ind w:left="503" w:hanging="503"/>
        <w:spacing w:after="0" w:line="250"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renewal options represents the number of renewal options, if applicable, and the remaining term of each option renewal. Our government partners can generally terminate our management contracts for non-appropriation of funds or for convenience.</w:t>
      </w:r>
    </w:p>
    <w:p>
      <w:pPr>
        <w:jc w:val="both"/>
        <w:ind w:left="503" w:right="20" w:hanging="503"/>
        <w:spacing w:after="0" w:line="250"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a contract awarded by the state of Arizona in September 2012, the state of Arizona has an option to purchase the Red Rock facility at any time during the term of the contract, including extension options, based on an amortization schedule starting with the fair market value and decreasing evenly to zero over the 20-year term of the contract.</w:t>
      </w:r>
    </w:p>
    <w:p>
      <w:pPr>
        <w:spacing w:after="0" w:line="1" w:lineRule="exact"/>
        <w:rPr>
          <w:rFonts w:ascii="Times New Roman" w:cs="Times New Roman" w:eastAsia="Times New Roman" w:hAnsi="Times New Roman"/>
          <w:sz w:val="18"/>
          <w:szCs w:val="18"/>
          <w:color w:val="auto"/>
        </w:rPr>
      </w:pPr>
    </w:p>
    <w:p>
      <w:pPr>
        <w:ind w:left="503" w:hanging="503"/>
        <w:spacing w:after="0" w:line="250"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is currently being marketed for sale or lease to a third party but could be operated in the future after certain occupancy certificates are obtained.</w:t>
      </w:r>
    </w:p>
    <w:p>
      <w:pPr>
        <w:ind w:left="503" w:hanging="503"/>
        <w:spacing w:after="0" w:line="250"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facilities are subject to purchase options held by the GDOC, which grants the GDOC the right to purchase the facility for the lesser of the facility's depreciated book value, as defined, or fair market value at any time during the term of the contract between the GDOC and us.</w:t>
      </w:r>
    </w:p>
    <w:p>
      <w:pPr>
        <w:jc w:val="both"/>
        <w:ind w:left="503" w:right="20" w:hanging="503"/>
        <w:spacing w:after="0" w:line="250"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is subject to a purchase option held by the Tallahatchie County Correctional Authority that grants Tallahatchie County Correctional Authority the right to purchase the facility at any time during the contract at a price generally equal to the cost of the premises less an allowance for amortization that originally occurred over a 20-year period. The amortization period was extended through 2050 in connection with an expansion completed during the fourth quarter of 2007.</w:t>
      </w:r>
    </w:p>
    <w:p>
      <w:pPr>
        <w:spacing w:after="0" w:line="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Montana has an option to purchase the facility generally at any time during the term of the contract with us at fair market value.</w:t>
      </w:r>
    </w:p>
    <w:p>
      <w:pPr>
        <w:spacing w:after="0" w:line="9" w:lineRule="exact"/>
        <w:rPr>
          <w:rFonts w:ascii="Times New Roman" w:cs="Times New Roman" w:eastAsia="Times New Roman" w:hAnsi="Times New Roman"/>
          <w:sz w:val="18"/>
          <w:szCs w:val="18"/>
          <w:color w:val="auto"/>
        </w:rPr>
      </w:pPr>
    </w:p>
    <w:p>
      <w:pPr>
        <w:jc w:val="both"/>
        <w:ind w:left="503" w:hanging="503"/>
        <w:spacing w:after="0" w:line="250"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Ohio has the irrevocable right to repurchase the facility before we may resell the facility to a third party, or if we become insolvent or are unable to meet our obligations under the management contract with the state of Ohio, at a price generally equal to the fair market value.</w:t>
      </w:r>
    </w:p>
    <w:p>
      <w:pPr>
        <w:spacing w:after="0" w:line="1" w:lineRule="exact"/>
        <w:rPr>
          <w:rFonts w:ascii="Times New Roman" w:cs="Times New Roman" w:eastAsia="Times New Roman" w:hAnsi="Times New Roman"/>
          <w:sz w:val="18"/>
          <w:szCs w:val="18"/>
          <w:color w:val="auto"/>
        </w:rPr>
      </w:pPr>
    </w:p>
    <w:p>
      <w:pPr>
        <w:ind w:left="503" w:hanging="503"/>
        <w:spacing w:after="0" w:line="260"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Tennessee has the option to purchase the facility in the event of our bankruptcy, or upon an operational or financial breach under the management agreement, at a price equal to the book value, as determined under such agreement.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26" w:name="page27"/>
    <w:bookmarkEnd w:id="2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CoreCivic Properties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Through our CoreCivic Properties segment, we owned 6 correctional facilities held for lease to third-party operators. The following table includes certain information regarding each property.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Design</w:t>
            </w:r>
          </w:p>
        </w:tc>
        <w:tc>
          <w:tcPr>
            <w:tcW w:w="220" w:type="dxa"/>
            <w:vAlign w:val="bottom"/>
          </w:tcPr>
          <w:p>
            <w:pPr>
              <w:spacing w:after="0"/>
              <w:rPr>
                <w:sz w:val="13"/>
                <w:szCs w:val="13"/>
                <w:color w:val="auto"/>
              </w:rPr>
            </w:pPr>
          </w:p>
        </w:tc>
        <w:tc>
          <w:tcPr>
            <w:tcW w:w="880" w:type="dxa"/>
            <w:vAlign w:val="bottom"/>
            <w:vMerge w:val="restart"/>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Square</w:t>
            </w:r>
          </w:p>
        </w:tc>
        <w:tc>
          <w:tcPr>
            <w:tcW w:w="220" w:type="dxa"/>
            <w:vAlign w:val="bottom"/>
          </w:tcPr>
          <w:p>
            <w:pPr>
              <w:spacing w:after="0"/>
              <w:rPr>
                <w:sz w:val="13"/>
                <w:szCs w:val="13"/>
                <w:color w:val="auto"/>
              </w:rPr>
            </w:pPr>
          </w:p>
        </w:tc>
        <w:tc>
          <w:tcPr>
            <w:tcW w:w="110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780" w:type="dxa"/>
            <w:vAlign w:val="bottom"/>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Property Name</w:t>
            </w:r>
          </w:p>
        </w:tc>
        <w:tc>
          <w:tcPr>
            <w:tcW w:w="120" w:type="dxa"/>
            <w:vAlign w:val="bottom"/>
          </w:tcPr>
          <w:p>
            <w:pPr>
              <w:spacing w:after="0"/>
              <w:rPr>
                <w:sz w:val="12"/>
                <w:szCs w:val="12"/>
                <w:color w:val="auto"/>
              </w:rPr>
            </w:pPr>
          </w:p>
        </w:tc>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Customer</w:t>
            </w: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Capacit</w:t>
            </w: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3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Renewal Options</w:t>
            </w:r>
          </w:p>
        </w:tc>
        <w:tc>
          <w:tcPr>
            <w:tcW w:w="0" w:type="dxa"/>
            <w:vAlign w:val="bottom"/>
          </w:tcPr>
          <w:p>
            <w:pPr>
              <w:spacing w:after="0"/>
              <w:rPr>
                <w:sz w:val="1"/>
                <w:szCs w:val="1"/>
                <w:color w:val="auto"/>
              </w:rPr>
            </w:pPr>
          </w:p>
        </w:tc>
      </w:tr>
      <w:tr>
        <w:trPr>
          <w:trHeight w:val="173"/>
        </w:trPr>
        <w:tc>
          <w:tcPr>
            <w:tcW w:w="3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w:t>
            </w:r>
          </w:p>
        </w:tc>
        <w:tc>
          <w:tcPr>
            <w:tcW w:w="220" w:type="dxa"/>
            <w:vAlign w:val="bottom"/>
          </w:tcPr>
          <w:p>
            <w:pPr>
              <w:spacing w:after="0"/>
              <w:rPr>
                <w:sz w:val="15"/>
                <w:szCs w:val="15"/>
                <w:color w:val="auto"/>
              </w:rPr>
            </w:pPr>
          </w:p>
        </w:tc>
        <w:tc>
          <w:tcPr>
            <w:tcW w:w="88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Footage</w:t>
            </w:r>
          </w:p>
        </w:tc>
        <w:tc>
          <w:tcPr>
            <w:tcW w:w="220" w:type="dxa"/>
            <w:vAlign w:val="bottom"/>
          </w:tcPr>
          <w:p>
            <w:pPr>
              <w:spacing w:after="0"/>
              <w:rPr>
                <w:sz w:val="15"/>
                <w:szCs w:val="15"/>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398"/>
        </w:trPr>
        <w:tc>
          <w:tcPr>
            <w:tcW w:w="3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California City Correctional</w:t>
            </w:r>
          </w:p>
        </w:tc>
        <w:tc>
          <w:tcPr>
            <w:tcW w:w="120" w:type="dxa"/>
            <w:vAlign w:val="bottom"/>
            <w:shd w:val="clear" w:color="auto" w:fill="CFF0FC"/>
          </w:tcPr>
          <w:p>
            <w:pPr>
              <w:spacing w:after="0"/>
              <w:rPr>
                <w:sz w:val="16"/>
                <w:szCs w:val="16"/>
                <w:color w:val="auto"/>
              </w:rPr>
            </w:pPr>
          </w:p>
        </w:tc>
        <w:tc>
          <w:tcPr>
            <w:tcW w:w="2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Center</w:t>
            </w:r>
          </w:p>
        </w:tc>
        <w:tc>
          <w:tcPr>
            <w:tcW w:w="120" w:type="dxa"/>
            <w:vAlign w:val="bottom"/>
            <w:shd w:val="clear" w:color="auto" w:fill="CFF0FC"/>
          </w:tcPr>
          <w:p>
            <w:pPr>
              <w:spacing w:after="0"/>
              <w:rPr>
                <w:sz w:val="18"/>
                <w:szCs w:val="18"/>
                <w:color w:val="auto"/>
              </w:rPr>
            </w:pPr>
          </w:p>
        </w:tc>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Idled 2024</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522,000</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California City, California</w:t>
            </w:r>
          </w:p>
        </w:tc>
        <w:tc>
          <w:tcPr>
            <w:tcW w:w="120" w:type="dxa"/>
            <w:vAlign w:val="bottom"/>
            <w:shd w:val="clear" w:color="auto" w:fill="CFF0FC"/>
          </w:tcPr>
          <w:p>
            <w:pPr>
              <w:spacing w:after="0"/>
              <w:rPr>
                <w:sz w:val="18"/>
                <w:szCs w:val="18"/>
                <w:color w:val="auto"/>
              </w:rPr>
            </w:pPr>
          </w:p>
        </w:tc>
        <w:tc>
          <w:tcPr>
            <w:tcW w:w="2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Lansing Correctional Facility</w:t>
            </w:r>
          </w:p>
        </w:tc>
        <w:tc>
          <w:tcPr>
            <w:tcW w:w="120" w:type="dxa"/>
            <w:vAlign w:val="bottom"/>
          </w:tcPr>
          <w:p>
            <w:pPr>
              <w:spacing w:after="0"/>
              <w:rPr>
                <w:sz w:val="24"/>
                <w:szCs w:val="24"/>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 Kansas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401,000</w:t>
            </w:r>
          </w:p>
        </w:tc>
        <w:tc>
          <w:tcPr>
            <w:tcW w:w="220" w:type="dxa"/>
            <w:vAlign w:val="bottom"/>
          </w:tcPr>
          <w:p>
            <w:pPr>
              <w:spacing w:after="0"/>
              <w:rPr>
                <w:sz w:val="24"/>
                <w:szCs w:val="24"/>
                <w:color w:val="auto"/>
              </w:rPr>
            </w:pPr>
          </w:p>
        </w:tc>
        <w:tc>
          <w:tcPr>
            <w:tcW w:w="11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Jan-40</w:t>
            </w: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5"/>
              </w:rPr>
              <w:t>NA</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Lansing, Kansas</w:t>
            </w: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Southeast Correctional</w:t>
            </w:r>
          </w:p>
        </w:tc>
        <w:tc>
          <w:tcPr>
            <w:tcW w:w="120" w:type="dxa"/>
            <w:vAlign w:val="bottom"/>
            <w:shd w:val="clear" w:color="auto" w:fill="CFF0FC"/>
          </w:tcPr>
          <w:p>
            <w:pPr>
              <w:spacing w:after="0"/>
              <w:rPr>
                <w:sz w:val="16"/>
                <w:szCs w:val="16"/>
                <w:color w:val="auto"/>
              </w:rPr>
            </w:pPr>
          </w:p>
        </w:tc>
        <w:tc>
          <w:tcPr>
            <w:tcW w:w="2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Complex (B)</w:t>
            </w:r>
          </w:p>
        </w:tc>
        <w:tc>
          <w:tcPr>
            <w:tcW w:w="120" w:type="dxa"/>
            <w:vAlign w:val="bottom"/>
            <w:shd w:val="clear" w:color="auto" w:fill="CFF0FC"/>
          </w:tcPr>
          <w:p>
            <w:pPr>
              <w:spacing w:after="0"/>
              <w:rPr>
                <w:sz w:val="18"/>
                <w:szCs w:val="18"/>
                <w:color w:val="auto"/>
              </w:rPr>
            </w:pPr>
          </w:p>
        </w:tc>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Commonwealth of</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127,000</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rPr>
              <w:t>Jun-30</w:t>
            </w:r>
          </w:p>
        </w:tc>
        <w:tc>
          <w:tcPr>
            <w:tcW w:w="13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6"/>
                <w:szCs w:val="16"/>
                <w:color w:val="auto"/>
                <w:w w:val="99"/>
              </w:rPr>
              <w:t>(5) 2 year</w:t>
            </w:r>
          </w:p>
        </w:tc>
        <w:tc>
          <w:tcPr>
            <w:tcW w:w="0" w:type="dxa"/>
            <w:vAlign w:val="bottom"/>
          </w:tcPr>
          <w:p>
            <w:pPr>
              <w:spacing w:after="0"/>
              <w:rPr>
                <w:sz w:val="1"/>
                <w:szCs w:val="1"/>
                <w:color w:val="auto"/>
              </w:rPr>
            </w:pPr>
          </w:p>
        </w:tc>
      </w:tr>
      <w:tr>
        <w:trPr>
          <w:trHeight w:val="208"/>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Wheelwright, Kentucky</w:t>
            </w:r>
          </w:p>
        </w:tc>
        <w:tc>
          <w:tcPr>
            <w:tcW w:w="120" w:type="dxa"/>
            <w:vAlign w:val="bottom"/>
            <w:shd w:val="clear" w:color="auto" w:fill="CFF0FC"/>
          </w:tcPr>
          <w:p>
            <w:pPr>
              <w:spacing w:after="0"/>
              <w:rPr>
                <w:sz w:val="18"/>
                <w:szCs w:val="18"/>
                <w:color w:val="auto"/>
              </w:rPr>
            </w:pPr>
          </w:p>
        </w:tc>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Kentucky</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Northwest New Mexico Correctional</w:t>
            </w: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Center</w:t>
            </w:r>
          </w:p>
        </w:tc>
        <w:tc>
          <w:tcPr>
            <w:tcW w:w="120" w:type="dxa"/>
            <w:vAlign w:val="bottom"/>
          </w:tcPr>
          <w:p>
            <w:pPr>
              <w:spacing w:after="0"/>
              <w:rPr>
                <w:sz w:val="17"/>
                <w:szCs w:val="17"/>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of New Mexico</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188,000</w:t>
            </w:r>
          </w:p>
        </w:tc>
        <w:tc>
          <w:tcPr>
            <w:tcW w:w="220" w:type="dxa"/>
            <w:vAlign w:val="bottom"/>
          </w:tcPr>
          <w:p>
            <w:pPr>
              <w:spacing w:after="0"/>
              <w:rPr>
                <w:sz w:val="17"/>
                <w:szCs w:val="17"/>
                <w:color w:val="auto"/>
              </w:rPr>
            </w:pPr>
          </w:p>
        </w:tc>
        <w:tc>
          <w:tcPr>
            <w:tcW w:w="11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Oct-27</w:t>
            </w: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(5) 3 year</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Grants, New Mexico</w:t>
            </w: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Allen Gamble Correctional Center</w:t>
            </w:r>
          </w:p>
        </w:tc>
        <w:tc>
          <w:tcPr>
            <w:tcW w:w="120" w:type="dxa"/>
            <w:vAlign w:val="bottom"/>
            <w:shd w:val="clear" w:color="auto" w:fill="CFF0FC"/>
          </w:tcPr>
          <w:p>
            <w:pPr>
              <w:spacing w:after="0"/>
              <w:rPr>
                <w:sz w:val="17"/>
                <w:szCs w:val="17"/>
                <w:color w:val="auto"/>
              </w:rPr>
            </w:pPr>
          </w:p>
        </w:tc>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State of</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Holdenville, Oklahoma</w:t>
            </w:r>
          </w:p>
        </w:tc>
        <w:tc>
          <w:tcPr>
            <w:tcW w:w="120" w:type="dxa"/>
            <w:vAlign w:val="bottom"/>
            <w:shd w:val="clear" w:color="auto" w:fill="CFF0FC"/>
          </w:tcPr>
          <w:p>
            <w:pPr>
              <w:spacing w:after="0"/>
              <w:rPr>
                <w:sz w:val="17"/>
                <w:szCs w:val="17"/>
                <w:color w:val="auto"/>
              </w:rPr>
            </w:pPr>
          </w:p>
        </w:tc>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Oklahoma</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289,000</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rPr>
              <w:t>Jun-29</w:t>
            </w:r>
          </w:p>
        </w:tc>
        <w:tc>
          <w:tcPr>
            <w:tcW w:w="13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6"/>
                <w:szCs w:val="16"/>
                <w:color w:val="auto"/>
                <w:w w:val="99"/>
              </w:rPr>
              <w:t>Indefinite</w:t>
            </w:r>
          </w:p>
        </w:tc>
        <w:tc>
          <w:tcPr>
            <w:tcW w:w="0" w:type="dxa"/>
            <w:vAlign w:val="bottom"/>
          </w:tcPr>
          <w:p>
            <w:pPr>
              <w:spacing w:after="0"/>
              <w:rPr>
                <w:sz w:val="1"/>
                <w:szCs w:val="1"/>
                <w:color w:val="auto"/>
              </w:rPr>
            </w:pPr>
          </w:p>
        </w:tc>
      </w:tr>
      <w:tr>
        <w:trPr>
          <w:trHeight w:val="391"/>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Fork Correctional Facility</w:t>
            </w:r>
          </w:p>
        </w:tc>
        <w:tc>
          <w:tcPr>
            <w:tcW w:w="120" w:type="dxa"/>
            <w:vAlign w:val="bottom"/>
          </w:tcPr>
          <w:p>
            <w:pPr>
              <w:spacing w:after="0"/>
              <w:rPr>
                <w:sz w:val="24"/>
                <w:szCs w:val="24"/>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Idled 2023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466,000</w:t>
            </w:r>
          </w:p>
        </w:tc>
        <w:tc>
          <w:tcPr>
            <w:tcW w:w="220" w:type="dxa"/>
            <w:vAlign w:val="bottom"/>
          </w:tcPr>
          <w:p>
            <w:pPr>
              <w:spacing w:after="0"/>
              <w:rPr>
                <w:sz w:val="24"/>
                <w:szCs w:val="24"/>
                <w:color w:val="auto"/>
              </w:rPr>
            </w:pPr>
          </w:p>
        </w:tc>
        <w:tc>
          <w:tcPr>
            <w:tcW w:w="11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Sayre, Oklahoma</w:t>
            </w: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9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10,31</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37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9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1,993,000</w:t>
            </w:r>
          </w:p>
        </w:tc>
        <w:tc>
          <w:tcPr>
            <w:tcW w:w="2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-24765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renewal options represents the number of renewal options, if applicable, and the term of each option renewal.</w:t>
      </w:r>
    </w:p>
    <w:p>
      <w:pPr>
        <w:spacing w:after="0" w:line="27"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Kentucky Department of Corrections, or KYDOC, has an option to purchase the facility at any time during the term of the lease with us at a price equal to the fair market value of the property.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three segments, CoreCivic Safety, CoreCivic Community, and CoreCivic Properties, we offer multiple solutions to unique challenges, allowing government organizations to address their various needs while customizing the solution based on their unique circumstances. Accordingly, we believe that we benefit from the following competitive strengths: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Largest Private Owner of Correctional and Detention Facilities. </w:t>
      </w:r>
      <w:r>
        <w:rPr>
          <w:rFonts w:ascii="Times New Roman" w:cs="Times New Roman" w:eastAsia="Times New Roman" w:hAnsi="Times New Roman"/>
          <w:sz w:val="18"/>
          <w:szCs w:val="18"/>
          <w:color w:val="auto"/>
        </w:rPr>
        <w:t>As of December 31, 2024, we owned, or controlled via a long-term lease,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14.0 million square feet of real estate, all available to be used directly or indirectly by government agencies. Our complementary set of business assets provide critical infrastructure and services under contracts with federal, state, and local government agencies that generally have credit ratings of single-A or better, which also contributes to our steady, predictable cash flows.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CoreCivic Safety segment, we own, or control via a long-term lease, 11.5 million square feet of real estate used to provide innovative, comprehensive, flexible, turn-key correctional and detention services to federal, state and local government agencies. As of December 31, 2024, our CoreCivic Safety segment operated 42 facilities, 38 of which we owned or controlled via a long-term lease, with a total design capacity of 62,329 beds, making us the nation's largest private prison owner and one of the largest prison operators in the United States. Seven facilities in our Safety segment, containing 8,459 beds, are currently idle and available for growth opportunities. Our CoreCivic Safety segment generated 91.1% of our total segment net operating income during 2024.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CoreCivic Community segment, we own, or control via a long-term lease, 0.5 million square feet of real estate representing, as of December 31, 2024, 21 residential reentry centers with a design capacity of 4,159 beds, making us the second largest community corrections owner and operator in the United States. One of our residential reentry centers, containing 60 beds, was idle as of December 31, 2024. Our CoreCivic Community segment generated 4.6% of our total segment net operating income during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CoreCivic Properties segment, as of December 31, 2024, we owned 2.0 million square feet of correctional real estate representing 6 properties with a total design capacity of 10,314 beds. Two facilities in our Properties segment, containing 4,960 beds, are currently idle and available for growth opportunities. Our CoreCivic Properties segment generated 4.3% of our total segment net operating income during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synergistic set of business segments, combined with our operating strategies, corrections-industry commitment to rehabilitation, extensive government relationships, and deep real estate expertise, provide us with a diversified platform for stable cash flows and sustainable growth, with multiple paths for organic expansions and acquisitions.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Pioneered Modern-Day Private Prisons. </w:t>
      </w:r>
      <w:r>
        <w:rPr>
          <w:rFonts w:ascii="Times New Roman" w:cs="Times New Roman" w:eastAsia="Times New Roman" w:hAnsi="Times New Roman"/>
          <w:sz w:val="18"/>
          <w:szCs w:val="18"/>
          <w:color w:val="auto"/>
        </w:rPr>
        <w:t>Through our CoreCivic Safety segment, we are the nation's largest private prison owner and one of the largest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prison operators in the United States, which provides us significant credibility with our current and prospective clients. We believe we own, or control via a long-term lease, approximately 55% of all privately owned prison beds in the United States and manage approximately 39% of all privately managed prison beds in the United States. We pioneered modern-day private prisons with a list of notable accomplishments, such as:</w:t>
      </w:r>
    </w:p>
    <w:p>
      <w:pPr>
        <w:spacing w:after="0" w:line="182"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company to design, build, and operate a private prison;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company to manage a private maximum-security facility under a direct contract with the federal government;</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company to purchase a government-owned correctional facility from a government agency in the United States and to manage the facility for the government agency;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company to lease a private prison to a state government; and</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company to develop a privately-owned, build-to-suit correctional facility to be operated by a government agency through a long-term lease agreement.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providing us with extensive experience and institutional knowledge, our size also helps us deliver value to our customers by providing purchasing power and allowing us to achieve certain economies of scale.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Available Beds within Our Existing Facilities. </w:t>
      </w:r>
      <w:r>
        <w:rPr>
          <w:rFonts w:ascii="Times New Roman" w:cs="Times New Roman" w:eastAsia="Times New Roman" w:hAnsi="Times New Roman"/>
          <w:sz w:val="18"/>
          <w:szCs w:val="18"/>
          <w:color w:val="auto"/>
        </w:rPr>
        <w:t>We currently have 13,419 beds at nine correctional and detention facilities that are vacant and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to use. We are actively engaged in marketing this available capacity as solutions to meet the needs of potential customers. Historically, we have been successful in identifying opportunities to utilize our inventory of available beds. Occupancy rates at our facilities were negatively impacted by COVID-19, and we have been focused on filling available capacity within our existing facilities. As available capacity within existing operating facilities is utilized, we believe increasing demand will result in the utilization of idle bed capacity.</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occupancy of 86% in 2024 in our Safety and Community segments excluding our idle facilities, we also have the capacity to grow earnings and cash flows within existing operating facilities and without the need to deploy significant capital. We currently expect demand from the federal government for our correctional and detention facilities to increase under the new presidential administration, particularly from ICE, as a result of anticipated changes in immigration policy and funding levels of our federal government partners charged with correctional and detention responsibilities. This anticipated increase in demand could result in higher utilization of our available capacity under existing contracts, as well as through new contracts utilizing our idle correctional and detention facilities or our other existing capacity. However, we can provide no assurance that the federal government will increase the utilization of our available capacity. We also believe the scarcity in supply of available public sector beds, increases in the cost of constructing new facilities, and challenges in financing new correctional facilities in the public sector will result in an increase in the value of our portfolio and the utilization of our idle bed capacity over the long-term.</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available bed capacity can also be used for emergent or growing needs from state and county government agencies, and for government agencies that are struggling to adequately staff public sector facilities. As a private enterprise, we believe we have the ability to respond more quickly to changing market conditions, and can offer various types of incentives to attract and retain correctional staff that are more difficult for government agencies to provide. For example, on September 25, 2023, we announced that we signed a management contract with Hinds County, Mississippi to care for up to 250 adult male pre-trial detainees at our 2,672-bed Tallahatchie County Correctional Facility in Tutwiler, Mississippi. The initial contract term is for two years, which may be extended for an additional year upon mutual agreement. In addition, on November 16, 2023, we announced that we signed a management contract with the state of Wyoming to care for up to 240 male inmates at the Tallahatchie facility. The term of the contract runs through June 30, 2026. Also on November 16, 2023, we announced that we signed a contract with Harris County, Texas, to care for up to 360 male inmates at the Tallahatchie facility. Upon mutual agreement, Harris County may access an additional 360 beds at the facility. The initial contract term began on December 1, 2023, and was recently renewed for an additional one-year term, which commenced December 1, 2024. Following the recent renewal, the contract may be extended at Harris County's option for up to three additional one-year terms. In addition to the recent contracts with Hinds County, the state of Wyoming, and Harris County, we currently care for residents from the USMS, the state of Vermont, the U.S. Virgin Islands, and Tallahatchie County at the Tallahatchie facility, which demonstrates the flexible solutions that we provide. On November 14, 2023, we announced that we signed a management contract with the state of Montana to care for up to 120 inmates at our 1,896-bed Saguaro Correctional Facility in Eloy, Arizona. The contract is scheduled to expire on October 31, 2025, and may be extended by mutual agreement for a total term of up to seven years. In addition, on August 1, 2024, we entered into a second management contract with the state of Montana to care for an unspecified number of inmates at facilities we operate. The second contract is scheduled to expire on July 31, 2026, and may be extended by mutual agreement for a total term of up to seven years. As of December 31, 2024, we cared for approximately 245 inmates from the state of Montana at our Saguaro facility. We also care for residents from the state of Hawaii and the state of Idaho at the Saguaro facility. On January 16, 2025, we announced that we were awarded a new management contract with the state of Montana to care for additional inmates outside the state of Montana, with 240 inmates expected to arrive at our Tallahatchie facility during the first quarter of 2025. We also manage the fully occupied company-owned Crossroads Correctional Center in Shelby, Montana for the state of Montana pursuant to a separate management contract.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Well-Established Community Corrections Platform. </w:t>
      </w:r>
      <w:r>
        <w:rPr>
          <w:rFonts w:ascii="Times New Roman" w:cs="Times New Roman" w:eastAsia="Times New Roman" w:hAnsi="Times New Roman"/>
          <w:sz w:val="18"/>
          <w:szCs w:val="18"/>
          <w:color w:val="auto"/>
        </w:rPr>
        <w:t>Through our CoreCivic Community segment, as of December 31, 2024, we had a network of 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residential reentry centers containing a total of 4,159 beds. We offer housing and programs, with a key focus on employment, job readiness and life skills in order to help offenders successfully re-enter the community and reduce the risk of recidivism. We also provide non-residential correctional alternatives, including electronic monitoring and case management services, to municipal, county and state governments in multiple states. We expect to continue to pursue opportunities that expand the scope of non-residential correctional alternative solutions available to government agencies.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the second largest community corrections owner and operator in the United States. We believe the demand for the housing and programs that community corrections facilities offer will grow as offenders are released from prison and due to an increased awareness of the important role these programs play in an offender's successful transition from prison to society. We expect to continue to pursue opportunities to provide these services to parolees, defendants, and offenders who are serving their full sentence, the last portion of their sentence, waiting to be sentenced, awaiting trial while supervised in a community environment, or as an alternative to incarceration. We believe we have the opportunity to maximize utilization of available beds within our community corrections portfolio that would further increase the number of individuals benefiting from the services we provide in such facilities. Further, we are exploring potential opportunities to expand the scope of non-residential correctional alternative solutions we provide to government agencies.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Flexible Real Estate Solutions. </w:t>
      </w:r>
      <w:r>
        <w:rPr>
          <w:rFonts w:ascii="Times New Roman" w:cs="Times New Roman" w:eastAsia="Times New Roman" w:hAnsi="Times New Roman"/>
          <w:sz w:val="18"/>
          <w:szCs w:val="18"/>
          <w:color w:val="auto"/>
        </w:rPr>
        <w:t>Through our CoreCivic Properties segment, as of December 31, 2024, we owned 6 correctional properties totaling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square feet. We have an extensive network of government and other third-party relationships and the capability to manage and maintain complex properties, built over our more than 40-year history. In addition, we offer our customers an attractive portfolio of correctional, detention, and reentry facilities that can be leased for various needs as an alternative to providing "turn-key" correctional, detention, and residential reentry bed space and services to our government partners. In June 2023, we announced that we had entered into a lease agreement with the Oklahoma Department of Corrections, or ODC, for our 1,670-bed Allen Gamble Correctional Center. The lease agreement includes a base term that commenced on October 1, 2023, with a scheduled expiration date of June 30, 2029, and unlimited two-year renewal options. We previously operated the Allen Gamble facility in our Safety segment under a management contract with the ODC. The management contract was scheduled to expire on June 30, 2023. However, effective July 1, 2023, we entered into a 90-day contract extension for the management contract, after which time, operations of the Allen Gamble facility transferred from us to the ODC in accordance with the new lease agreement. In September 2021, we announced that we had entered into a three-year lease agreement with the state of New Mexico at our 596-bed Northwest New Mexico Correctional Center, which was recently extended under an option period for another three-year term. We previously operated the Northwest New Mexico facility in our Safety segment under a contract with the state of New Mexico. The lease agreement commenced on November 1, 2021 and includes extension options that could extend the term of the lease through October 31, 2041. We will retain responsibility for facility maintenance throughout the term of the lease. The leases of these two facilities, along with the lease of our 656-bed Southeast Correctional Complex to the KYDOC originating in 2019 demonstrate our ability to react quickly to our partners' needs with innovative, flexible and cost-effective solutions. We previously operated these three correctional facilities for various government partners. We intend to pursue additional opportunities to lease prison facilities to government and other third-party operators in need of correctional capacity.</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the extensively aged criminal justice infrastructure in the U.S. today, we also believe we can provide our "turn-key" services to public correctional systems in need of replacement capacity, growing our business without an overall increase in incarcerated populations. In December 2021, we were awarded a management contract from the state of Arizona for up to 2,706 inmates at our 3,060-bed La Palma Correctional Center in Arizona. The state of Arizona closed an outdated public-sector prison and transferred the inmate populations from this prison and multiple other public-sector prisons to our La Palma facility. The transfer commenced in April 2022 and was substantially completed in the fourth quarter of 2022. Before the new award, the La Palma facility supported the mission of ICE by caring for approximately 1,800 detainees. We also offer real estate only solutions to government agencies that need correctional capacity where they prefer to perform the operations, similar to our Allen Gamble Correctional Center in Oklahoma, as previously described herein. In addition, in August 2022, we completed the sale of the 1,978-bed McRae Correctional Facility to the Georgia Building Authority in order to update its aged and inefficient public sector correctional infrastructure.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Attractive Real Estate Portfolio. </w:t>
      </w:r>
      <w:r>
        <w:rPr>
          <w:rFonts w:ascii="Times New Roman" w:cs="Times New Roman" w:eastAsia="Times New Roman" w:hAnsi="Times New Roman"/>
          <w:sz w:val="18"/>
          <w:szCs w:val="18"/>
          <w:color w:val="auto"/>
        </w:rPr>
        <w:t>As of December 31, 2024, the properties we owned or controlled via a long-term lease represented 94% of our portfolio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69 facilities. The weighted average age of the facilities we own in the portfolio of facilities in our CoreCivic Safety, CoreCivic Community, and CoreCivic Properties segments is 26, 31, and 24 years, respectively. These valuable assets are located in areas with high barriers to entry, particularly due to the unique permitting and zoning requirements for these facilities. Further, the majority of our assets are constructed primarily of concrete and steel, generally requiring lower maintenance capital expenditures than other types of commercial properties.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we are the largest developer of mission-critical, criminal justice center real estate projects over the past 15 years. We provide space and services under contracts with federal, state, and local government agencies that generally have credit ratings of single-A or better. In addition, a majority of our contracts have terms between one and five years, and we have experienced customer retention of approximately 96% at facilities we owned or controlled via a long-term lease during the previous five years, which contributes to our relatively predictable and stable revenue base. This stream of revenue combined with our low maintenance capital expenditure requirement translates into steady, predictable cash flow.</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Development, Expansion, and Acquisition Opportunitie</w:t>
      </w:r>
      <w:r>
        <w:rPr>
          <w:rFonts w:ascii="Times New Roman" w:cs="Times New Roman" w:eastAsia="Times New Roman" w:hAnsi="Times New Roman"/>
          <w:sz w:val="18"/>
          <w:szCs w:val="18"/>
          <w:color w:val="auto"/>
        </w:rPr>
        <w:t>s. Several of our existing government partners, as well as prospective government partners,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experiencing growth in offender populations and overcrowded conditions. Governments are continuing to assess their need for correctional space, and several are continuing to consider alternative correctional capacity for their aged or inefficient infrastructure, or are seeking cost savings by utilizing the private sector, which could result in increased future demand for the solutions we provide. Competing budget priorities often impede our customers' ability to construct new prison beds of their own or update their older facilities, which we believe could result in further demand for private sector prison capacity solutions in the long-term. Over the long-term, we would like to see meaningful utilization of our available capacity and better visibility from our customers into their potential future needs before we develop new prison capacity on a speculative basis. We will, however, respond to customer demand and may develop, expand, or acquire correctional and detention facilities when we believe potential long-term returns justify the capital deployment. With the extensively aged criminal justice infrastructure in the U.S. today, we also believe we can bring real estate solutions to government agencies like we did in connection with the construction of the Lansing Correctional Facility that was brought online in January 2020.</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Increasing Financial Flexibility. </w:t>
      </w:r>
      <w:r>
        <w:rPr>
          <w:rFonts w:ascii="Times New Roman" w:cs="Times New Roman" w:eastAsia="Times New Roman" w:hAnsi="Times New Roman"/>
          <w:sz w:val="18"/>
          <w:szCs w:val="18"/>
          <w:color w:val="auto"/>
        </w:rPr>
        <w:t>Effective January 1, 2021, we revoked our election to be taxed as a real estate investment trust, or REIT. We believe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in corporate tax structure improves our overall credit profile, as we are able to allocate our free cash flow toward the repayment of debt, which may include the purchase of our outstanding debt in open market transactions, privately negotiated transactions or otherwise, and to exercise more discretion in returning capital to our shareholders, which could include share repurchases and/or future dividends. Any future dividend is subject to our Board of Directors', or BODs', determinations as to the amount of distributions and the timing thereof, as well as limitations under the Company's debt covenants. Any such debt repurchases will depend upon prevailing market conditions, our liquidity requirements, contractual requirements, applicable securities laws requirements, and other factors. We were not able to implement a meaningful share repurchase program under the REIT structure without increasing our debt because a substantial portion of our free cash flow was required to satisfy the distribution requirements under the REIT structure. Upon achieving targeted debt reduction levels, we began allocating a substantial portion of our free cash flow to returning capital to our shareholders through share repurchases. During 2022, the BOD approved a share repurchase program to purchase up to $225.0 million of our common stock. On May 16, 2024, the BOD authorized an increase to the share repurchase program to which we may purchase up to an additional $125.0 million in shares of our outstanding common stock, increasing the total aggregate authorization to up to $350.0 million. Repurchases of our outstanding common stock are made in accordance with applicable securities laws and may be made at our discretion based on parameters set by our BOD from time to time in the open market, through privately negotiated transactions, or otherwise. The share repurchase program has no time limit and does not obligate us to purchase any particular amount of our common stock. The authorization for the share repurchase program may be terminated, suspended, increased or decreased by the BOD in its discretion at any time. Through December 31, 2024, we completed the repurchase of 14.5 million shares of our common stock at a total cost of $181.1 million, excluding costs associated with the share repurchase program, or $12.47 per share, using cash on hand and cash provided by operations, including 4.4 million shares repurchased during 2024 at a total cost of $68.5 million, excluding costs associated with the share repurchase program, or $15.43 per share. As of December 31, 2024, we had $168.9 million of repurchase authorization available under the share repurchase program. For more information about the repurchases made under our share repurchase program, see "</w:t>
      </w:r>
      <w:r>
        <w:rPr>
          <w:rFonts w:ascii="Times New Roman" w:cs="Times New Roman" w:eastAsia="Times New Roman" w:hAnsi="Times New Roman"/>
          <w:sz w:val="18"/>
          <w:szCs w:val="18"/>
          <w:i w:val="1"/>
          <w:iCs w:val="1"/>
          <w:color w:val="auto"/>
        </w:rPr>
        <w:t>Part II, Item 5. Market For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Registrant's Common Equity, Related Stockholder Matters and Issuer Purchases of Equity Securities – Issuer Purchases of Equity Securities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had cash on hand of $107.5 million and $257.0 million available under our revolving credit facility, which has borrowing capacity of up to $275.0 million. Our total weighted average effective interest rate on all outstanding debt was 7.3%, while our total weighted average maturity on all outstanding debt was 5.4 years. For the year ended December 31, 2024, our fixed charge coverage ratio was 4.2x and our debt leverage ratio was 2.3x. During the year ended December 31, 2024, we generated $269.2 million in cash through operating activities.</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Offer Compelling Value to Correctional Agencies. </w:t>
      </w:r>
      <w:r>
        <w:rPr>
          <w:rFonts w:ascii="Times New Roman" w:cs="Times New Roman" w:eastAsia="Times New Roman" w:hAnsi="Times New Roman"/>
          <w:sz w:val="18"/>
          <w:szCs w:val="18"/>
          <w:color w:val="auto"/>
        </w:rPr>
        <w:t>We believe our government partners seek a compelling value and service offering when selecting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outsourced correctional services provider. We believe we offer a cost-effective alternative to our government partners by reducing their correctional services costs, including the avoidance of long-term pension obligations and large capital investments in new bed capacity. We endeavor to improve operating performance and efficiency through the following key operating initiatives: (1) standardizing supply and service purchasing practices and usage;</w:t>
      </w:r>
    </w:p>
    <w:p>
      <w:pPr>
        <w:spacing w:after="0" w:line="1" w:lineRule="exact"/>
        <w:rPr>
          <w:sz w:val="20"/>
          <w:szCs w:val="20"/>
          <w:color w:val="auto"/>
        </w:rPr>
      </w:pPr>
    </w:p>
    <w:p>
      <w:pPr>
        <w:jc w:val="both"/>
        <w:ind w:firstLine="8"/>
        <w:spacing w:after="0" w:line="253" w:lineRule="auto"/>
        <w:tabs>
          <w:tab w:leader="none" w:pos="29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standard approach to staffing and business practices; (3) improving offender management, resource consumption, and reporting procedures through the utilization of numerous technological initiatives; (4) reconfiguring facility bed space to optimize capacity utilization; and (5) improving outcomes for incarcerated individuals in our care through investments in a variety of programs intended to reduce recidivism. Through ongoing company-wide initiatives, we continue to focus on efforts to improve operating efficiencies.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2017, we have maintained a nationwide initiative to advocate for a range of government policies that will help former offenders successfully reenter society and stay out of prison. In 2020, we announced that we will publicly advocate at the federal and state levels for a slate of new policies that will help people succeed in their communities after being released from prison. Specifically, we pledged our support for Pell Grant Restoration, Voting Rights Restoration and Licensure Reform Policies. Also in 2020, we began a partnership with, and continue to invest in, Prison Fellowship, a leading advocate for criminal justice reform serving current and formerly incarcerated individuals and their family members. Through a network of programming and advocacy efforts, the organization seeks to effect positive change at every level of the criminal justice system. We have committed to a multi-year partnership in Prison Fellowship's First Chance Network, or FCN. Serving over 250,000 children annually, the FCN addresses persistent gaps in opportunity for children who have incarcerated parents and seeks to create a trajectory toward healthy life outcomes and prevent youth justice involvement.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Supporting policies that advance the expansion of reentry programs aligns closely with our ongoing efforts to assess and expand reentry-focused programming in our facilities. To that end, we actively engage subject matter experts and practitioners, including formerly incarcerated individuals who bring valuable, lived experiences that better inform innovations and enhancements to those programmatic offerings and the delivery of other services to the individuals entrusted to our care.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as successful as we may be with our work inside our facilities, incarcerated individuals still face embedded societal barriers and collateral consequences when they return to their communities. Supporting recidivism-reducing policies is one way we can bridge the gap and give the men and women entrusted in our care a better opportunity at never returning to prison.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our strong commitment to community corrections and reentry programs, we offer our government partners additional long-term value. Our evidence-based reentry programs, including academic education, vocational training, substance abuse treatment, life skills training, and faith-based programming, are customizable based on partner needs and are applied utilizing best practices and/or industry standards. Our proprietary reentry process and cognitive/behavioral curriculum, "Go Further," promotes a comprehensive approach to addressing the barriers to a successful return to society. Through our efforts in community corrections and reentry programs, we can provide consistency and common standards across facilities. We can also serve multiple levels of government on an as-needed basis, all toward reaching the goal we share with our government partners of providing incarcerated individuals with the opportunity to succeed when they are released, making our communities safer, and, ultimately, reducing recidivism.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offer a wide variety of specialized services that address the unique needs of various segments of the offender population. Because the offenders in the facilities we operate differ with respect to security levels, ages, genders, and cultures, we focus on the particular needs of an offender population and tailor our services based on local conditions and our ability to provide services on a cost-effective basis.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our government partners and other agencies in the criminal justice sector also seek a compelling value and service offering when pursuing solutions to their unique real estate needs. We believe our track record of constructing quality assets on time and within budget, our design and construction methods, unique financing alternatives, and our expertise and experience enable us to provide a compelling value proposition for the construction of mission-critical government real estate assets. We also offer utility management services using environmentally-friendly, state-of-the-art technology and believe our robust preventive maintenance program included in our service offering significantly reduces the risk of real estate neglect.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Proven Senior Management Team. </w:t>
      </w:r>
      <w:r>
        <w:rPr>
          <w:rFonts w:ascii="Times New Roman" w:cs="Times New Roman" w:eastAsia="Times New Roman" w:hAnsi="Times New Roman"/>
          <w:sz w:val="18"/>
          <w:szCs w:val="18"/>
          <w:color w:val="auto"/>
        </w:rPr>
        <w:t>Our senior management team has applied their prior experience and diverse industry expertise to improve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related financial results, and capital structure. Under our senior management team's leadership, we have successfully executed strategies to diversify our business and offer a broader range of solutions to government partners, created new business opportunities with customers that have not previously utilized the private corrections sector, completed several business combination transactions and corporate structure changes adapting to dynamic environments, and successfully completed numerous financing transactions.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ESG Reporting. </w:t>
      </w:r>
      <w:r>
        <w:rPr>
          <w:rFonts w:ascii="Times New Roman" w:cs="Times New Roman" w:eastAsia="Times New Roman" w:hAnsi="Times New Roman"/>
          <w:sz w:val="18"/>
          <w:szCs w:val="18"/>
          <w:color w:val="auto"/>
        </w:rPr>
        <w:t>In April 2024, we issued our sixth Environmental, Social and Governance, or ESG, report, which summarizes efforts and aspirational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goals across environmental, social, and governance topics. The report covers the year ended December 31, 2023, and addresses topics such as evidence-based practices in our reentry programs and human rights-related activities, including delivery of human rights training to all of our employees. The report also summarizes our management approach and activities in topics including energy/utilities management; organizational culture; lobbying and political activity; supplier diversity; charitable giving; PREA compliance; ethics; and employee compensation, benefits and training.</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ESG report was designed to be in accordance with the Global Reporting Initiative, or GRI, standards: Core option issued by the Global Sustainability Standards Board. GRI is an international independent standards organization created to help business, government and other organizations understand and communicate how their operations affect stakeholders.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ESG report may be accessed on our website at www.corecivic.com/esg. The information included in the ESG report is not incorporated by reference into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fulfill our mission of providing high quality, compassionate treatment to all those in our care, we strive to attract, develop, and retain a workforce of individuals who are driven by a deep sense of service, high standards of professionalism, and a responsibility to help government partners better the public good. The following information outlines the human capital strategies and initiatives designed to address the twin challenges of turnover and retention.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Learning and Continuous Improvement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facilitate annual performance and career development discussions with all employees. These discussions consist of a continuous cycle of goal alignment, individual development planning, and performance and talent reviews. In 2024, 99% of all eligible employees completed annual performance reviews. We continue to use a leading cloud-based talent system to align performance, talent management, career development activities, and training.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every year we facilitate talent review discussions to help assess potential and identify developmental opportunities within our leadership pipeline. Through these discussions, we continue to see opportunities for advancement for our existing workforce. Our 2024 talent reviews included all leaders in our facilities, from facility department heads through wardens, plus headquarters-based managers and above. Of the 1,323 leaders assessed, 18% were identified for accelerated development, with 8% classified as "ready now" for advanced leadership responsibilities. Specific development activities were identified for these leaders to support their growth and prepare them for more complex roles and assignments.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2024, we continued our focus on our leadership candidate pipeline and leader development needs. The CoreCivic Leadership Experiences and Rotations program, or CLEAR, continues to yield positive results as a development mechanism for top talent. CLEAR is a two-year rotational development program designed to provide individuals identified during our talent management discussions with accelerated development opportunities through multiple, short-term experiences. The breadth of roles can vary across different career paths and are intended to develop the rising leader's readiness for targeted roles with higher levels of responsibility and complexity following successful completion of the program. In 2024, our second cohort of CLEAR participants completed the first year of their two-year rotation. Upon successful completion of year two, these CLEAR participants will be eligible to be placed in facility leadership roles. In 2024, we also commenced our third and largest CLEAR cohort to date.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importance of investing in our people. Our management approach to training and development is overseen by our Managing Director, Enterprise Learning and Development, and is implemented by leaders at our headquarters as well as a network of learning and development managers across our facilities. Our training activity and records are managed according to our learning and development policy, and our BOD receives periodic updates on the delivery of strategic training programs.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CoreCivic employees are eligible to participate in various leadership and operational trainings. For example, through CoreCivic University, our employees can refine their current skills as well as learn new, valuable skills. To date, we have graduated 5,341 employees from CoreCivic University programs. In recognition of the role frontline leaders play in leading and managing our frontline employees and the impact they have on retention, in 2024 we formally expanded CoreCivic University to include a dedicated frontline leader program focused on operational leadership and management. In 2024, 397 operations frontline leaders graduated from the program. For new and existing employees alike, we provide training that meets or exceeds ACA and government partner standards, including an average of 200 hours of pre-service and on-the-job training for new employees. We also require a minimum of 40 hours of annual in-service and specialty training for employees in our Safety and Community segments.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collaboration with operational leaders, in 2024 we introduced a continuous improvement team with the objective of enhancing processes in our operations. This team is comprised of cross-functional members from quality assurance, human resources, and operations. During the pilot phase, the continuous improvement team addressed certain operational constraints and reduced risks in certain key areas of operations. The continuous improvement team's efforts have led to operational improvements, contributing to its formalization into a permanent team.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People and Organizational Culture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People are at the center of what we do. We believe having a strategy to further the development of our people and organizational culture improves the quality of our operations and increases employee engagement and satisfaction. We believe a culture of dignity, respect and belonging is necessary for our mission. We celebrate the diversity of work and life experiences our employees bring to CoreCivic and recognize that fostering an empowered, team-oriented culture is integral to our performance as an organization and our ability to serve our government partners.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Vice President of Human Resources leads our People and Culture strategy. A multi-disciplinary People &amp; Culture Council, or PCC, and our Business Resource Groups, or BRGs, together with support from executive sponsors, informs the further development of our People and Culture strategy. Our company policies are designed to promote a culture of belonging and respect and prohibit harassment. In accordance with federal contract requirements, we maintain affirmative action plans designed to provide equality of opportunity for all common diversity demographics, including but not limited to, qualified minorities, women, persons with disabilities, and covered veterans.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established CoreCivic Culture Vision Statement and Guiding Principles, and we maintain a yearly roadmap of strategic focus areas for culture initiatives recommended by the PCC and each of our BRGs. Our three BRGs, are (1) Military, (2) Multicultural, and (3) Women's. These BRGs are key contributors to activities supporting our People and Culture strategy.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collaboration with executives and senior leaders, we continued our focus on monitoring the outcomes of our people and culture actions. As a result of our 2023 culture survey, all facility and the Facility Support Center, or FSC, leaders developed and executed action plans in 2024. These plans included activities that specifically addressed areas of opportunity identified in the survey for that facility or department. As of the end of December 2024, 100% of facilities and departments have implemented their plans.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continued to refine governance of our People and Culture strategy with accountability to enterprise executives and the BOD. We also extended our involvement and sponsorship of community organizations that are aligned with our BRGs, including Advancement of Women in Nashville, or AWIN, The Table, and Middle Tennessee State University's Charlie and Hazel Daniels Veterans and Military Family Center, to name a few.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know that bringing out the best in our people is the greatest way to recruit, retain, and develop our employees. We continually work to foster a welcoming culture where everyone is treated with dignity and respect, contributions are valued, and people are equipped for success.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Hiring and Sustaining our Workforce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the largest employer in many of the areas in which our facilities are located. As such, we are committed to supporting and growing the local communities through our hiring and outreach efforts. Our long-term tenure in many of the communities we serve has provided stable careers and career growth opportunities to workforces in these areas. We provide equal opportunity employment to all candidates and follow the United States Department of Labor Office of Federal Contract Compliance Programs equal employment opportunity guidelines for hiring.</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we invested approximately $7.2 million in talent attraction efforts to reach prospective candidates, and we received over 94,000 job applications. For the past fourteen consecutive years, CoreCivic has been recognized as a GI Jobs Military Friendly employer. CoreCivic has been notified that we will once again receive awards for Military Friendly Employer, Military Friendly Spouse, Military Friendly Brand, and Military Friendly Supplier Diversity Program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utilize descriptive and prescriptive Human Capital analytics to align pay with our compensation strategy. We leverage these analytics to act on changing labor market conditions to assist us with our efforts to maintain market competitive wages. In addition, we evaluate internal pay equity though the use of job evaluation and market analyses that we then adjust for tenure, experience, location, performance, and other variables that can affect wages. We have experienced labor shortages and wage pressures in many markets in which we operate. During the third quarter of 2024, we provided wage increases to nearly all of our facility staff not covered by the McNamara-O'Hara Service Contract Act, which is applicable to our facilities with federal contracts, in order to remain competitive. Additionally, throughout the year we made out-of-cycle wage adjustments to maintain market competitiveness. We expect to continue to invest in staffing resources during 2025, which may result in additional compensation and incremental expenses.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multiple medical and wellness benefit plans, dental, vision, and disability income insurance, flexible spending accounts, and life and accidental death and dismemberment insurance. In addition, we provide our employees with paid time off and paid holidays. We also provide retirement benefits to our employees through a 401(k) retirement plan. To be eligible for most benefit plans, employees must be in a full-time position; certain exceptions apply, such as eligibility for the 401(k) retirement plan if the 401(k) retirement plan's service and hour requirements are met or at locations where the McNamara-O'Hara Service Contract Act applies.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Relations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we employed 11,649 full- and part-time employees, including employees with our transportation and electronic monitoring subsidiaries, TransCor and Recovery Monitoring Solutions Corporation, respectively. Approximately 2,115 of our employees at 13 of our facilities, or approximately 18.2% of our workforce, are represented by labor unions. All of our collective bargaining agreements contain no-strike clauses that bind the unions and the bargaining unit employees. Work stoppages at any of our facilities are exceedingly rare. In the opinion of management, overall employee relations are good. New executive orders, administrative rules and changes in National Labor Relations could increase organizing activity at locations where employees are currently not represented by a labor organization. Increases in organizational activity or any future work stoppages could have an adverse impact on our business, financial condition,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Safety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bettering the public good by making our facilities and communities safe for our team members, those under our care, and the public. In 2024, our "Team Safety" program continued initiatives to provide a safe environment and safe working conditions as reflected in our policies and procedures.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Regulations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industry in which we operate is subject to extensive federal, state, and local regulations, including educational, health care, data privacy and security, transportation, telecommunications, and safety regulations, which are administered by many governmental and regulatory authorities. Some of the regulations are unique to the corrections industry, and some target private, for-profit entities by imposing location requirements, compliance requirements, elevated litigation risk and financial penalties only on private, for-profit correction and detention providers. Facility management contracts typically include specific staffing requirements, reporting requirements, supervision, and on-site monitoring by representatives of the contracting governmental agencies. Corrections and reentry personnel are customarily required to meet certain training standards and, in some instances, facility personnel are required to be licensed and subject to background investigation. Certain jurisdictions also require us to award subcontracts on a competitive basis or to subcontract with certain types of businesses, such as small businesses and businesses owned by members of minority groups. Our facilities are also subject to operational and financial audits by the governmental agencies with which we have contracts. In addition, our technological infrastructure is required by federal agencies to undergo a security compliance audit and provide security logs on a monthly basis. Failure to comply with these regulations and contract requirements can result in material penalties or non-renewal or termination of facility management contracts which could have a material effect on our financial position, results of operations and cash flows, or on our competitive position as a dependable government partner.</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various federal, state, and local environmental laws, ordinances and regulations, a current or previous owner or operator of real property may be liable for the costs of removal or remediation of hazardous or toxic substances on, under, or in such property. Such laws often impose liability whether or not the owner or operator knew of, or was responsible for, the presence of such hazardous or toxic substances. As an owner of real estate assets and as the result of our operation and management of correctional, detention, and residential reentry facilities, we have been, and continue to be, subject to these laws, ordinances, and regulations. Phase I environmental assessments have been obtained on substantially all of the properties we currently own. We are not aware of any environmental matters that are expected to materially affect our financial condition or results of operations; however, if such matters are detected in the future, the costs of complying with environmental laws could have a material effect on our financial position, results of operations and cash flows, or on our competitive position as a dependable government partner.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Security Requirements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as amended and implementing regulations, or HIPAA, require covered entities, which include most health care providers, to protect the privacy and security of individually identifiable health information, known as “protected health information” and establish individual rights related to understanding and controlling how health information is used or disclosed. In the event of breaches of unsecured protected health information, covered entities must notify affected individuals, the U.S. Department of Health and Human Services, or DHHS, and, in certain situations involving large breaches, the media. Additionally, we are subject to complex and evolving U.S. federal and state privacy laws and regulations, including those pertaining to the processing of personal data, such as the California Consumer Privacy Act, as amended by the California Privacy Rights Act and similar laws in Colorado and Virginia.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Healthcare providers are also subject to a growing number of requirements intended to promote the interoperability and exchange of patient health information, including information blocking restrictions that prohibit practices that are likely to interfere with the access, exchange or use of electronic health information, with limited exceptions.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data privacy and other risks related to our business, see Item 1A. Risk Factors—Risks Related to Our Business and Industry—</w:t>
      </w:r>
      <w:r>
        <w:rPr>
          <w:rFonts w:ascii="Times New Roman" w:cs="Times New Roman" w:eastAsia="Times New Roman" w:hAnsi="Times New Roman"/>
          <w:sz w:val="18"/>
          <w:szCs w:val="18"/>
          <w:i w:val="1"/>
          <w:iCs w:val="1"/>
          <w:color w:val="auto"/>
        </w:rPr>
        <w:t>The failure to comply with data privacy, security and exchange legal requirements could have a material adverse impact on 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position, results of operations, cash flows and reputation</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general liability insurance for all the facilities we operate, as well as insurance in amounts we deem adequate to cover property and casualty risks, employee health, workers' compensation, automobile liability, cybersecurity, and directors and officers' liability. In addition, each of our leases with third parties provides that the lessee will maintain insurance on each leased property under the lessee's insurance policies providing for the following coverages: (i) fire, vandalism, and malicious mischief, extended coverage perils, and all physical loss perils; (ii) comprehensive general public liability (including personal injury and property damage); and (iii) workers' compensation. Under each of these leases, we have the right to periodically review our lessees' insurance coverage and provide input with respect thereto.</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our management contracts and the statutes of certain states require the maintenance of insurance with some states imposing insurance requirements specific to private corrections and detention providers as a requirement for continued operation. Because we are significantly self-insured for employee health, workers' compensation, automobile liability, and general liability insurance, the amount of our insurance expense is dependent on claims experience, and our ability to control our claims experience. Our insurance policies contain various deductibles and stop-loss amounts intended to limit our exposure for individually significant occurrences. However, the nature of our self-insurance policies provides little protection for deterioration in overall claims experience or an increase in medical costs. We are continually developing strategies to improve the management of our future loss claims but can provide no assurance that these strategies will be successful. However, unanticipated additional insurance expenses resulting from adverse claims experience or an increasing cost environment for general liability and other types of insurance could adversely impact our results of operations and cash flows.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correctional, detention, and residential reentry facilities we own, operate, or manage, as well as those facilities we own but are managed by other operators, are subject to competition for offenders and residents from other private operators. We compete primarily on the basis of bed availability, cost, the quality and range of services offered, our experience in the design, construction, and management of correctional and detention facilities, and our reputation. We compete with government agencies that are responsible for correctional, detention, and residential reentry facilities and a number of companies, including, but not limited to, The GEO Group, Inc. and Management and Training Corporation. We also compete in some markets with small local companies that may have a better knowledge of the local conditions and may be better able to gain political and public acceptance. Other potential competitors may in the future enter into businesses competitive with us without a substantial capital investment or prior experience. We may also compete in the future for acquisitions and new development projects with companies that have more financial resources than we have or those willing to accept lower returns than we are willing to accept. Competition by other companies may adversely affect occupancy at our facilities, which could have an adverse impact on the operating revenue of our facilities. In addition, revenue derived from our facilities will be affected by a number of factors, including the demand for beds, general economic conditions, and the age of the general population.</w:t>
      </w:r>
    </w:p>
    <w:p>
      <w:pPr>
        <w:spacing w:after="0" w:line="29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 owner and operator of correctional, detention, and residential reentry facilities, we are subject to certain risks and uncertainties associated with, among other things, the corrections and detention industry, pending or threatened litigation in which we are involved, real estate ownership, and our indebtedness. The risks and uncertainties set forth below could cause our actual results to differ materially from those indicated in the forward-looking statements contained herein and elsewhere. The risks described below are not the only risks we face. Additional risks and uncertainties not currently known to us or those we currently deem to be immaterial may also materially and adversely affect our business operations. Any of the following risks could materially adversely affect our business, financial condition, or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Resistance to privatization of correctional, detention, and residential reentry facilities, and negative publicity regarding inmate disturbances or perceived poor operational performance, could result in our inability to obtain new contracts, the loss of existing contracts, or other unforeseen consequences.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Privatization of correctional, detention, and residential reentry facilities has not achieved complete acceptance by either government agencies or the public at large. The operation of correctional, detention, and residential reentry facilities by private entities has encountered resistance from certain groups, such as labor unions, prison reform organizations, activists and others that believe that correctional, detention, and residential reentry facilities should only be operated by governmental agencies. Any political platform or promise, governmental agency report, investigation or inquiry, public statement by any governmental agency, policy or legislative change, or other similar occurrence or action, that seeks to, or purports to, prohibit, eliminate, or otherwise restrict or limit in any way, the federal government’s (or any state or local government’s) ability to contract with private operators of correctional, detention, and residential reentry facilities, could negatively impact our growth and our ability to renew or maintain existing contracts or to obtain new contracts and could have a material adverse effect on our business, financial condition, results of operations or the market price of our common stock.</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26, 2021, then-President Biden issued the Private Prison EO. The Private Prison EO directed the Attorney General to not renew DOJ contracts with privately operated criminal detention facilities. Two agencies of the DOJ, the BOP and the USMS, utilize our services. The BOP houses inmates who have been convicted, and the USMS is generally responsible for detainees who are awaiting trial. The Private Prison EO only applied to agencies that are part of the DOJ, which includes the BOP and USMS. We no longer operate any prison contracts for the BOP. ICE facilities were not covered by the Private Prison EO, as ICE is an agency of the DHS, not the DOJ. For the year ended December 31, 2024, USMS and ICE accounted for 21% ($406.4 million) and 29% ($564.8 million), respectively, of our total revenue. For the year ended December 31, 2023, USMS and ICE accounted for 21% ($400.4 million) and 30% ($565.5 million), respectively, of our total revenue. For the year ended December 31, 2022, USMS and ICE accounted for 22% ($403.9 million) and 29% ($527.3 million), respectively, of our total revenue.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Unlike the BOP, the USMS does not own detention capacity and relies on the private sector, along with various government agencies, for its detainee population. We currently have two detention facilities that have direct contracts with the USMS. Because of the lack of alternative bed capacity, one of the contracts was renewed upon its expiration in September 2023, and now expires in September 2028. The second direct contract expires in October 2025. On January 20, 2025, President Trump reversed the Private Prison EO. However, it is possible future administrations could issue similar executive orders restricting the use of private correctional and detention facilities by the federal government.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Immigration reform laws are currently a focus for legislators and politicians at the federal, state, and local level. Legislation has been passed in California, Colorado, and New Jersey, where we operate detention facilities, as well as Maryland, Illinois, Oregon and Washington, that prohibits state and local agencies from contracting to detain immigrants in ICE custody. In addition, legislation has been proposed in New Mexico, a state in which we own facilities, that would prohibit state and local agencies from contracting to detain immigrants in ICE custody. While recent court decisions in California and New Jersey have struck down these restrictions as to direct contracts between ICE and private companies, restrictions on state and local agency contracts to detain immigrants in ICE custody generally remain in place in the states where such laws have been passed.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negative publicity regarding offenders escaping, rioting or any other disturbances at our facilities or any public perception of poor operational performance at our facilities, contract non-compliance, or other conditions (including disease outbreaks at the facilities we own and manage) at a privately managed facility may result in adverse publicity to us and the private corrections industry in general and could negatively impact our growth and our ability to renew or maintain existing contracts or to obtain new contracts, which could have an adverse impact on our business, reputation, financial condition, results of operations or the market price of our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fluctuations in occupancy levels, and a decrease in occupancy levels could cause a decrease in revenues and profitability.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a substantial portion of our cost structure is fixed, a substantial portion of our revenue is generated under facility ownership and management contracts that specify per diem payments based upon daily or minimum guaranteed occupancy levels. We are dependent upon the governmental agencies with which we have contracts to provide offenders for facilities we operate. We cannot control occupancy levels at the facilities we operate. We do not lobby or advocate for any policies that determine the basis for or duration of an individual's incarceration or detention. Under a per diem rate structure, a decrease in our occupancy rates could cause a decrease in revenue and profitability. For the years 2024, 2023, and 2022, the average compensated occupancy of our facilities, based on rated capacity, was 75%, 72%, and 70%, respectively, for all of the facilities we operated, exclusive of facilities that are leased to third-party operators where our revenue is generally not based on daily occupancy. Occupancy rates may, however, decrease below these levels in the future. When combined with relatively fixed costs for operating each facility, a decrease in occupancy levels could have an adverse impact on our profitability.</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government appropriations, and our results of operations may be negatively affected by governmental budgetary challenges or government shutdowns.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cash flow is subject to the receipt of sufficient funding of, and timely payment by, contracting governmental entities. If the appropriate governmental agency does not receive sufficient appropriations to cover its contractual obligations, it may terminate our contract or delay or reduce payment to us. While we have historically been required to continue to perform under our government contracts during government shutdowns, we are generally not paid until the government reopens. Any delays in payment, or the termination of a contract, could have an adverse effect on our results of operations, cash flow and financial condition. In addition, federal, state and local governments are constantly under pressure to control additional spending or reduce current levels of spending. In prior years, these pressures have been compounded by economic downturns. Accordingly, we have been requested and may be requested in the future to reduce our existing per diem contract rates or forego prospective increases to those rates. Further, our government partners could reduce offender population levels in facilities we own or manage to contain their correctional costs. In addition, it may become more difficult to renew our existing contracts on favorable terms or otherwise.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Efforts to reduce the U.S. federal deficit could adversely affect our liquidity, results of operations and financial condition.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reductions in government spending in an effort to reduce the U.S. federal deficit could result in a reduction in the utilization of our services or additional pricing pressure. Further, there is ongoing uncertainty regarding the federal budget and federal spending levels, including the possible impacts of a failure to increase the “debt ceiling.” Any U.S. government default on its debt could have broad macroeconomic effects that could, among other things, raise our borrowing costs. Any future shutdown of the federal government or failure to enact annual appropriations could also have a material adverse impact on our liquidity, results of operations and financial condition.</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considerable uncertainty exists regarding how future budget and program decisions will develop, including the spending priorities of the new U.S. presidential administration and Congress and what challenges budget reductions will present for us and our industry generally. For example, on November 12, 2024, President Trump announced a planned advisory commission, the “Department of Government Efficiency” to reform federal government processes and reduce expenditures. Pressures on and uncertainty surrounding the U.S. federal government’s budget, and potential changes in budgetary priorities and spending levels, could adversely affect the funding for and delay or eliminate the ability for additional contracting or increased bed capacity.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may adversely affect the profitability of our business.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compete with government entities and other private operators on the basis of bed availability, cost, quality and range of services offered, experience in designing, constructing, and managing facilities, and reputation of management and personnel. While there are barriers to entering the market for the ownership and management of correctional, detention, and residential reentry facilities, these barriers may not be sufficient to limit additional competition. In addition, our government customers may assume the management of a facility that they own and we currently manage for them upon the termination of the corresponding management contract or, if such customers have capacity at their facilities, may take offenders and residents currently cared for in our facilities and transfer them to government-run facilities. Since we are paid on a per diem basis with no minimum guaranteed occupancy under most of our contracts, the loss of such offenders and residents, and the resulting decrease in occupancy, would cause a decrease in our revenues and profitability.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terminations, non-renewals, or competitive re-bids of our government contracts.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typically enter into facility contracts with governmental entities for terms of up to five years, with additional renewal periods at the option of the contracting governmental agency. Notwithstanding any contractual renewal option of a contracting governmental agency, 32 of our facility contracts with the customers listed under "Business – Facility Portfolio" are currently scheduled to expire on or before December 31, 2025 but have renewal options (27), or are currently scheduled to expire on or before December 31, 2025 and have no renewal options (5). Although we generally expect these customers to exercise renewal options or negotiate new contracts with us, one or more of these contracts may not be renewed and we may not be able to negotiate a new contract on favorable terms or at all with the corresponding governmental agency. In addition, these and any other contracting agencies may determine not to exercise renewal options with respect to any of our contracts in the future. Our government partners can also re-bid contracts in a competitive procurement process upon termination or non-renewal of our contract. Competitive re-bids may result from the expiration of the term of a contract, including the initial term and any renewal periods, or the early termination of a contract. Competitive re-bids are often required by applicable federal or state procurement laws periodically in order to further competitive pricing and other terms for the government agency. The aggregate revenue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earned during the year ended December 31, 2024 for the 33 contracts with scheduled maturity dates, notwithstanding contractual renewal options, on or before December 31, 2025 was $657.9 million, or 34% of total revenue.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10, 2024, we received notice from ICE of its intent to terminate the IGSA for services at the STFRC, effective August 9, 2024. As a result, we provided notice to the third-party lessor of the facility of our intent to terminate the lease effective as of the same date, with no financial penalties as permitted by the lease agreement. Total revenue generated at the STFRC was $101.2 million and $156.6 million during 2024 and 2023, respectively. Facility net operating income at this facility was $51.5 million and $65.6 million during 2024 and 2023, respectively. The decrease in facility net operating income from 2023 to 2024 at the STFRC, which resulted from the termination, was partially offset by the accelerated recognition of deferred revenue, as well as the accelerated decline in detainee populations in early July 2024, resulting in the elimination of most operating expenses though we continued to generate fixed contractual revenue through the termination date. Even excluding these unique factors positively affecting 2024, the operating margin at STFRC exceeded the average operating margin of our portfolio due to the size and scalability of expenses, and due to the unique design and specialized services provided at the facility. Accordingly, the termination of the contract at this facility had, and will continue to have, a negative impact on operating margins following the termination date.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stated above, the Private Prison EO directed the Attorney General to not renew DOJ contracts with privately operated criminal detention facilities. Two agencies of the DOJ, the BOP and the USMS, utilize our services. The BOP houses inmates who have been convicted, and the USMS is generally responsible for detainees who are awaiting trial. The Private Prison EO only applied to agencies that are part of the DOJ, which includes the BOP and USMS. We no longer operate any prison contracts for the BOP. ICE facilities were not covered by the Private Prison EO, as ICE is an agency of the DHS, not the DOJ. For the year ended December 31, 2024, the USMS accounted for 21% ($406.4 million) of our total revenue.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Unlike the BOP, the USMS does not own detention capacity and relies on the private sector, along with various government agencies, for its detainee population. We currently have two detention facilities that have direct contracts with the USMS. Because of the lack of alternative bed capacity, one of the contracts was renewed upon its expiration in September 2023, and now expires in September 2028. The second direct contract expires in October 2025. On January 20, 2025, President Trump reversed the Private Prison EO. However, it is possible future administrations could issue similar executive orders restricting the use of private correctional and detention facilities by the federal government.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contract at the 300-bed Elizabeth Detention Center in New Jersey is currently scheduled to expire on February 28, 2025. ICE has issued an RFP for up to 600 beds in New Jersey. We have offered the Elizabeth Detention Center under this RFP, but can provide no assurance that we will be awarded a new contract under this RFP. We generated total revenue of $19.6 million at this facility during the twelve months ended December 31,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Governmental agencies typically may terminate a facility contract at any time without cause or use the possibility of termination to negotiate a lower per diem rate. In the event any of our contracts are terminated or are not renewed on favorable terms or otherwise, we may not be able to obtain additional replacement contracts. The non-renewal, termination, renegotiation or competitive re-bid of any of our contracts with governmental agencies could materially adversely affect our financial condition, results of operations and liquidity, including our ability to secure new facility contracts from others.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information available as of the date of this Annual Report, we believe we will renew all contracts with our government partners that have expired or are scheduled to expire within the next twelve months that could have a material adverse impact on our financial statements. We believe our renewal rate on existing contracts remains high due to a variety of reasons including, but not limited to, the constrained supply of available beds within the U.S. correctional system, our ownership of the majority of the beds we operate, and the cost effectiveness of the services we provide. However, we can provide no assurance that we will continue to achieve high renewal rates in the future.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secure new contracts to develop and manage correctional, detention, and residential reentry facilities depends on many factors outside our control.</w:t>
      </w:r>
    </w:p>
    <w:p>
      <w:pPr>
        <w:spacing w:after="0" w:line="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growth is generally dependent upon our ability to obtain new contracts to develop and manage correctional, detention, and residential reentry facilities. This possible growth depends on a number of factors we cannot control, including crime rates and sentencing patterns in various jurisdictions, immigration policy, governmental budgetary constraints, and governmental and public acceptance of the privatization of correctional, detention, and reentry facilities. The demand for our facilities and services could be adversely affected by the relaxation of enforcement efforts, immigration policies that result in reduced migration to the U.S. or a decrease in the number of people apprehended and detained, the expansion of alternatives to incarceration and detention, leniency in conviction or parole standards and sentencing practices through the decriminalization of certain activities that are currently proscribed by criminal laws. For instance, any changes with respect to drugs and controlled substances or illegal immigration could affect the number of persons arrested, convicted, and sentenced, thereby potentially reducing demand for correctional or detention facilities to house them. Immigration reform laws are an ongoing focus for legislators and politicians at the federal, state, and local level and policies that deny entry into the U.S. for any reason could result in a decrease in the demand for our services. Legislation has also been proposed in numerous jurisdictions that could lower minimum sentences for some non-violent crimes and make more inmates eligible for early release based on good behavior. On December 21, 2018, then-President Trump signed legislation, known as The First Step Act, that reduces sentences for first-time offenders in possession of a gun when committing a crime, eliminates mandating life-time sentences for three-time offenders, provides judges more discretion in crafting sentences for some drug-related offenses, and allows offenders to seek a retroactive reduction in sentences affected by the disparity in the sentences for crack and powder cocaine cases narrowed by the Fair Sentencing Act of 2010. Although, under long-standing policy, CoreCivic does not draft, lobby for, promote, or in any way take a position on policies that determine the basis or duration of an individual's incarceration or detention, CoreCivic supported adoption of The First Step Act because the legislation aligns with our publicly stated commitment to advocate for a range of recidivism-reducing policies by providing additional resources to help ensure that incarcerated individuals are given the best possible chance to successfully return to their communities and stay out of prison. Also, the expansion of alternatives to incarceration and detention, such as electronic monitoring or the use of other technologies, may reduce the number of offenders who would otherwise be incarcerated or detained. Similarly, reductions in crime rates, increases in resources dedicated to preventing crime, reduced funding for law enforcement, or strained law enforcement resources could lead to a reduction in arrests, which could lead to a decrease in convictions and sentences requiring incarceration at correctional facilities.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certain jurisdictions may require successful bidders to make a significant capital investment in connection with the financing of a particular project. We may compete for such projects with companies that have more financial resources than we have. Further, we may not be able to obtain capital resources with favorable terms, if at all, when needed. A prolonged downturn in the financial capital markets or in our stock price could make it more difficult to obtain capital resources at favorable rates of return or obtain capital resources at all.</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Expectations about growth in the utilization of detention beds by the federal government may not be realized, which could negatively impact our stock price.</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expect demand from the federal government for our correctional and detention facilities to increase under the new presidential administration, particularly from ICE, as a result of anticipated changes in immigration policy and funding levels of our federal government partners charged with correctional and detention responsibilities. This anticipated increase in demand could result in higher utilization of our available capacity under existing contracts, as well as through new contracts utilizing our idle correctional and detention facilities or our other existing capacity. However, we can provide no assurance that the federal government will increase the utilization of our available capacity. Further, the activation of our idle correctional and detention facilities generally requires four to six months to hire, train, and prepare our facilities to accept residential populations, which could result in substantial expenses before we are able to realize additional revenue. If the demand from the federal government for our correctional and detention facilities is not realized or does not increase to levels generally expected in the marketplace, our stock price could decline.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community opposition to facility location, which may adversely affect our ability to obtain new contracts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in obtaining new awards and contracts sometimes depends, in part, upon our ability to locate land that can be leased or acquired, on economically favorable terms, by us or other entities working with us in conjunction with our proposal to construct and/or manage a facility. Some locations may be in or near populous areas and, therefore, may generate legal action or other forms of opposition from residents in areas surrounding a proposed site. When selecting project sites, we attempt to conduct business in communities where local leaders and residents generally support the establishment of a privatized correctional, detention, or residential reentry facility. Even if we identify sites where local leaders and residents generally support the establishment of a correctional, detention, or residential reentry facility, whether to be publicly or privately operated, such endeavors may still face resistance by broader groups to facilities perceived as supporting over-incarceration. Therefore, future efforts to find suitable host communities may not be successful. We may incur substantial costs in evaluating the feasibility of the development of a correctional, detention, or residential reentry facility. As a result, we may report significant charges if we decide to abandon efforts to develop a correctional, detention, or residential reentry facility on a particular site. Further, in many cases, the site selection is made by the contracting governmental entity. In such cases, site selection may be made for reasons related to political and/or economic development interests and may lead to the selection of sites that have less favorable environments.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significant start-up and operating costs on new contracts before receiving related revenues, which may impact our cash flows and not be recouped.</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we are awarded a contract to provide or manage a facility, we may incur significant start-up and operating expenses, including the cost of constructing the facility, purchasing equipment and staffing the facility, before we receive any payments under the contract. We may also experience a disruption in cash flows when transitioning from one contract to another. For example, during 2022, as a result of a new contract award from the state of Arizona for up to 2,706 inmates, we transitioned the population at our 3,060-bed La Palma Correctional Center from ICE detainees to inmates from the state of Arizona, which resulted in the disruption of earnings and cash flows during the transition period. Disruptions like these could result in a significant reduction in our cash reserves and may make it more difficult for us to meet other cash obligations. In addition, a contract may be terminated prior to its scheduled expiration, and as a result, we may not recover these expenditures or realize any return on our investment.</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Government agencies may investigate and audit our contracts and operational performance, and if any deficiencies or improprieties are found, we may be required to cure those deficiencies or improprieties, refund revenues we have received, or forego anticipated revenues, and we may be subject to penalties and sanctions, including contract termination and prohibitions on our bidding in response to Requests for Proposals.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Facility management contracts typically include reporting requirements, supervision, and on-site monitoring by representatives of the contracting governmental agencies. Additionally, governmental agencies with which we contract have the authority to audit and investigate our contracts with them. As part of that process, government agencies may review our performance of the contract, our pricing practices, our cost structure and our compliance with applicable performance requirements, laws, regulations and standards. The regulatory and contractual environment in which we operate is complex and many aspects of our operations remain subject to manual processes and oversight that make compliance monitoring difficult and resource intensive. In August 2024, the state of Tennessee was notified by letter that the DOJ was commencing an investigation under the Civil Rights Institutionalized Persons Act of conditions in our owned and operated Trousdale Turner Correctional Center, which we manage on behalf of the Tennessee Department of Corrections. We are cooperating with the investigation.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governmental agency audit, review or investigation could result in a request to cure a performance or compliance issue, and if we are unable to, or otherwise fail to do so, the failure could lead to the imposition of monetary penalties or revenue deductions, or the termination of the contract in question and/or other contracts that we have with that governmental agency. Similarly, for contracts that actually or effectively provide for certain reimbursement of expenses, if an agency determines that we have improperly allocated costs to a specific contract, we may not be reimbursed for those expenses, and we could be required to refund the amount of any such expenses that have been reimbursed or pay liquidated damages. If a government audit asserts improper or illegal activities by us, we may be subject to civil and criminal penalties and administrative sanctions, including termination of contracts, forfeitures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profits, suspension of payments, fines and suspension or disqualification from doing business with certain government entities. In addition to the potential civil and criminal penalties and administrative sanctions, any adverse determination with respect to contractual or regulatory violations could negatively impact our reputation and our ability to bid in response to RFPs in one or more jurisdictions.</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facility contracts or with unique and increased governmental regulation could result in material penalties or non-renewal or termination of noncompliant contracts or our other contracts to provide or manage correctional, detention, and residential reentry facilities.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industry in which we operate is subject to extensive federal, state, and local regulations, including educational, environmental, health care, data privacy, transportation, telecommunications, and safety regulations, which are administered by many regulatory authorities. Some of the regulations are unique to the corrections industry, some target private, for-profit entities by imposing location requirements, compliance requirements, elevated litigation risk and financial penalties only on private, for-profit correction and detention providers, and some are unique to government contractors. The combination of regulations we face is unique and complex. Facility management contracts typically include reporting requirements, supervision, and on-site monitoring by representatives of the contracting governmental agencies. Corrections and reentry personnel are customarily required to meet certain training standards and, in some instances, facility personnel are required to be licensed and subject to background investigation. Certain jurisdictions also require us to award subcontracts on a competitive basis or to subcontract with certain types of businesses, such as small businesses and businesses owned by members of minority groups. Our facilities are also subject to operational and financial audits by the governmental agencies with which we have contracts. Federal regulations also require federal government contractors to self-report evidence of certain forms of misconduct. We may not always successfully comply with these regulations and contract requirements, and failure to comply can result in material penalties, including financial penalties, non-renewal or termination of noncompliant contracts and/or our other facility contracts, exclusion from new contract procurement or RFP bidding, and suspension or debarment from contracting with certain government entities.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private prison managers are subject to government legislation and regulation attempting to restrict the ability of private prison managers to house certain types of inmates, such as inmates from other jurisdictions or inmates at medium or higher security levels. Legislation has been enacted in several states, and has previously been proposed in the United States Congress, containing such restrictions. Such legislation, if enacted, could have an adverse effect on us.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also has been increasing focus by U.S. and foreign government authorities on environmental matters, such as climate change, the reduction of greenhouse gases and water consumption. In particular, the State of California passed the Climate Corporate Data Accountability Act and the Climate-Related Financial Risk Act that will impose broad climate-related disclosure obligations on certain companies doing business in California, starting in 2026. In March 2024, the SEC adopted new rules regarding climate-related disclosures; however, on April 4, 2024, the SEC issued an order staying the new rules pending the completion of ongoing judicial review. If ultimately implemented, such climate-related disclosure rules could significantly increase compliance burdens, associated regulatory costs, and complexity. New or revised laws and regulations or new interpretations of existing laws and regulations, such as those related to climate change, could affect the operation of our properties or result in significant additional expense and restrictions on our business operations.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inmate transportation subsidiary, TransCor, is subject to regulations promulgated by the Departments of Transportation and Justice. TransCor must also comply with the Interstate Transportation of Dangerous Criminals Act of 2000, which covers operational aspects of transporting prisoners, including, but not limited to, background checks and drug testing of employees; employee training; employee hours; staff-to-inmate ratios; prisoner restraints; communication with local law enforcement; and standards to help ensure the safety of prisoners during transport. Any changes in such regulations could result in an increase in the cost of our transportation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4"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From time to time, we enter into agreements with telecommunications providers to provide telephone services to residents in our facilities. Although we are not a telecommunications provider, these services are subject to regulations which may change from time to time. We are subject to the direct and indirect effects of these regulations.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 with these regulations, either by us or by our telecommunications providers, subjects us to risks which could result in increases to our costs or decreases in our revenue. The impact to our revenue is limited because a significant amount of commissions paid by our telecommunications providers is passed along to our customers or is reserved and must be used for the benefit of offenders in our care.</w:t>
      </w:r>
    </w:p>
    <w:p>
      <w:pPr>
        <w:spacing w:after="0" w:line="1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comply with data privacy, security and exchange legal requirements could have a material adverse impact on our business, financial position, results of operations, cash flows and reputation.</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complex and evolving U.S. federal and state privacy laws and regulations, which sometimes conflict among the various jurisdictions where we do business. For example, we are subject to HIPAA, which requires us to protect the privacy and security of individually identifiable health information, known as “protected health information” and recognize individual rights related to understanding and controlling how health information is used or disclosed. Various states have passed laws pertaining to the processing of personal data that require companies, including us, to provide new disclosures and options to such persons about data collection, use and sharing practices. Some of these laws are already in effect, while others will go into effect during 2025. HIPAA and state laws require us to report data breaches to affected individuals, government regulators, and in certain cases involving large breaches, the media. Further, the U.S. federal government and a significant number of additional states are considering expanding or passing privacy laws in the near term. We are also subject to increasing legal requirements with respect to the use of artificial intelligence and machine learning applications and tools (including in relation to hiring and employment practices) and biometric information. These legal requirements are rapidly changing and are subject to uncertain application, interpretation and enforcement standards. Our current or future use of artificial intelligence or machine learning tools in our business operations could expose us to new or additional costs and risks, including the potential introduction of new vulnerabilities or cybersecurity risks within our information technology systems and the potential inadvertent or unauthorized release of confidential or protected health information resulting from the use (whether or not authorized) of artificial intelligence or machine learning tools by our employees, contractors, agents, representatives or affiliates. In addition, the artificial intelligence tools we may incorporate into certain aspects of our operations may not generate the intended efficiencies and may impact our business results.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increasingly complex, restrictive and rapidly evolving regulatory environment at the federal and state level related to data privacy and data protection, including with respect to protected health information and the use of artificial intelligence, may require significant continued effort and cost, changes to our business and data processing practices and impact our ability to obtain and use data. These laws provide for civil penalties for violations, and some confer a private right-of-action to certain individuals for data breaches. Federal and state regulatory bodies, including the Federal Trade Commission and the California Privacy Protection Agency are engaging in enforcement investigations and actions with respect to privacy and data protection. There is no assurance that our security controls, training of employees on data privacy and data security, and policies, procedures and practices will prevent the improper use or disclosure of personal data. Our inability to adapt or comply with such legal requirements, or the improper use or disclosure of personal data in violation of data privacy laws could harm our reputation, cause loss of consumer confidence, subject us to government enforcement actions, or result in private litigation against us, which could result in loss of revenue, increased costs, liability for monetary damages, fines and/or criminal prosecution, all of which could have a material adverse impact on our business, financial position, results of operations and cash flows.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governmental customers for a significant portion of our revenues.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derive, and expect to continue to derive, a significant portion of our revenues from a limited number of governmental agencies. The three primary federal governmental agencies with correctional and detention responsibilities, ICE, the USMS, and the BOP accounted for 51% of our total revenues for the year ended December 31, 2024 ($1,001.9 million). For the year ended December 31, 2024, ICE, USMS, and the BOP accounted for 29% ($564.8 million), 21% ($406.4 million), and 2% ($30.7 million), respectively, of our total revenue. Although the revenue generated from each of these agencies is derived from numerous management contracts and various types of properties, i.e. correctional, detention, and reentry, the loss or substantial reduction in value of one or more of such contracts could have a material adverse impact on our financial condition, results of operations, and cash flows. We expect to continue to depend upon federal agencies, including ICE and the USMS, and a relatively small group of other governmental customers for a significant percentage of our revenues.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Private Prison EO directed the Attorney General to not renew DOJ contracts with privately operated criminal detention facilities. Two agencies of the DOJ, the BOP and the USMS, utilize our services. The BOP houses inmates who have been convicted, and the USMS is generally responsible for detainees who are awaiting trial. The Private Prison EO only applied to agencies that are part of the DOJ, which includes the BOP and USMS. We no longer operate any prison contracts for the BOP. ICE facilities were not covered by the Private Prison EO, as ICE is an agency of the DHS not the DOJ. For the year ended December 31, 2024, the USMS accounted for 21% ($406.4 million) of our total revenue.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Unlike the BOP, the USMS does not own detention capacity and relies on the private sector, along with various government agencies, for its detainee population. We currently have two detention facilities that have direct contracts with the USMS. Because of the lack of alternative bed capacity, one of the contracts was renewed upon its expiration in September 2023, and now expires in September 2028. The second direct contract expires in October 2025. On January 20, 2025, President Trump reversed the Private Prison EO. However, it is possible future administrations could issue similar executive orders restricting the use of private correctional and detention facilities by the federal government.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our senior management and our ability to attract and retain sufficient qualified personnel.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success of our business depends in large part on the ability and experience of our senior management. The unexpected loss of any of these persons could materially adversely affect our business and operations.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services we provide are labor-intensive. The success of our business, and our ability to satisfy the staffing and operational performance requirements of our contracts, require that we attract, hire, develop and retain sufficient qualified personnel. When we are awarded a facility management contract or open a new facility, we must hire operating management, correctional officers, and other personnel. Our inability to hire sufficient qualified personnel on a timely basis, or experiencing excessive turnover or the loss of significant personnel at existing facilities, could adversely affect our business and operations. These risks may be intensified in the future if the federal government seeks to activate multiple idle facilities to carry out the immigration policies implemented under President Trump's second presidential administration. Many of our contracts include specific staffing requirements, and our failure to satisfy such requirements may result in the imposition of financial penalties or loss of contract.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experienced labor shortages and wage pressures in many markets across the country, and have provided wage increases to remain competitive. The challenges of recruiting and retaining staff has been and could continue to be exacerbated by the current labor market. Further, we have incurred incremental expenses to help ensure sufficient staffing levels under unique and challenging working conditions. These incremental investments have enabled us to increase overall staffing levels when necessary.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achieved higher staffing levels during 2024 when compared to 2023 and, correspondingly, we were able to reduce our use of temporary incentives by $12.8 million as we continued to see improvement in our attraction and retention of facility staff in this challenging labor market. We believe these investments in our workforce have positioned us to manage the increased number of residents we began to experience when the remaining occupancy restrictions caused by the COVID-19 pandemic, most notably Title 42, were removed. We continued to invest in staffing resources during 2024, which has resulted in additional compensation and incremental expenses, and we expect to continue 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jc w:val="both"/>
        <w:spacing w:after="0" w:line="255" w:lineRule="auto"/>
        <w:rPr>
          <w:sz w:val="20"/>
          <w:szCs w:val="20"/>
          <w:color w:val="auto"/>
        </w:rPr>
      </w:pPr>
      <w:r>
        <w:rPr>
          <w:rFonts w:ascii="Times New Roman" w:cs="Times New Roman" w:eastAsia="Times New Roman" w:hAnsi="Times New Roman"/>
          <w:sz w:val="18"/>
          <w:szCs w:val="18"/>
          <w:color w:val="auto"/>
        </w:rPr>
        <w:t>invest in staffing resources, which may result in additional compensation and incremental expenses. Incremental expenses include, but may not be limited to, incentive payments to our front-line and field staff, temporary employee housing expenses and other travel related reimbursements, additional paid time off, off-cycle wage increases in certain markets to remain competitive, and registry nursing expenses. As the labor market improves and labor shortages and wage pressures are alleviated, we expect to further reduce our reliance on these temporary incentives. While we have achieved recent successes, the benefits of our investments in staffing may not be sustained, and labor shortages could intensify again in the future, especially if multiple facility activations are required in certain geographical areas creating a higher demand for labor, which could adversely affect our results of operations, financial condition and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types of litigation.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Legal proceedings related to, and adverse developments in our relationship with, our employees could adversely affect our business, financial condition or results of operations. </w:t>
      </w:r>
      <w:r>
        <w:rPr>
          <w:rFonts w:ascii="Times New Roman" w:cs="Times New Roman" w:eastAsia="Times New Roman" w:hAnsi="Times New Roman"/>
          <w:sz w:val="18"/>
          <w:szCs w:val="18"/>
          <w:color w:val="auto"/>
        </w:rPr>
        <w:t>We and our subsidiaries are party to a variety of claims and legal proceedings in the ordinary course of business, including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 claims and legal proceedings related to employment matters. Because the resolution of claims and legal proceedings is inherently uncertain, there can be no assurance we will be successful in defending against such claims or legal proceedings, or that management's assessment of the materiality of these matters, including the reserves taken in connection therewith, will be consistent with the ultimate outcome of such claims or legal proceedings. In the event management's assessment of materiality of current claims and legal proceedings proves inaccurate or litigation that is material arises in the future, the resolution of such matters may have an adverse impact on our business, financial condition or results of operations.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we employed 11,649 full- and part-time employees, including employees with our transportation and electronic monitoring subsidiaries, TransCor and Recovery Monitoring Solutions Corporation, respectively. Approximately 2,115 of our employees at 13 of our facilities, or approximately 18.2% of our workforce, are represented by labor unions. All of our collective bargaining agreements contain no-strike clauses that bind the unions and the bargaining unit employees. Work stoppages at any of our facilities are exceedingly rare. In the opinion of management, overall employee relations are good. New executive orders, administrative rules and changes in National Labor Relations could increase organizing activity at locations where employees are currently not represented by a labor organization. Increases in organizational activity or any future work stoppages could have an adverse impact on our business, financial condition, or results of operations.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We are subject to legal proceedings associated with owning and managing correctional, detention, and residential reentry facilities. </w:t>
      </w:r>
      <w:r>
        <w:rPr>
          <w:rFonts w:ascii="Times New Roman" w:cs="Times New Roman" w:eastAsia="Times New Roman" w:hAnsi="Times New Roman"/>
          <w:sz w:val="18"/>
          <w:szCs w:val="18"/>
          <w:color w:val="auto"/>
        </w:rPr>
        <w:t>Our ownership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of correctional, detention, and residential reentry facilities, and the provision of inmate transportation services by a subsidiary, expose us to potential third-party claims or litigation by prisoners or other persons relating to personal injury, illness, or other damages resulting from contact with a facility, its managers, personnel or other prisoners, including damages arising from a prisoner's escape from, or a disturbance or riot at, a facility we own or manage, from the misconduct of our employees, or the failure to prevent or detect the introduction of contraband and prohibited substances. To the extent the events serving as a basis for any potential claims are alleged or determined to constitute illegal or criminal activity, we could also be subject to criminal liability. Such liability could result in significant monetary fines and could affect our ability to bid on future contracts and retain our existing contracts. In addition, as an owner of real property, we may be subject to a variety of proceedings relating to personal injuries of persons at such facilities. The claims against our facilities may be significant and may not be covered by insurance. Even in cases covered by insurance, our deductible (or self-insured retention) may be significant.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necessary insurance costs.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Workers' compensation, auto liability, employee health, and general liability insurance represent significant costs to us. Because we are significantly self-insured for workers' compensation, auto liability, employee health, and general liability risks, the amount of our insurance expense is dependent on claims experience, our ability to control our claims experience, and in the case of workers' compensation and employee health, rising health care costs in general. Unanticipated additional insurance costs could adversely impact our results of operations and cash flows, and the failure to obtain or maintain any necessary insurance coverage could have an adverse impact on 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7" w:name="page48"/>
    <w:bookmarkEnd w:id="4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inflation.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facility contracts provide for fixed fees or fees that increase by only small amounts during their terms. If, due to inflation or other causes, our operating expenses, such as wages and salaries of our employees, insurance, medical, and food costs, increase at rates faster than increases, if any, in our revenues, then our profitability would be adversely affected. We have experienced increases in personnel costs and expect the labor market to remain challenging, which could have a material adverse effect on our operations. See "</w:t>
      </w:r>
      <w:r>
        <w:rPr>
          <w:rFonts w:ascii="Times New Roman" w:cs="Times New Roman" w:eastAsia="Times New Roman" w:hAnsi="Times New Roman"/>
          <w:sz w:val="18"/>
          <w:szCs w:val="18"/>
          <w:i w:val="1"/>
          <w:iCs w:val="1"/>
          <w:color w:val="auto"/>
        </w:rPr>
        <w:t>Part II, Item 7. 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 Results of Operations and Management's Discussion and Analysis of Financial Condition and Results of Operations – Inflation.</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in part on the performance and capabilities of third parties with whom we have commercial relationships.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business relationships with key partners, suppliers, channel partners and other parties that have complementary products, services or skills. We depend, in part, on the performance and capabilities of these third parties and on the financial condition of, and our relationship with, distributors and other indirect channel partners, which can affect our capacity to effectively and efficiently serve current and potential government partners. We depend on these third parties and suppliers to also protect themselves from the risks of cybersecurity to ensure timely delivery of products and services we procure. Additionally, cost inflation and supply chain disruptions may lead to higher labor and other costs, as well as an inability to procure products needed to deliver the services we provide, which could adversely affect our results of operations.</w:t>
      </w: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Technological changes or negative changes in the level of acceptance of, or resistance to, the use of electronic monitoring products could cause our electronic monitoring products and other technology to become obsolete or require the redesign of our electronic monitoring products, which could have an adverse effect on our business.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Technological changes within our electronic monitoring business may require us to expend resources in an effort to acquire, maintain and/or utilize new electronic monitoring products and technology. We may not be able to anticipate or respond to technological changes in a timely manner, and our response may not result in successful electronic monitoring product offerings. If we are unable to anticipate or timely respond to technological changes, our business could be adversely affected. Further, our business could be adversely affected if the level of acceptance of or resistance to the use of electronic monitoring products and services by governmental customers were to change over time in a negative manner so that governmental customers decide to decrease their usage levels and contracting for electronic monitoring products and services.</w:t>
      </w: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third parties to manufacture and supply our electronic monitoring products. If our suppliers cannot provide the products or services we require in a timely manner and with such quality as we expect, our ability to market and sell our electronic monitoring products and services could be harmed.</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suppliers fail to supply, in a timely manner, electronic monitoring products that meet our quantity, quality, cost requirements, or technical specifications, we may not be able to access alternative sources of these products within a reasonable period of time or at commercially reasonable rates. A reduction or interruption in the supply of such products, or a significant increase in the price of such products, including as a result of supply chain delays, could have an adverse impact on our marketing and sales initiatives, which could adversely affect our financial condition and results of operations. In addition, contracts with such suppliers may not continue to be available on acceptable terms or at all.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operation of our electronic monitoring products and services entails a risk of product liability. We could be subject to product liability claims to the extent these electronic monitoring products fail to perform as intended. Even unsuccessful claims against us could result in the expenditure of funds in litigation, the diversion of management time and resources, damage to our reputation and impairment of the marketability of our electronic monitoring products and services. While we maintain liability insurance, it is possible that a successful claim could be made against us, that the amount of our insurance coverage would not be adequate to cover the costs of defending against or paying such a claim, and that damages payable by us would harm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ownership of real estate.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ownership of correctional, detention, and residential reentry facilities subjects us to risks typically associated with investments in real estate. Investments in real estate and, in particular, correctional and detention facilities have limited or no alternative use and thus are relatively illiquid. Therefore, our ability to divest ourselves of one or more of our facilities promptly in response to changing conditions is limited. Investments in real estate properties subject us to risks involving potential exposure to environmental liability and uninsured loss. Our operating costs may be affected by the obligation to pay for the cost of complying with existing environmental laws, ordinances and regulations, as well as the cost of complying with future legislation. In addition, although we maintain insurance for many types of losses, there are certain types of losses, such as losses from earthquakes, fires, hurricanes, floods and acts of terrorism, which may be either uninsurable or for which it may not be economically feasible to obtain insurance coverage in light of the substantial costs associated with such insurance. As a result, we could lose both our capital invested in, and anticipated profits from, one or more of the properties we own. Further, it is possible to experience losses that may exceed the limits of insurance coverage.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risk we face for asset impairment charges is associated with real estate that we own. As of December 31, 2024, we had $2.1 billion in property and equipment, including $319.0 million in long-lived assets at seven idled CoreCivic Safety facilities, one idled non-core CoreCivic Safety facility, one idled CoreCivic Community facility, and two idled CoreCivic Properties correctional facilities. We can provide no assurance that we will be able to secure agreements to utilize our idle properties, or that we will not incur impairment charges in the future.</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Certain of our facilities are subject to options to purchase and reversions. </w:t>
      </w:r>
      <w:r>
        <w:rPr>
          <w:rFonts w:ascii="Times New Roman" w:cs="Times New Roman" w:eastAsia="Times New Roman" w:hAnsi="Times New Roman"/>
          <w:sz w:val="18"/>
          <w:szCs w:val="18"/>
          <w:color w:val="auto"/>
        </w:rPr>
        <w:t>Nine of our facilities are subject to an option to purchase by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agencies. Such options are exercisable by the corresponding contracting governmental entity generally at any time during the term of the respective facility contract. Certain of these purchase options are based on the depreciated book value of the facility, which essentially could result in the transfer of ownership of the facility to the governmental agency at the end of the life used for accounting purposes, while other options to purchase are exercisable at prices below fair market value. See "Business – Facility Portfolio." If any of these options are exercised, there exists the risk that we will be unable to invest the proceeds from the sale of the facility in one or more properties that yield as much cash flow as the property acquired by the government entity. In addition, in the event any of these options is exercised, there exists the risk that the contracting governmental agency will terminate the management contract associated with such facility. For the year ended December 31, 2024, the nine facilities currently subject to these options generated $344.6 million in revenue (17.6% of total revenue) and incurred $302.4 million in operating expenses.</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Risks related to facility construction and development activities may increase our costs related to such activities. </w:t>
      </w:r>
      <w:r>
        <w:rPr>
          <w:rFonts w:ascii="Times New Roman" w:cs="Times New Roman" w:eastAsia="Times New Roman" w:hAnsi="Times New Roman"/>
          <w:sz w:val="18"/>
          <w:szCs w:val="18"/>
          <w:color w:val="auto"/>
        </w:rPr>
        <w:t>When we are engaged to perform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and design services for a facility, we typically act as the primary contractor and subcontract with other companies that act as the general contractors. As primary contractor, we are subject to the various risks associated with construction (including, without limitation, shortages of labor and materials, work stoppages, labor disputes, and weather interference which could cause construction delays). In addition, we are subject to the risk that the general contractor will be unable to complete construction at the budgeted costs or be unable to fund any excess construction costs, even though we require general contractors to post construction bonds and insurance. Under such contracts, we are ultimately liable for all late delivery penalties and cost overruns.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an increase in costs or difficulty of obtaining adequate levels of surety credit on favorable terms.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often required to post bid or performance bonds issued by a surety company as a condition to bidding on or being awarded a contract. Availability and pricing of these surety commitments are subject to general market and industry conditions, among other factors. Increases in surety costs could adversely affect our operating results if we are unable to effectively pass along such increases to our customers. We cannot assure you that we will have continued access to surety credit or that we will be able to secure bonds economically, without additional collateral, or at the levels required for any potential facility development or contract bids. If we are unable to obtain adequate levels of surety credit on favorable terms, we would have to rely upon letters of credit under our revolving credit facility, which could entail higher costs if such borrowing capacity was even available when desired, and our ability to bid for or obtain new contracts could be impaired.</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 delay or failure of the provision of our technology services or information systems, or the compromise of the security thereof, could adversely affect our business, financial condition or results of operations.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Components of our business depend significantly on effective information systems and technologies, some of which are provided and/or maintained by third parties. As with any organization that relies on technology to deliver products and services, we face a variety of technology-related risks that could materially impact our operations, financial performance, and reputation. As a matter of course, we may store, transmit, or process the personal information of offenders, employees and other persons as required to provide our services and such personal information or other data may be hosted or exchanged with our government partners and other third-party providers. In response to these risks, we employ industry standard administrative, technical and physical safeguards designed to meet data protection and availability requirements; however, specific examples of risks we face include:</w:t>
      </w:r>
    </w:p>
    <w:p>
      <w:pPr>
        <w:spacing w:after="0" w:line="187" w:lineRule="exact"/>
        <w:rPr>
          <w:sz w:val="20"/>
          <w:szCs w:val="20"/>
          <w:color w:val="auto"/>
        </w:rPr>
      </w:pPr>
    </w:p>
    <w:p>
      <w:pPr>
        <w:jc w:val="both"/>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Our systems and data are subject to the potential for cyberattacks including unauthorized access, data breaches, and malicious software. Any such incidents could result in the loss of sensitive information, significant operational disruptions, legal liability, and reputational harm.</w:t>
      </w:r>
    </w:p>
    <w:p>
      <w:pPr>
        <w:spacing w:after="0" w:line="108"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infrastructure failures: Our reliance on complex technology infrastructure creates risks associated with potential failure of hardware, software, or network components. Such failures could lead to loss of customer trust and incur significant recovery costs.</w:t>
      </w:r>
    </w:p>
    <w:p>
      <w:pPr>
        <w:spacing w:after="0" w:line="80"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technological changes: The rapid paces of technological advancements may render our current technologies obsolete or less competitive. We must continually invest in and adopt technology to meet evolving market demands and customer expectations or requirements. Failure to do so may adversely affect our market position.</w:t>
      </w:r>
    </w:p>
    <w:p>
      <w:pPr>
        <w:spacing w:after="0" w:line="10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vendor risks: We depend on third-party vendors for critical technology services, including cloud storage, data processing, and software development. Any disruption in service, cyberattack or failure on the part of these vendors could impact our ability to operate effectively and meet customer needs.</w:t>
      </w:r>
    </w:p>
    <w:p>
      <w:pPr>
        <w:spacing w:after="0" w:line="108"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Our industry sector is subject to a variety of regulations concerning data privacy, cybersecurity, and technology usage. Non-compliance with these regulations, whether existing or new, could lead to legal penalties, reputational damage, and operational restrictions.</w:t>
      </w:r>
    </w:p>
    <w:p>
      <w:pPr>
        <w:spacing w:after="0" w:line="80"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loss: Our ability to protect our technological innovation and proprietary information is critical. Infringement on our intellectual property rights or failure to adequately protect our technologies may lead to competitive disadvantages and financial losses.</w:t>
      </w:r>
    </w:p>
    <w:p>
      <w:pPr>
        <w:spacing w:after="0" w:line="94"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adoption and experience: The success of our technology solutions relies on user adoption and satisfaction. If our technologies fail to meet user expectations or if we encounter significant resistance to new technologies, our growth and revenue may be adversely affected.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majeure: Unforeseeable circumstances or circumstances beyond our controls such as geopolitical conflicts, natural disasters, etc. may cause significant operational disruptions, which could result in material recovery costs or loss of customer confidence.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current cybersecurity threat environment presents increased risk for all companies, including companies in our industry. We, our employees, government partners, and third parties are regularly the target of cyberattacks and other attempts to breach, or gain unauthorized access to, our information systems and databases. Moreover, given the current cybersecurity threat environment, we expect the volume and intensity of cyberattacks and attempted intrusions to continue to increase in the future. Cybersecurity threats and techniques used in cyberattacks may be pervasive, sophisticated and difficult to prevent, including, computer viruses, malicious or destructive code (such as ransomware), social engineering (including phishing, vishing and smishing), denial of service or information or security breach tactics that could result in disruptions to our business and operations, unauthorized disclosure, release, gathering, monitoring, misuse, loss or destruction or theft of confidential, proprietary or other information, including intellectual property of ours, our employees or of third parties. Cyberattacks are carried out on a worldwide scale and by a growing number of cyber actors, including organized crime groups, hackers, terrorist organizations, extremist parties, hostile foreign governments, state-sponsored actors, activists, disgruntled employees and other third parties. For example, several well-known companies have recently disclosed high-profile security breaches involving sophisticated and highly targeted attacks on their company's infrastructure or their customers' data, which were not recognized or detected until after such companies had been affected notwithstanding the preventive measures they had in place. In addition, since Russia's invasion of Ukraine and the conflict in Israel and the surrounding areas, many companies have experienced heightened cybersecurity risks. Cybersecurity threats and the techniques used in cyberattacks change, develop and evolve rapidly, including from emerging technologies, such as advanced forms of artificial intelligence, machine learning and quantum computing by making fraud detection more difficult, particularly with detection devices that use voice recognition or authentication. Further, the information systems of third parties upon which we rely in connection with our business, such as vendors, suppliers, government partners, and other third-party service providers, could be comprised in a manner that adversely affects us and our information systems. Additionally, the failure of our employees to exercise sound judgment and vigilance when targeted by social engineering or other cyberattacks may increase our vulnerability.</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is no assurance that the security measures we take to reduce the risk of such incidents and protect our systems will be sufficient. Any cyberattack, data breach, security breach, or other security incident resulting in the interruption, delay, compromise or failure of our services or information systems, or the misappropriation, loss, or other unauthorized disclosure of personal data or confidential information, including confidential information about our employees or those entrusted to our care, or other proprietary information, including intellectual property, whether by us directly, our vendors, our employees, our government partners, those entrusted to our care, or our third-party service providers, could damage our reputation, expose us to the risks of litigation and liability, result in significant monetary penalties and/or regulatory actions for violation of applicable laws or regulations, disrupt our business and result in significant costs for investigation and notification regarding the incident and remedial measures to prevent future occurrences and mitigate past violations, result in lost business, or otherwise adversely affect our results of operations. Moreover, any significant cybersecurity incident could require us to devote significant management time and resources to address such incident, interfere with our pursuit of other important business strategies and initiatives, and cause us to incur additional expenditures, which could be material. There is no assurance that any remedial actions will meaningfully limit the success of future attempts to breach our information systems, particularly because malicious actors are increasingly sophisticated and utilize tools and techniques specifically designed to circumvent security measures, avoid detection and obfuscate forensic evidence, which means that we may be unable to identify, investigate or remediate effectively or in a timely manner. Although we maintain cybersecurity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corporate social responsibility.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integration of ESG factors in making investment decisions is relatively new; frameworks and methods used by investors for assessing ESG policies are not fully developed and vary considerably among the investment community; and investor, societal and political sentiments on ESG, both as to particular ESG factors and as to its general relevance to investors and their decisions, continue to evolve. In March 2024, the SEC adopted new rules regarding climate-related disclosures; however, on April 4, 2024, the SEC issued an order staying the new rules pending the completion of ongoing judicial review. If ultimately implemented, such climate-related disclosure rules could significantly increase associated regulatory obligations and legal and reputational risk. Additionally, the State of California's Climate Corporate Data Accountability Act and the Climate-Related Financial Risk Act will impose broad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climate-related disclosure obligations on certain companies doing business in California, including us, starting in 2026. During 2024, we issued our sixth ESG report, which broadly describes how we attempt to deliver on our service commitment to our government and other third-party partners and manage our operations responsibly and ethically. The policies and practices we summarize in our ESG reporting, whether they relate to the standards we set for ourselves or ESG criteria established by third parties, and whether or not we meet such standards, may influence our reputation. For example, the perception held by the general public, our governmental partners, vendors, suppliers, other stakeholders, or the communities in which we do business may depend, in part, on the standards we have chosen to aspire to meet, whether or not we meet these standards on a timely basis or at all, and whether or not we meet external ESG factors they deem relevant. Nonetheless, the subjective and evolving nature and wide variety of methods and processes used by various stakeholders, including investors, to assess a company with respect to ESG criteria can result in the perception of negative ESG factors or a misrepresentation of our ESG policies and practices. Our failure, or perceived failure, to meet expectations on ESG reporting, achieve meaningful progress on ESG-related policies and practices, address stakeholder expectations or meet ESG criteria set by third parties on a timely basis, or at all, could adversely affect our business, results of operations, financial condition and cash flows.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By electing to voluntarily publicize ESG-related information and our approach to ESG standards, our business may also face increased scrutiny related to ESG activities. As a result, our reputation could be harmed if we fail to meet goals we share, report accurate data or act in a manner deemed appropriate or responsible in light of shifting social and political standards and perspectives in the areas in which we report, such as safety and security, human rights, diversity, quality assurance, community engagement, and environmental sustainability. Any harm to our reputation resulting from sharing information, setting goals, attempting to meet external standards set by third-parties or our failure or perceived failure to meet such standards or act in a manner that meets evolving societal and political perspectives could impact, among other things: employee retention; the willingness of our governmental partners, vendors and suppliers to do business with us; investors willingness or ability to purchase or hold our securities; or our ability to access capital, any of which could adversely affect our business, results of operations, financial condition and cash flows. Our ESG report is not incorporated by reference into and does not form any part of this Annual Report.</w:t>
      </w:r>
    </w:p>
    <w:p>
      <w:pPr>
        <w:spacing w:after="0" w:line="2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owner and operator of correctional, detention, and residential reentry facilities, we are subject to risks relating to acts of God, outbreaks of epidemic or pandemic disease, global climate change, terrorist activity and war.</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encounter staffing constraints as well as costs and expenses associated with owning and/or operating our correctional, detention, and residential reentry facilities as a result of acts of God, outbreaks of epidemic or pandemic disease, global climate change (including the potential for increased inclement weather and natural disasters), wars and other geopolitical conflicts (including between Ukraine and Russia and Israel and the surrounding areas) and the potential for war, terrorist activity (including threats of terrorist activity), political unrest, geopolitical uncertainty and other forms of civil strife, in or around locations where we own and/or operate significant properties. These events could have an adverse impact on our business, financial condition, results of operations or the market price of our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health and prevent us from fulfilling our obligations under our debt securities.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 significant amount of indebtedness. As of December 31, 2024, we had total indebtedness of $997.4 million. Our indebtedness could have important consequences. For example, it could:</w:t>
      </w:r>
    </w:p>
    <w:p>
      <w:pPr>
        <w:spacing w:after="0" w:line="5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to fund working capital, capital expenditures, dividends, stock repurchases and other general corporate purposes;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86"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us from pursuing strategic acquisitions or certain other business opportunities;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or refinance existing indebtedness on favorable terms, or at all.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meet our debt service obligations, we may need to suspend our share repurchase program, reduce capital expenditures, restructure or refinance our indebtedness, obtain additional equity financing or sell assets. We may be unable to restructure or refinance our indebtedness, obtain additional equity financing or sell assets on satisfactory terms or at all.</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Bank Credit Facility, indentures related to our senior notes, and other debt instruments have restrictive covenants that could limit our financial flexibility.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indentures related to our New 8.25% senior notes due 2029, and our 4.75% senior notes due 2027, collectively referred to herein as our senior notes, and the credit agreement related to our Bank Credit Facility, contain restrictive covenants that limit our ability to engage in activities that may be in our long-term best interests. Our Bank Credit Facility requires us to comply with certain financial covenants, including leverage and fixed charge coverage ratios. The Bank Credit Facility includes other restrictions that, among other things, limit our ability to incur indebtedness; grant liens; engage in mergers, consolidations and liquidations; make asset dispositions, make restricted payments and investments; issue disqualified stock; enter into transactions with affiliates; and amend, modify or prepay certain indebtedness. The indentures related to our senior notes contain limitations on our ability to effect mergers and change of control events, as well as other limitations on our ability to create liens on our assets. The indenture related to our New 8.25% senior notes due 2029 additionally limits our ability to incur indebtedness, make restricted payments and investments and prepay certain indebtedness.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comply with these covenants could result in an event of default that, if not cured or waived, could result in the acceleration of all or a substantial portion of our debt. We do not have sufficient working capital to satisfy our debt obligations in the event of an acceleration of all or a significant portion of our outstanding indebtedness.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is secured by a substantial portion of our assets.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Bank Credit Facility is secured by a pledge of all of the capital stock (or other ownership interests) of our domestic restricted subsidiaries, 65% of the capital stock (or other ownership interests) of our "first-tier" foreign subsidiaries, all of our accounts receivable and those of our domestic restricted subsidiaries, and substantially all of our deposit accounts and those of our domestic restricted subsidiaries. In the event that (a) the consolidated total leverage equals or exceeds 4.25 to 1.00 or (b) we incur certain debt above a specified threshold, certain intangible assets and unencumbered real estate assets that meet a 50% loan-to-value requirement are required to be added as collateral. Subject to compliance with the restrictive covenants under our existing indebtedness, we may incur additional indebtedness secured by existing or future assets of ours or our subsidiaries. In the event of a default under our Bank Credit Facility or any other secured indebtedness, or if we experience insolvency, liquidation, dissolution or reorganization, the holders of our secured debt would be entitled to payment from their collateral security, and after that the holders of our unsecured debt (including the holders of any deficiency remaining after application of collateral to secured debt) would be entitled to payment from our remaining assets. In such an event, there can be no assurance that we would have sufficient assets to pay amounts due to holders of our unsecured debt, and unsecured debtholders may receive less than the full amount to which they are entitled.</w:t>
      </w:r>
    </w:p>
    <w:p>
      <w:pPr>
        <w:spacing w:after="0" w:line="2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Servicing our indebtedness will require a significant amount of cash or may require us to refinance our indebtedness before it matures. Our ability to generate cash depends on many factors beyond our control and there is no assurance that we will be able to refinance our debt on acceptable terms, or at all.</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our term loan and revolving credit facility both mature in October 2028. We also have outstanding $500.0 million in aggregate principal amount of our New 8.25% senior notes due 2029, and $238.5 million in aggregate principal amount of our 4.75% senior notes due 2027. In addition, we have $140.2 million outstanding under a non-recourse mortgage note with an interest rate of 4.43% maturing in 2040. Our ability to make payments on our indebtedness, to refinance our indebtedness, and to fund planned capital expenditures will depend on our ability to generate cash in the future. This, to a certain extent, is subject to general economic, financial, competitive, legislative, regulatory, and other factors that are beyond our control.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risk exists that our business will be unable to generate sufficient cash flow from operations or that future borrowings will not be available to us in an amount sufficient to enable us to pay our indebtedness, including our existing senior notes, or to fund our other liquidity needs. We may need to refinance all or a portion of our indebtedness, including our senior notes, on or before maturity. Our ability to refinance all or a portion of our indebtedness on acceptable terms, or at all, will be dependent upon a number of factors, including our degree of leverage, the amount of our cash flows, the value of our assets, borrowing and other financial restrictions imposed by lenders, and conditions in the credit markets at the time we refinance. If we are unable to refinance our indebtedness on acceptable terms, we may be forced to agree to otherwise unfavorable financing terms or to sell one or more properties at unattractive prices or on disadvantageous terms. Any one of these options could have a material adverse effect on our business, financial condition, results of operations and our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repurchase all or a portion of our senior notes upon a change of control, and the debt under our Bank Credit Facility is subject to acceleration upon a change of control.</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certain change of control events, as that term is defined in the indentures for our senior notes, including a change of control caused by an unsolicited third party, we are required to make an offer in cash to repurchase all or any part of each holder's notes at a repurchase price equal to 101% of the principal thereof, plus accrued interest. The source of funds for any such repurchase would be our available cash or cash generated from operations or other sources, including borrowings, sales of equity or funds provided by a new controlling person or entity. Sufficient funds may not be available to us, however, at the time of any change of control event to repurchase all or a portion of the tendered notes pursuant to this requirement. Our failure to offer to repurchase notes, or to repurchase notes tendered, following a change of control will result in a default under the respective indentures, which could lead to a cross-default under our Bank Credit Facility and under the terms of our other indebtedness. A change in control (as described in our Bank Credit Facility), is also a default under our Bank Credit Facility, entitling the lenders to refuse to make further extensions of credit thereunder and to accelerate the maturity of the debt outstanding under the Bank Credit Facility. Prior to repurchasing the notes upon a change of control event, we must either repay outstanding indebtedness under our Bank Credit Facility or obtain the consent of the lenders under our Bank Credit Facility. If we do not obtain the required consents or repay our outstanding indebtedness under our Bank Credit Facility, we would effectively be prevented from offering to repurchase the notes, which would cause a default under the indentures governing the notes.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Despite current indebtedness levels, we may still incur more debt.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terms of the indentures for our senior notes and our Bank Credit Facility restrict our ability to incur indebtedness; however, we may nevertheless incur additional indebtedness in the future, and in the future, we may refinance all or a portion of our indebtedness, including our Bank Credit Facility indebtedness, and may incur additional indebtedness as a result so long as we comply with the limitations in our senior notes and Bank Credit Facility while they are in effect. As of December 31, 2024, we had $257.0 million of additional borrowing capacity available under our revolving credit facility. The Bank Credit Facility includes an option to increase the availability under the revolving credit facility and to request term loans from the lenders in an aggregate amount not to exceed the greater of (a) $200.0 million and (b) 50% of consolidated EBITDA for the most recently ended four-quarter period, subject to, among other things, the receipt of commitments for the increased amount. In addition, so long as we comply with the limitations in our senior notes and Bank Credit Facility while they are in effect, we may incur additional debt from time to time when we determine that market conditions and the opportunity to utilize the proceeds therefrom are favorable. If new debt is added to our and our subsidiaries' current debt levels, the related risks that we and they now face could intensify.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access to capital may be affected by general macroeconomic conditions.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Credit markets may tighten significantly for various reasons that may or may not result from company-specific activities such that our ability to obtain new capital could be more challenging and more expensive. Further, we can provide no assurance that the banks that have made commitments under our Bank Credit Facility will continue to operate as going concerns in the future or will agree to extend commitments beyond the maturity date. If any of the banks in the lending group were to fail, or fail to renew their commitments, it is possible that the capacity under our Bank Credit Facility would be reduced. In the event that the availability under our Bank Credit Facility was reduced significantly, we could be required to obtain capital from alternate sources in order to continue with our business and capital strategies. Our options for addressing such capital constraints would include, but not be limited to (i) delaying certain capital expenditure projects, (ii) obtaining commitments from the remaining banks in the lending group or from new banks to fund increased or new amounts under the terms of our Bank Credit Facility, (iii) accessing the public capital markets, or (iv) retaining more of our cash flow. Such alternatives could be on terms less favorable than under existing terms, which could have a material effect on our consolidated financial position, results of operations, or cash flows.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29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Activist resistance to the use of public-private partnerships for correctional, detention, and residential reentry facilities could impact our ability to obtain financing to grow our business or to refinance existing indebtedness, which could have a material adverse effect on our business, financial condition and results of operations.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company does not, under longstanding policy, lobby for or against policies or legislation that would determine the basis for, or duration of, an individual's incarceration or detention. This strict policy also applies to external government relations professionals working on our behalf at all levels of government. Nonetheless, contracting for correctional, detention, and residential reentry facilities and related services has not achieved complete acceptance by certain governments or the public at large. The operation of correctional, detention, and residential reentry facilities by private entities has encountered resistance from certain groups, such as immigration advocates, labor unions, prison reform organizations and other special interest groups that believe correctional, detention, and residential reentry facilities should only be operated by governmental agencies, or that alternatives to immigrant detention should be utilized to enforce the nation's border policies. Further, </w:t>
      </w:r>
      <w:r>
        <w:rPr>
          <w:rFonts w:ascii="Times New Roman" w:cs="Times New Roman" w:eastAsia="Times New Roman" w:hAnsi="Times New Roman"/>
          <w:sz w:val="18"/>
          <w:szCs w:val="18"/>
          <w:color w:val="242424"/>
        </w:rPr>
        <w:t>opposition to immigration, detention and incarceration policies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association of private companies with the enforcement of such policies have caused some financial institutions to decline to provide capital, credit or financial services to private entities that own or operate correctional and detention facilities, including CoreCivic, or to otherwise participate in the provision of capital, credit or financial services in connection with the development of correctional and detention facilities that are associated with private companies. Moreover, proposed and future legislation could restrict financial institutions from providing capital, credit or financial services to private entities that own or operate correctional and detention facilities, including CoreCivic. For example, the New York State Legislature is considering a bill that would prohibit New York state chartered banks from investing in and providing financing for privately operated secured facilities. If this legislation becomes law, certain financial institutions may be prohibited from providing us with capital, credit or financial services. While we believe we will continue to have access to capital, restrictions on our access to capital, or increases in the cost of capital, could have a material adverse effect on our business, financial condition and results of operations</w:t>
      </w:r>
      <w:r>
        <w:rPr>
          <w:rFonts w:ascii="Times New Roman" w:cs="Times New Roman" w:eastAsia="Times New Roman" w:hAnsi="Times New Roman"/>
          <w:sz w:val="18"/>
          <w:szCs w:val="18"/>
          <w:color w:val="000000"/>
        </w:rPr>
        <w: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Rising interest rates increase the cost of our variable rate debt.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and expect in the future to incur indebtedness that bears interest at variable rates, including indebtedness under our Bank Credit Facility. Accordingly, rising interest rates increase our interest costs, which could have an adverse impact on us and our ability to pay down our debt, return capital to our stockholders and pay maturing debt or cause us to be in default under certain debt instruments.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equity securities may vary substantially, which may limit our stockholders' ability to liquidate their investment.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could affect the market price of our equity securities include, but are not limited to, the following:</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quarterly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in the corrections, detention, or residential reentry industries;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of future financial performance or changes in estimates of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policy, legislation and regulations that affect utilization of the private sector for corrections, detention, and residential reentry services including, but not limited to, immigration policies and government funding proposals;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volumes;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and re-purchases of common shares or other securities in the future;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investments or strategic 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number of shares of our common stock available for future sale could adversely affect the market price of our common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the effect, if any, of future sales of common stock, or the availability of common stock for future sale, on the market price of our common stock. Sales of substantial amounts of common stock, including stock issued under equity compensation plans, or the perception that these sales could occur, may adversely affect prevailing market prices for our common stock.</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ranking senior to our common stock or incurrence of debt (including under our Bank Credit Facility) may adversely affect the market price of our common stock.</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decide to issue debt or equity securities in the future ranking senior to our common stock or otherwise incur indebtedness (including under our Bank Credit Facility), it is possible that these securities or indebtedness will be governed by an indenture or other instrument containing covenants restricting our operating flexibility and limiting our ability to return capital to our stockholders. Additionally, any convertible or exchangeable securities that we issue in the future may have rights, preferences and privileges, including with respect to distributions, more favorable than those of our common stock and may result in dilution to owners of our common stock. Because our decision to issue debt or equity securities in any future offering or otherwise incur indebtedness will depend on market conditions and other factors beyond our control, we cannot predict or estimate the amount, timing or nature of our future offerings or financings, any of which could reduce the market price of our common stock and dilute the value of our common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issuance of preferred stock could adversely affect holders of our common stock and discourage a takeover.</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to issue up to 50.0 million shares of preferred stock without any action on the part of our stockholders. Our Board of Directors also has the authority, without stockholder approval, to set the terms of any new series of preferred stock that may be issued, including voting rights, dividend rights, liquidation rights and other preferences superior to our common stock. In the event that we issue shares of preferred stock in the future that have preferences superior to our common stock, the rights of the holders of our common stock or the market price of our common stock could be adversely affected. In addition, the ability of our Board of Directors to issue shares of preferred stock without any action on the part of our stockholders may impede a takeover of us and discourage or prevent a transaction that may be favorable to our stockholders.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and bylaws and Maryland law could make it difficult for a third party to acquire our company.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Maryland General Corporation Law and our charter and bylaws contain provisions that could delay, deter, or prevent a change in control of our company or our management. These provisions could also discourage proxy contests and make it more difficult for our stockholders to elect directors and take other corporate actions. These provisions:</w:t>
      </w:r>
    </w:p>
    <w:p>
      <w:pPr>
        <w:spacing w:after="0" w:line="68" w:lineRule="exact"/>
        <w:rPr>
          <w:sz w:val="20"/>
          <w:szCs w:val="20"/>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us to issue "blank check" preferred stock, which is preferred stock that can be created and issued by our Board of Directors, without stockholder approval, with rights senior to those of common stock;</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with or without cause only by the affirmative vote of at least a majority of the votes of shares entitled to vote thereon;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submitting nominations for election to the Board of Directors and for proposing matters that can be acted upon by stockholders at a meeting.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anti-takeover provisions under Maryland law, which could delay or prevent a change of control. Together, these provisions of our charter and bylaws and Maryland law may discourage transactions that otherwise could provide for the payment of a premium over prevailing market prices for our common stock, and also could limit the price that investors are willing to pay in the future for shares of our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9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8"/>
          <w:szCs w:val="18"/>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1C.</w:t>
        <w:tab/>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the importance of developing, implementing and maintaining the integrity of our information technology systems and safeguarding the personal data and confidential information we receive, process or transmit, and store in any format. We have a cybersecurity risk management program, which we refer to as our information security risk management program, in place designed to assess, identify, and manage material risks from cybersecurity threats to our information, data, or information technology systems utilizing a defense-in-depth security strategy that integrates our staff, technology, and operations to establish various security barriers across multiple layers of our operations. Our information security risk management program is designed to employ industry standard practices across our operations and business functions, including access controls, monitoring and analysis of the threat environment, vulnerability assessments, and third-party cybersecurity risks; resilience through detecting and responding to cybersecurity events, incidents, and data disclosures or breaches, business continuity, and disaster recovery capabilities; and investments in cybersecurity infrastructure and technology needs. Key aspects of our information security risk management program include, but are not limited to, the following:</w:t>
      </w:r>
    </w:p>
    <w:p>
      <w:pPr>
        <w:spacing w:after="0" w:line="200" w:lineRule="exact"/>
        <w:rPr>
          <w:sz w:val="20"/>
          <w:szCs w:val="20"/>
          <w:color w:val="auto"/>
        </w:rPr>
      </w:pPr>
    </w:p>
    <w:p>
      <w:pPr>
        <w:spacing w:after="0" w:line="312" w:lineRule="exact"/>
        <w:rPr>
          <w:sz w:val="20"/>
          <w:szCs w:val="20"/>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Surveillance controls and technical protective capabilities, including a centralized security incident event management system, or SIEM, continuous threat detection and response monitoring, and full incident response;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Routine cybersecurity training for all employees, including social engineering techniques, simulated phishing campaigns, physical access such as tailgating, privacy or handling of sensitive data, and other related topics;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policies and procedures that govern information security and cybersecurity which apply to all employees and information systems we control;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incident response, and disaster recovery procedures, including routine tabletop incident response exercises, disaster recovery tests, unannounced penetration tests, and security control assessments;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infrastructure, and application security such as database activity monitoring, encryption, secure file transfer protocols, and application firewalls;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cybersecurity insurance covering certain security and privacy damages and claim expenses resulting from cybersecurity incidents (we periodically meet with our insurer to discuss trends in cybersecurity).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engage third parties in connection with assessing, identifying and managing our cybersecurity risks, including, but not limited to, the following:</w:t>
      </w:r>
    </w:p>
    <w:p>
      <w:pPr>
        <w:spacing w:after="0" w:line="333" w:lineRule="exact"/>
        <w:rPr>
          <w:sz w:val="20"/>
          <w:szCs w:val="20"/>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 expertise to provide intelligence-based cybersecurity solutions and services to assist us with preparing for, investigating, and responding to cybersecurity incidents, including attacks that target on premise, cloud, and critical infrastructure environments;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security program assessment of the controls, maturity and performance of our information security risk management program and the information security risks associated with our technology and business systems;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and internal penetration and intrusion testing using industry standard tools and techniques;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8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assessments with certain information security standards required under some of our federal contracts;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cadence of reviews, reporting and coordination with government agencies to review cybersecurity metrics, findings and any applicable remediation efforts in accordance with the National Institute of Standards and Technology Cybersecurity Framework, or NIST CSF;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processes and procedures designed to control access to information systems as part of our Sarbanes-Oxley Act, or SOX, testing.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third parties described above, we regularly engage consultants, advisors, service providers and other third parties to help develop and manage our information security risk management program. Further, our internal audit team conducts annual assessments of our information security risk management program and controls.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help identify and manage cybersecurity and information security risks associated with our use of third-party service providers, we have implemented processes to assess third-party systems which could be compromised in a manner that adversely impacts us and our technology systems. We conduct diligence of significant third-party service providers who will have access to our data or information technology systems and incorporate certain cybersecurity protections in our engagement contracts with such providers. In addition, we require such third-party service providers to promptly notify us of any actual or suspected breach impacting our data or operations.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information security risk management program is designed to, among other things, assess, identify and manage material risks from cybersecurity threats. Cybersecurity risks we face include cyberattacks, computer viruses, malicious or destructive code (such as ransomware), social engineering (including phishing, vishing and smishing), denial of service to information or security breach tactics as well as attacks to our website, financial applications, operational technology, telecommunications and human resources data. Our information security risk management program includes technology and processes designed to maintain active awareness of risks to the security of our information or systems. We do not believe that any risks we have identified to date from cybersecurity threats, including as a result of any previous cybersecurity incidents, have materially affected or are reasonably likely to materially affect us, including our business strategy, results of operations or financial condition. However, we cannot ensure that future cybersecurity incidents will not materially affect our business strategy, results of operations or financial condition.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more information on the Company’s risks associated with cybersecurity threats and incidents, information and security breaches and technology failures, see Part I, Item 1A. Risk Factors - </w:t>
      </w:r>
      <w:r>
        <w:rPr>
          <w:rFonts w:ascii="Times New Roman" w:cs="Times New Roman" w:eastAsia="Times New Roman" w:hAnsi="Times New Roman"/>
          <w:sz w:val="18"/>
          <w:szCs w:val="18"/>
          <w:i w:val="1"/>
          <w:iCs w:val="1"/>
          <w:color w:val="auto"/>
        </w:rPr>
        <w:t>Interruption, delay or failure of the provision of our technology services or information systems, 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compromise of the security thereof, could adversely affect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information security risk management program is integrated into our overall risk management program. Our BOD has a formalized enterprise risk management program, or ERM Program, which the Risk Committee of the BOD, or Risk Committee, on behalf of the BOD and the Audit Committee of the BOD, oversees. Our ERM Program addresses the identification, prioritization and assessment of a broad range of risks (e.g., cybersecurity, financial, operational, business, reputational, governance and managerial), and the formulation of plans to develop and improve controls for managing these risks or mitigating their effects in an integrated effort involving our BOD, relevant committees of the BOD, management, and other personnel. Our ERM Program is led by our General Counsel and is a component of management’s strategic planning process. Our BOD and Risk Committee have primary oversight responsibility regarding our information security risk management program. Our BOD and Risk Committee each receives regular and frequent updates on cybersecurity and information technology matters from management (including our Chief Information Officer, or CIO) and, periodically, from outside experts. For example, the CIO provides reports to our BOD, Technology Steering Committee and Risk Committee regarding information security risks, as well as plans and strategies to mitigate those risks, on a periodic basis.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Enterprise Risk Council, or ERC, is a management-level team comprised of a select group of executive officers, vice presidents, and senior managers overseeing risk, which is responsible for managing enterprise risks and planning and organizing the activities of our organization to minimize the effects of risk on our business, operations and financial results. The ERC is led by our General Counsel and our Managing Director, Litigation &amp; Risk Management. The ERC coordinates enterprise risk management reports to the Risk Committee and/or our BOD. Further, the Risk Committee reviews management’s information security risk management program controls, including management’s assessment of recent information security incidents meeting certain criteria.</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a Technology Steering Committee that assists with fulfilling oversight responsibilities of information technology risks, including cybersecurity risks. The Technology Steering Committee is comprised of our executive officers and relevant business leaders from the information security, information technology, legal, human resources, audit, finance, communication and risk functions, and identifies, defines, manages and measures information technology and cybersecurity risks applicable to us on an enterprise level. The Technology Steering Committee meets quarterly, and reviews all cybersecurity risks and incidents meeting certain criteria, and provides oversight with respect to cybersecurity matters at a management level. Further, the Technology Steering Committee reviews management’s information security risk management program controls meeting certain criteria.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Technology Cybersecurity Committee is comprised of a subset of our Technology Department, including our CIO. The Technology Cybersecurity Committee meets bi-weekly and reviews all cybersecurity risks and incidents meeting certain criteria, provides oversight with respect to cybersecurity matters at a technology management level, and reports through our CIO to the Technology Steering Committee.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maintain a management governance structure for reviewing and approving changes related to new and existing systems, software and infrastructure design. Any new items that would require a material change must be reviewed and approved by our architecture review board, or ARB. Non-material changes are governed by the change advisory board, or CAB. The ARB and CAB each meet on a weekly basis and take security impacts into consideration during the decision-making process. All changes, whether approved or rejected, are formally documented in our information technology service management system.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mentioned above, our SIEM tool monitors threat detection and response continuously. Identified threats create alerts which are monitored and addressed by our information technology team in accordance with internal policies, industry standard practices, and regulatory requirements. Audit logs of external security threats are reviewed weekly as part of general event threat intelligence monitoring procedures. Other ongoing monitoring includes data from our information services team, which maintains an audit trail to detect risks in areas such as unauthorized local connections, network use and remote connections. Vulnerability scans are performed frequently and are supplemented on an ad-hoc basis for specific threats or to test patch status.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Sr. Director, Information Security and Privacy Compliance, prepares an incident summary and collaborates with the CIO to conduct an initial assessment of information and cybersecurity incidents. They perform an impact assessment with respect to information or cybersecurity incidents meeting certain criteria and elevate the review of any such information or cybersecurity incidents for review by our executive officers.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Cybersecurity incidents meeting certain criteria are escalated to our Disclosure Committee for SEC disclosure consideration. The materiality of any cybersecurity incident is ultimately evaluated and determined by our Disclosure Committee in collaboration with our CIO. Our Disclosure Committee is comprised of our executive officers, our CIO, our Chief Ethics and Compliance Officer, and relevant business leaders from our finance and legal departments. The Disclosure Committee is presented with a detailed overview of the cybersecurity incident by the CIO. The Disclosure Committee then evaluates the cybersecurity incident and its potential materiality based on SEC guidance and by considering relevant quantitative and qualitative factors.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also adopted a cybersecurity incident response plan which provides for controls and procedures in connection with cybersecurity incidents, including these escalation procedures.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a management level, our information security risk management program is led by our CIO, along with our Sr. Director, Information Security and Privacy Compliance. As of the date of this Annual Report, our Technology Department, led by our CIO, along with our Sr. Director, Information Security and Privacy Compliance, is comprised of nearly 100 technology professionals, with currently 11 of such technology professionals exclusively dedicated to cybersecurity. These security professionals have an average information security/cybersecurity tenure of 6 years and over 30 active certifications from ISC2, ISACA, CompTIA and other industry certification leaders including certifications such as CISSP, CISM, Security+, and CEH, among other advanced Cybersecurity and Technology degrees, tool and process specific certifications, and cybersecurity related work experience. Our Technology Department stays current on cybersecurity issues and trends through continuing education activities such as conferences and participating in webinars, maintaining continuous education requirements for certification bodies, as well as through the monitoring of security and vendor feeds on cybersecurity trends and threats.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properties we owned at December 31, 2024 are described under Item 1 and in Note 3 of the Notes to the Consolidated Financial Statements contained in this Annual Report, as well as in Schedule III in Part IV of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can be found in Note 14 of the Notes to the Consolidated Financial Statements contained in this Annual Report and is incorporated by reference in this Part I,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2698750</wp:posOffset>
            </wp:positionH>
            <wp:positionV relativeFrom="paragraph">
              <wp:posOffset>-185420</wp:posOffset>
            </wp:positionV>
            <wp:extent cx="3651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1020" w:hanging="1017"/>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 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of and Distributions on Capital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New York Stock Exchange, or NYSE, under the symbol "CXW." On February 11, 2025, the last reported sale price of our common stock was $18.04 per share and there were approximately 2,300 registered holders and approximately 43,000 beneficial holders, respectively, of our common stock.</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qualify as a REIT for the years we elected REIT status, we were generally required to distribute to our stockholders at least 90% of our REIT taxable income (determined without regard to the dividends paid deduction and excluding net capital gains), and we were subject to tax to the extent our net taxable income (including net capital gains) was not fully distributed. We announced on June 17, 2020 that our Board of Directors, or BOD, suspended our quarterly dividend while it evaluated corporate structure and capital allocation alternatives. On August 5, 2020, our BOD voted unanimously to approve a plan to revoke our REIT election and become a taxable C Corporation, effective January 1, 2021; our BOD also voted unanimously to discontinue the quarterly dividend and prioritize allocating our free cash flow to reduce debt levels. In addition, subsequently, our BOD approved a share repurchase program as further described below under the heading “Issuer Purchases of Equity Securities”.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0"/>
        </w:trPr>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4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4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16"/>
        </w:trPr>
        <w:tc>
          <w:tcPr>
            <w:tcW w:w="4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May Yet Be</w:t>
            </w:r>
          </w:p>
        </w:tc>
      </w:tr>
      <w:tr>
        <w:trPr>
          <w:trHeight w:val="216"/>
        </w:trPr>
        <w:tc>
          <w:tcPr>
            <w:tcW w:w="4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4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2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426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or Programs (1)</w:t>
            </w:r>
          </w:p>
        </w:tc>
        <w:tc>
          <w:tcPr>
            <w:tcW w:w="120" w:type="dxa"/>
            <w:vAlign w:val="bottom"/>
          </w:tcPr>
          <w:p>
            <w:pPr>
              <w:spacing w:after="0"/>
              <w:rPr>
                <w:sz w:val="20"/>
                <w:szCs w:val="20"/>
                <w:color w:val="auto"/>
              </w:rPr>
            </w:pPr>
          </w:p>
        </w:tc>
      </w:tr>
      <w:tr>
        <w:trPr>
          <w:trHeight w:val="20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177,897,710</w:t>
            </w:r>
          </w:p>
        </w:tc>
        <w:tc>
          <w:tcPr>
            <w:tcW w:w="120" w:type="dxa"/>
            <w:vAlign w:val="bottom"/>
            <w:shd w:val="clear" w:color="auto" w:fill="CFF0FC"/>
          </w:tcPr>
          <w:p>
            <w:pPr>
              <w:spacing w:after="0"/>
              <w:rPr>
                <w:sz w:val="18"/>
                <w:szCs w:val="18"/>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177,897,710</w:t>
            </w:r>
          </w:p>
        </w:tc>
        <w:tc>
          <w:tcPr>
            <w:tcW w:w="120" w:type="dxa"/>
            <w:vAlign w:val="bottom"/>
          </w:tcPr>
          <w:p>
            <w:pPr>
              <w:spacing w:after="0"/>
              <w:rPr>
                <w:sz w:val="18"/>
                <w:szCs w:val="18"/>
                <w:color w:val="auto"/>
              </w:rPr>
            </w:pPr>
          </w:p>
        </w:tc>
      </w:tr>
      <w:tr>
        <w:trPr>
          <w:trHeight w:val="216"/>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3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420,007</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26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420,007</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168,898,744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420,007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420,007</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168,898,744</w:t>
            </w:r>
          </w:p>
        </w:tc>
        <w:tc>
          <w:tcPr>
            <w:tcW w:w="12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-170815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-170815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8"/>
        <w:spacing w:after="0" w:line="254" w:lineRule="auto"/>
        <w:tabs>
          <w:tab w:leader="none" w:pos="22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During 2022, the BOD approved a share repurchase program to repurchase up to $225.0 million of the Company's common stock. On May 16, 2024, the BOD authorized an increase to the share repurchase program to which the Company may purchase up to an additional $125.0 million in shares of the Company's outstanding common stock, increasing the total aggregate authorization to up to $350.0 million. Repurchases of the Company's outstanding common stock will be made in accordance with applicable securities laws and may be made at the Company's discretion based on parameters set by the BOD from time to time in the open market, through privately negotiated transactions, or otherwise. The share repurchase program has no time limit and does not obligate the Company to purchase any particular amount of its common stock. The authorization for the share repurchase program may be terminated, suspended, increased or decreased by the BOD in its discretion at any time. As of December 31, 2024, the Company had repurchased a total of 14.5 million shares of the Company's common stock at an aggregate cost of approximately $181.1 million.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consolidated financial statements and notes thereto appearing elsewhere in this Annual Report on Form 10-K, or this Annual Report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Annual Report, we use the term, the "Company," "CoreCivic," "we," "us," and "our" to refer to CoreCivic, Inc. and its subsidiaries unless context indicates otherwise. This discussion contains forward-looking statements that involve risks and uncertainties. Our actual results may differ materially from those anticipated in these forward-looking statements as a result of certain factors, including, but not limited to, those described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included in other portions of this report.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diversified government solutions company with the scale and experience needed to solve tough government challenges in flexible, cost-effective ways. Through three segments, CoreCivic Safety, CoreCivic Community, and CoreCivic Properties, we provide a broad range of solutions to government partners that serve the public good through corrections and detention management, a network of residential reentry centers to help address America's recidivism crisis, and government real estate solutions. We have been a flexible and dependable partner for government for over 40 years. Our employees are driven by a deep sense of service, high standards of professionalism and a responsibility to help government better the public good.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through our CoreCivic Safety segment, we operated 42 correctional and detention facilities, 38 of which we owned or controlled via a long-term lease, with a total design capacity of approximately 62,000 beds. Through our CoreCivic Community segment, we operated 21 residential reentry centers, which we owned or controlled via a long-term lease, with a total design capacity of approximately 4,000 beds. In addition, through our CoreCivic Properties segment, we owned 6 properties, with a total design capacity of approximately 10,000 beds. We are the nation's largest owner of partnership correctional, detention, and residential reentry facilities and one of the largest prison operators in the United States. Our size and experience provide us with significant credibility with our current and prospective customers, and enable us to generate economies of scale in purchasing power for food services, health care and other supplies and services we offer to our government partners.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Part I, Item 1. Business – Overview</w:t>
      </w:r>
      <w:r>
        <w:rPr>
          <w:rFonts w:ascii="Times New Roman" w:cs="Times New Roman" w:eastAsia="Times New Roman" w:hAnsi="Times New Roman"/>
          <w:sz w:val="18"/>
          <w:szCs w:val="18"/>
          <w:color w:val="auto"/>
        </w:rPr>
        <w:t>" for a description of how we are organized.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our CoreCivic Safety and CoreCivic Community segments, we are compensated for providing bed capacity and correctional, detention, and residential reentry services at a per diem rate based upon actual or minimum guaranteed occupancy levels. Federal, state, and local governments are constantly under budgetary constraints putting pressure on governments to control correctional budgets, including per diem rates our customers pay to us as well as pressure on appropriations for building new prison capacity.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solutions we provide to our federal customers continue to be a significant component of our business. We provide an essential governmental service, and believe our ability to provide flexible solutions and fulfill emergent needs of our federal customers would be very difficult and costly to replicate in the public sector.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26, 2021, then-President Biden issued the Executive Order on Reforming Our Incarceration System to Eliminate the Use of Privately Operated Criminal Detention Facilities, or the Private Prison EO. The Private Prison EO directed the Attorney General to not renew United States Department of Justice, or DOJ, contracts with privately operated criminal detention facilities. Two agencies of the DOJ, the United States Federal Bureau of Prisons, or BOP, and the United States Marshals Service, or USMS, utilize our services. The BOP houses inmates who have been convicted, and the USMS is generally responsible for detainees who are awaiting trial. The Private Prison EO only applied to agencies that are part of the DOJ, which includes the BOP and USMS. We no longer operate any prison contracts for the BOP. U.S. Immigration and Customs Enforcement, or ICE, facilities were not covered by the Private Prison EO, as ICE is an agency of the Department of Homeland Security, or DHS, not the DOJ. For the years ended December 31, 2024 and 2023, the USMS accounted for 21% ($406.4 million) and 21% (400.4 million), respectively, of our total revenue.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Unlike the BOP, the USMS does not own detention capacity and relies on the private sector, along with various government agencies, for its detainee population. We currently have two detention facilities that have direct contracts with the USMS. Because of the lack of alternative bed capacity, one of the contracts was renewed upon its expiration in September 2023, and now expires in September 2028. The second direct contract expires in October 2025. On January 20, 2025, President Trump reversed the Private Prison EO. However, it is possible future administrations could issue similar executive orders restricting the use of private correctional and detention facilities by the federal government.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as a pandemic. As a result, in the first quarter of 2020, the federal government decided to deny entry at the United States southern border to asylum-seekers and anyone crossing the southern border without proper documentation or authority in an effort to contain the spread of COVID-19, a policy known as Title 42. This policy resulted in a reduction to the number of people ICE detained, including in our detention facilities. The financial impact was somewhat mitigated by fixed monthly payments from ICE at certain of our facilities, to ensure ICE has adequate bed capacity in the event of a surge in the future. Based on COVID-19 trends, the DHS allowed Title 42 to expire on May 11, 2023, which has resulted in an increase in the number of undocumented people permitted to enter the United States claiming asylum, and has resulted in an increase in the number of people apprehended and detained by ICE. During 2023, revenue from ICE was $565.5 million compared to $579.5 million during 2019, prior to the implementation of Title 42. During the year ended December 31, 2024, revenue from ICE was $564.8 million. Our revenue from ICE was negatively impacted during the year ended December 31, 2024, by the termination of an inter-governmental service agreement, or IGSA, for the 2,400-bed South Texas Family Residential Center, or STFRC, effective August 9, 2024, a facility we leased from a third-party.</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believe the short- and long-term growth opportunities of our business remain attractive as government agencies consider their emergent needs, as well as the efficiency and offender programming opportunities we provide as flexible solutions to satisfy our partners' needs. We have been in discussions with ICE to utilize additional bed capacity in our portfolio at facilities with existing contracts, and have responded to their requests for information and requests for proposals, or RFPs, for activation of certain of our idle facilities. We have also been in discussions with several state and county government agencies that have experienced challenges in staffing their public-sector facilities and are seeking solutions from the private sector. Further, several of our existing government partners, as well as prospective government partners, have been experiencing growth in offender populations and overcrowded conditions. Governments are continuing to assess their need for correctional space, and several are continuing to consider alternative correctional capacity for their aged or inefficient infrastructure, or are seeking cost savings by utilizing the private sector, which could result in increased future demand for the solutions we provide. For example, on September 25, 2023, we announced that we signed a management contract with Hinds County, Mississippi to care for up to 250 adult male pre-trial detainees at our 2,672-bed Tallahatchie County Correctional Facility in Tutwiler, Mississippi. The initial contract term is for two years, which may be extended for an additional year upon mutual agreement. In addition, on November 16, 2023, we announced that we signed a management contract with the state of Wyoming to care for up to 240 male inmates at the Tallahatchie facility. The term of the contract runs through June 30, 2026. Also on November 16, 2023, we announced that we signed a contract with Harris County, Texas, to care for up to 360 male inmates at the Tallahatchie facility. Upon mutual agreement, Harris County may access an additional 360 beds at the facility. The initial contract term began on December 1, 2023, and was recently renewed for an additional one-year term, which commenced December 1, 2024. Following the recent renewal, the contract may be extended at Harris County's option for up to three additional one-year terms. In addition to the recent contracts with Hinds County, the state of Wyoming, and Harris County, we currently care for residents from the USMS, the state of Vermont, the U.S. Virgin Islands, and Tallahatchie County at the Tallahatchie facility, which demonstrates the flexible solutions that we provide. On November 14, 2023, we announced that we signed a management contract with the state of Montana to care for up to 120 inmates at our 1,896-bed Saguaro Correctional Facility in Eloy, Arizona. The contract is scheduled to expire on October 31, 2025, and may be extended by mutual agreement for a total term of up to seven years. In addition, on August 1, 2024, we entered into a second management contract with the state of Montana to care for an unspecified number of inmates at facilities we operate. The second contract is scheduled to expire on July 31, 2026, and may be extended by mutual agreement for a total term of up to seven years. As of December 31, 2024, we cared for approximately 245 inmates from the state of Montana at our Saguaro facility. We also care for residents from the state of Hawaii and the state of Idaho at the Saguaro facility. On January 16, 2025, we announced that we were awarded a new management contract with the state of Montana to care for additional inmates outside the state of Montana, with 240 inmates expected to arrive at our Tallahatchie facility during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first quarter of 2025. We also manage the fully occupied company-owned Crossroads Correctional Center in Shelby, Montana for the state of Montana pursuant to a separate management contract.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in December 2021, the state of Arizona awarded us a contract for up to 2,706 inmates at our 3,060-bed La Palma Correctional Center in Arizona, which commenced in April 2022. We are not aware of a larger prison contract awarded to the private sector by any state in over a decade. In August 2022, we completed the sale of the 1,978-bed McRae Correctional Facility to the Georgia Building Authority in order to update its aged and inefficient public sector correctional infrastructure.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Governments continue to experience many significant spending demands, and competing budget priorities often impede our customers' ability to construct new prison beds of their own or update their older facilities, which we believe could result in further demand for private sector prison capacity solutions in the long-term. We believe the outsourcing of corrections and detention management services to private operators allows governments to manage increasing inmate populations while simultaneously controlling costs. We believe our customers discover that partnering with private operators to provide residential services to their offenders introduces competition to their correctional system, resulting in improvements to the quality and cost of services throughout their correctional system. Further, the use of facilities owned and managed by private operators allows governments to expand correctional capacity without incurring large capital commitments and allows them to avoid long-term pension obligations for their employees.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believe that having beds immediately available to our partners provides us with a distinct competitive advantage when bidding on new contracts. We believe the most significant opportunities for growth are in providing our government partners with available beds within facilities we currently own or that we will develop. Over the long-term, we would like to see meaningful utilization of our available capacity and better visibility from our customers into their potential future needs before we develop new correctional or detention capacity on a speculative basis. We will, however, respond to customer demand and may develop, expand, or acquire correctional and detention facilities when we believe potential long-term returns justify the capital deployment. We also believe that owning the facilities in which we provide management services enables us to more rapidly replace business lost compared with managed-only facilities, since we can offer the same beds to new and existing customers and, with customer consent, may have more flexibility in moving our existing populations to facilities with available capacity. Our management contracts generally provide our customers with the right to terminate our management contracts at any time without cause.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actively engaged in marketing our available capacity as solutions to meet the needs of potential customers. Historically, we have been successful in obtaining new contracts when we have an inventory of available beds to provide flexible and immediate solutions to our government customers. As available capacity within existing operating facilities is utilized, we believe increasing demand will result in the utilization of idle bed capacity. Available bed capacity can also be used for emergent needs. For example, as previously mentioned herein, since September 2023, we have announced that we signed new contracts with Hinds County, Mississippi to care for up to 250 inmates, the state of Wyoming to care for up to 240 inmates, and Harris County, Texas to care for up to 360 inmates at our Tallahatchie facility. We also announced that we signed three new contracts with the state of Montana, one to care for up to 120 inmates at our Saguaro facility, the second to care for an unspecified number of inmates at facilities we operate, and the third contract to expand the geographic range of our facilities that can serve the state of Montana.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also offer our customers an attractive portfolio of correctional, detention, and reentry facilities that can be leased for various needs as an alternative to providing "turn-key" correctional, detention, and residential reentry bed space and services to our government partners. In June 2023, we announced that we had entered into a lease agreement with the Oklahoma Department of Corrections, or ODC, for our 1,670-bed Allen Gamble Correctional Center. The lease agreement includes a base term that commenced on October 1, 2023, with a scheduled expiration date of June 30, 2029, and unlimited two-year renewal options. We previously operated the Allen Gamble facility in our Safety segment under a management contract with the ODC. The management contract was scheduled to expire on June 30, 2023. However, effective July 1, 2023, we entered into a 90-day contract extension for the management contract, after which time, operations of the Allen Gamble facility transferred from us to the ODC in accordance with the lease agreement. In September 2021, we announced that we had entered into a three-year lease agreement with the state of New Mexico at our 596-bed Northwest New Mexico Correctional Center, which was recently extended under an option period for another three-year term. We previously operated the Northwest New Mexico facility in our Safety segment under a contract with the state of New Mexico. The lease agreement commenced on November 1, 2021 and includes extension options that could extend the term of the lease through October 31, 2041. The lease of these two facilities, along with the lease of our 656-bed Southeast Correctional Complex to the Kentucky Department of Corrections, or KYDOC, originating in 2019 demonstrate our ability to react quickly to our partners' needs with innovative, flexible and cost-effective solutions. We previously operated these three correctional facilities for various government partners. We intend to pursue additional opportunities to lease prison facilities to government and other third-party operators in need of correctional capacity.</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remain steadfast in our efforts to contain costs. Approximately 63% of our operating expenses consist of salaries and benefits. The turnover rate for correctional officers for our company, and for the corrections industry in general, remains high, and staffing challenges were exacerbated by labor shortages and wage pressures in the marketplace as further described under the heading "Results of Operations." We are making investments in systems and processes intended to help manage our workforce more efficiently and effectively, especially with respect to overtime and costs of turnover. We are also focused on workers' compensation and medical benefits costs for our employees due to continued rising healthcare costs throughout the country. Effectively managing these staffing costs requires a long-term strategy to control such costs, and we continue to dedicate resources to enhance our benefits and provide specialized training and career development opportunities to our staff in order to attract and retain quality personnel. Finally, we are evaluating potential cost savings opportunities in areas such as inmate medical expenses, utilities, and maintenance, among others. Through ongoing company-wide initiatives, we continue to focus on efforts to manage costs and improve operating efficiencies.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the combination of our operational initiatives to (i) provide valuable and critically needed services that could increase our revenues and increase the utilization of our available beds, (ii) deliver new bed capacity through new facility construction and expansion opportunities, (iii) expand our real estate-only solutions, (iv) grow the utilization of our community corrections facilities, (v) develop or acquire new business offerings that expand the range of solutions we provide to government partners and diversify our cash flows, and (vi) contain our operating expenses, we believe we will be able to maintain our competitive advantage and continue to diversify the range of services we provide to our customers at an attractive price, thereby producing value for our stockholders. As further explained under the heading "Liquidity and Capital Resources," through our revised capital allocation strategy, upon achieving targeted debt reduction levels we began allocating a substantial portion of our free cash flow to returning capital to our shareholders through share repurchases, further enhancing stockholder value.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 this report are prepared in conformity with U.S. generally accepted accounting principles, or GAAP. As such, we are required to make certain estimates, judgments, and assumptions that we believe are reasonable based upon the information available. These estimates and assumptions affect the reported amounts of assets and liabilities at the date of the consolidated financial statements and the reported amounts of revenue and expenses during the reporting period. A summary of our significant accounting policies is described in Note 2 of the Notes to the Consolidated Financial Statements contained in this Annual Report. The significant accounting policies and estimates which we believe are the most critical to aid in fully understanding and evaluating our reported financial results include the following: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Asset impairments. </w:t>
      </w:r>
      <w:r>
        <w:rPr>
          <w:rFonts w:ascii="Times New Roman" w:cs="Times New Roman" w:eastAsia="Times New Roman" w:hAnsi="Times New Roman"/>
          <w:sz w:val="18"/>
          <w:szCs w:val="18"/>
          <w:color w:val="auto"/>
        </w:rPr>
        <w:t>The primary risk we face for asset impairment charges is associated with facilities we own. As of December 31, 2024, we had $2.1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in property and equipment, net, including $315.2 million in long-lived assets at nine idled correctional facilities. The net carrying values of the nine idled facilities as of December 31, 2024 were as follows (in thousands):</w:t>
      </w:r>
    </w:p>
    <w:p>
      <w:pPr>
        <w:spacing w:after="0" w:line="194"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Prairie Correctional Facility</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8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Huerfano County Correctional Center</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w:t>
            </w:r>
          </w:p>
        </w:tc>
        <w:tc>
          <w:tcPr>
            <w:tcW w:w="80" w:type="dxa"/>
            <w:vAlign w:val="bottom"/>
          </w:tcPr>
          <w:p>
            <w:pPr>
              <w:spacing w:after="0"/>
              <w:rPr>
                <w:sz w:val="18"/>
                <w:szCs w:val="18"/>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Diamondback Correctional Facility</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36,644</w:t>
            </w:r>
          </w:p>
        </w:tc>
        <w:tc>
          <w:tcPr>
            <w:tcW w:w="8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Marion Adjustment Center</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80" w:type="dxa"/>
            <w:vAlign w:val="bottom"/>
          </w:tcPr>
          <w:p>
            <w:pPr>
              <w:spacing w:after="0"/>
              <w:rPr>
                <w:sz w:val="18"/>
                <w:szCs w:val="18"/>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Kit Carson Correctional Center</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46,279</w:t>
            </w:r>
          </w:p>
        </w:tc>
        <w:tc>
          <w:tcPr>
            <w:tcW w:w="8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West Tennessee Detention Facility</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17,632</w:t>
            </w:r>
          </w:p>
        </w:tc>
        <w:tc>
          <w:tcPr>
            <w:tcW w:w="80" w:type="dxa"/>
            <w:vAlign w:val="bottom"/>
          </w:tcPr>
          <w:p>
            <w:pPr>
              <w:spacing w:after="0"/>
              <w:rPr>
                <w:sz w:val="18"/>
                <w:szCs w:val="18"/>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Midwest Regional Reception Center</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48,115</w:t>
            </w:r>
          </w:p>
        </w:tc>
        <w:tc>
          <w:tcPr>
            <w:tcW w:w="8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North Fork Correctional Facility</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57,444</w:t>
            </w:r>
          </w:p>
        </w:tc>
        <w:tc>
          <w:tcPr>
            <w:tcW w:w="80" w:type="dxa"/>
            <w:vAlign w:val="bottom"/>
          </w:tcPr>
          <w:p>
            <w:pPr>
              <w:spacing w:after="0"/>
              <w:rPr>
                <w:sz w:val="18"/>
                <w:szCs w:val="18"/>
                <w:color w:val="auto"/>
              </w:rPr>
            </w:pPr>
          </w:p>
        </w:tc>
      </w:tr>
      <w:tr>
        <w:trPr>
          <w:trHeight w:val="216"/>
        </w:trPr>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California City Correctional Center</w:t>
            </w: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73,232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4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315,172</w:t>
            </w:r>
          </w:p>
        </w:tc>
        <w:tc>
          <w:tcPr>
            <w:tcW w:w="8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we also had one idled non-core facility in our Safety segment containing 240 beds with a total net book value of $2.7 million, and one idled facility in our Community segment containing 60 beds with an aggregate net book value of $1.1 million.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incurred aggregate operating expenses at these idled facilities of approximately $17.4 million, $12.2 million, and $9.4 million during the period they were idle for the years ended December 31, 2024, 2023, and 2022, respectively. The amount for 2022 excludes $3.5 million of operating expenses incurred at the West Tennessee Detention Facility and the Midwest Regional Reception Center during the three months ended March 31, 2022. The West Tennessee facility was idled upon the expiration of a USMS contract on September 30, 2021, and the Midwest Regional Reception Center was idled upon the expiration of a USMS contract on December 31, 2021. We retained a certain staffing level at both facilities through the first three months of 2022 in order to quickly respond in the event we were able to enter into new contracts with government agencies promptly following the contract expirations. We also continued to incur expenses related to transportation services provided by staff at the Midwest Regional Reception Center during the first three months of 2022.</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the recoverability of the carrying values of our long-lived assets annually and when events suggest that an impairment may have occurred. Such events primarily include, but are not limited to, the termination of a management contract, a significant decrease in populations within a facility we own in our Safety and Community segments that we believe will be longer than short-term, and the expiration and non-renewal of lease agreements in our Properties segment.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perform the impairment analyses for each of our idle facilities as well as any other properties in the period when indicators of impairment exist. Our estimates of recoverability are based on projected undiscounted cash flows that are comparable to historical cash flows from management contracts or lease agreements at facilities similar to the idled facilities, including historical operations for the idled facilities when such facilities were operating. Our undiscounted cash flows factor in assumptions around when idle facilities will commence generating revenues based on our best estimates around contract negotiations and market conditions. Our impairment evaluations also take into consideration our historical experience in securing new management contracts to utilize correctional facilities that had been previously idled for substantial periods of time. Such previously idled correctional facilities are currently being operated under contracts that continue to generate cash flows resulting in the recoverability of the net book value of the previously idled facilities by material amounts. Our experience has shown that our facilities could remain idle for substantially longer periods of time than most other types of commercial real estate and, based upon receipt of a new contract, produce future cash flows that would still result in a recovery of the carrying values in a relatively short period of time based on the undiscounted cash flows. We also perform sensitivity analyses that consider reductions to such cash flows. Our sensitivity analyses include reductions in projected cash flows compared to historical cash flows generated by the respective facility as well as prolonged periods of vacancies.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evaluate on a quarterly basis, market developments for the potential utilization of each of our idle properties in order to identify events that may cause us to reconsider our assumptions with respect to the recoverability of book values as compared to undiscounted cash flows. We consider the cancellation of a contract in our Safety or Community segment or an expiration and non-renewal of a lease agreement in our Properties segment as indicators of impairment and test each of the idled properties for impairment when we are notified by the respective customers or tenants that they would no longer be utilizing such property.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 provide no assurance that we will be able to secure agreements to utilize our idle properties, or that we will not incur impairment charges in the future. By their nature, these estimates contain uncertainties with respect to the extent and timing of the respective cash flows due to potential delays or material changes to historical terms and conditions in contracts with prospective customers that could impact the estimate of cash flows. With respect to idle correctional facilities, we believe the short- and long-term trends favor an increase in the utilization of our correctional facilities and management services. This belief is based on our experience in working with governmental agencies faced with significant budgetary challenges, which is a primary contributing factor to the lack of appropriated funding over the past decade to build new bed capacity by the federal and state governments with which we partner, as well as the extensively aged criminal justice infrastructure in the U.S. today. Due to a variety of factors, the lead time to negotiate contracts with our federal and state partners to utilize idle bed capacity at correctional facilities is generally lengthy.</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Self-funded insurance reserves</w:t>
      </w:r>
      <w:r>
        <w:rPr>
          <w:rFonts w:ascii="Times New Roman" w:cs="Times New Roman" w:eastAsia="Times New Roman" w:hAnsi="Times New Roman"/>
          <w:sz w:val="18"/>
          <w:szCs w:val="18"/>
          <w:color w:val="auto"/>
        </w:rPr>
        <w:t>. As of December 31, 2024 and 2023, we had $51.3 million and $51.7 million, respectively, in accrued liabilities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health, workers' compensation, and automobile insurance claims. We are self-insured for employee health, workers' compensation, and automobile liability insurance claims. As such, our insurance expense is largely dependent on claims experience and our ability to control our claims. We accrue the estimated liability for employee health insurance claims based on our history of claims experience and the estimated time lag between the incident date and the date we pay the claims. We accrue the estimated liability for workers' compensation claims based on an actuarial valuation of the outstanding liabilities using a combination of actuarial methods used to project ultimate losses, and our automobile insurance claims based on estimated development factors on claims incurred. The liability for employee health, workers' compensation, and automobile insurance includes estimates for both claims incurred and for claims incurred but not reported. In recent history, our methods for determining our exposure have remained consistent, and our historical trends have been appropriately factored into our estimates and reserves. As we obtain additional information and refine our methods regarding the assumptions and estimates we use to recognize liabilities incurred, we will adjust our reserves accordingly. Arriving at these estimates, however, requires subjective judgment, and as a result these estimates are uncertain, and our actual exposure may be different from our estimates. It is possible that future cash flows and results of operations could be materially affected by changes in assumptions and new developments.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are impacted by the number of correctional and detention facilities we operated, including 38 we owned or controlled via a long-term lease and four owned by our government partners (CoreCivic Safety), the number of residential reentry centers we owned or controlled via a long-term lease (CoreCivic Community), the number of facilities we leased to government agencies (CoreCivic Properties), and the facilities we owned that were not in operation. The following table sets forth the changes in the number of facilities operated for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19"/>
                <w:szCs w:val="19"/>
                <w:color w:val="auto"/>
              </w:rPr>
            </w:pP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Effective</w:t>
            </w: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CoreCivic</w:t>
            </w:r>
          </w:p>
        </w:tc>
        <w:tc>
          <w:tcPr>
            <w:tcW w:w="10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Safety</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Community</w:t>
            </w: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7"/>
                <w:szCs w:val="17"/>
                <w:b w:val="1"/>
                <w:bCs w:val="1"/>
                <w:color w:val="auto"/>
              </w:rPr>
              <w:t>Properties</w:t>
            </w:r>
          </w:p>
        </w:tc>
        <w:tc>
          <w:tcPr>
            <w:tcW w:w="220" w:type="dxa"/>
            <w:vAlign w:val="bottom"/>
          </w:tcPr>
          <w:p>
            <w:pPr>
              <w:spacing w:after="0"/>
              <w:rPr>
                <w:sz w:val="17"/>
                <w:szCs w:val="17"/>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56"/>
        </w:trPr>
        <w:tc>
          <w:tcPr>
            <w:tcW w:w="402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Facilities as of December 31, 2022</w:t>
            </w:r>
          </w:p>
        </w:tc>
        <w:tc>
          <w:tcPr>
            <w:tcW w:w="1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44</w:t>
            </w:r>
          </w:p>
        </w:tc>
        <w:tc>
          <w:tcPr>
            <w:tcW w:w="24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23</w:t>
            </w:r>
          </w:p>
        </w:tc>
        <w:tc>
          <w:tcPr>
            <w:tcW w:w="22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w:t>
            </w:r>
          </w:p>
        </w:tc>
        <w:tc>
          <w:tcPr>
            <w:tcW w:w="220" w:type="dxa"/>
            <w:vAlign w:val="bottom"/>
          </w:tcPr>
          <w:p>
            <w:pPr>
              <w:spacing w:after="0"/>
              <w:rPr>
                <w:sz w:val="13"/>
                <w:szCs w:val="13"/>
                <w:color w:val="auto"/>
              </w:rPr>
            </w:pPr>
          </w:p>
        </w:tc>
        <w:tc>
          <w:tcPr>
            <w:tcW w:w="1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02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5"/>
                <w:szCs w:val="15"/>
                <w:color w:val="auto"/>
              </w:rPr>
              <w:t>Sale of two leased community</w:t>
            </w:r>
          </w:p>
        </w:tc>
        <w:tc>
          <w:tcPr>
            <w:tcW w:w="1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corrections facilities in Pennsylvania</w:t>
            </w:r>
          </w:p>
        </w:tc>
        <w:tc>
          <w:tcPr>
            <w:tcW w:w="20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5"/>
                <w:szCs w:val="15"/>
                <w:color w:val="auto"/>
              </w:rPr>
              <w:t>May 2023</w:t>
            </w: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(2 )</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(2 )</w:t>
            </w:r>
          </w:p>
        </w:tc>
        <w:tc>
          <w:tcPr>
            <w:tcW w:w="0" w:type="dxa"/>
            <w:vAlign w:val="bottom"/>
          </w:tcPr>
          <w:p>
            <w:pPr>
              <w:spacing w:after="0"/>
              <w:rPr>
                <w:sz w:val="1"/>
                <w:szCs w:val="1"/>
                <w:color w:val="auto"/>
              </w:rPr>
            </w:pPr>
          </w:p>
        </w:tc>
      </w:tr>
      <w:tr>
        <w:trPr>
          <w:trHeight w:val="145"/>
        </w:trPr>
        <w:tc>
          <w:tcPr>
            <w:tcW w:w="4020" w:type="dxa"/>
            <w:vAlign w:val="bottom"/>
          </w:tcPr>
          <w:p>
            <w:pPr>
              <w:ind w:left="20"/>
              <w:spacing w:after="0" w:line="145" w:lineRule="exact"/>
              <w:rPr>
                <w:sz w:val="20"/>
                <w:szCs w:val="20"/>
                <w:color w:val="auto"/>
              </w:rPr>
            </w:pPr>
            <w:r>
              <w:rPr>
                <w:rFonts w:ascii="Times New Roman" w:cs="Times New Roman" w:eastAsia="Times New Roman" w:hAnsi="Times New Roman"/>
                <w:sz w:val="15"/>
                <w:szCs w:val="15"/>
                <w:color w:val="auto"/>
              </w:rPr>
              <w:t>Lease of the Allen Gamble Correctional</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Center</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9"/>
              </w:rPr>
              <w:t>October 2023</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(1 )</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402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5"/>
                <w:szCs w:val="15"/>
                <w:color w:val="auto"/>
              </w:rPr>
              <w:t>Sale of a leased property in</w:t>
            </w:r>
          </w:p>
        </w:tc>
        <w:tc>
          <w:tcPr>
            <w:tcW w:w="1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(1 )</w:t>
            </w:r>
          </w:p>
        </w:tc>
        <w:tc>
          <w:tcPr>
            <w:tcW w:w="12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(1 )</w:t>
            </w:r>
          </w:p>
        </w:tc>
        <w:tc>
          <w:tcPr>
            <w:tcW w:w="0" w:type="dxa"/>
            <w:vAlign w:val="bottom"/>
          </w:tcPr>
          <w:p>
            <w:pPr>
              <w:spacing w:after="0"/>
              <w:rPr>
                <w:sz w:val="1"/>
                <w:szCs w:val="1"/>
                <w:color w:val="auto"/>
              </w:rPr>
            </w:pPr>
          </w:p>
        </w:tc>
      </w:tr>
      <w:tr>
        <w:trPr>
          <w:trHeight w:val="166"/>
        </w:trPr>
        <w:tc>
          <w:tcPr>
            <w:tcW w:w="4020" w:type="dxa"/>
            <w:vAlign w:val="bottom"/>
            <w:shd w:val="clear" w:color="auto" w:fill="CFF0FC"/>
          </w:tcPr>
          <w:p>
            <w:pPr>
              <w:ind w:left="140"/>
              <w:spacing w:after="0" w:line="166" w:lineRule="exact"/>
              <w:rPr>
                <w:sz w:val="20"/>
                <w:szCs w:val="20"/>
                <w:color w:val="auto"/>
              </w:rPr>
            </w:pPr>
            <w:r>
              <w:rPr>
                <w:rFonts w:ascii="Times New Roman" w:cs="Times New Roman" w:eastAsia="Times New Roman" w:hAnsi="Times New Roman"/>
                <w:sz w:val="15"/>
                <w:szCs w:val="15"/>
                <w:color w:val="auto"/>
              </w:rPr>
              <w:t>Georgia</w:t>
            </w:r>
          </w:p>
        </w:tc>
        <w:tc>
          <w:tcPr>
            <w:tcW w:w="2040" w:type="dxa"/>
            <w:vAlign w:val="bottom"/>
            <w:gridSpan w:val="2"/>
            <w:shd w:val="clear" w:color="auto" w:fill="CFF0FC"/>
          </w:tcPr>
          <w:p>
            <w:pPr>
              <w:jc w:val="center"/>
              <w:ind w:right="140"/>
              <w:spacing w:after="0" w:line="166" w:lineRule="exact"/>
              <w:rPr>
                <w:sz w:val="20"/>
                <w:szCs w:val="20"/>
                <w:color w:val="auto"/>
              </w:rPr>
            </w:pPr>
            <w:r>
              <w:rPr>
                <w:rFonts w:ascii="Times New Roman" w:cs="Times New Roman" w:eastAsia="Times New Roman" w:hAnsi="Times New Roman"/>
                <w:sz w:val="15"/>
                <w:szCs w:val="15"/>
                <w:color w:val="auto"/>
              </w:rPr>
              <w:t>December 2023</w:t>
            </w:r>
          </w:p>
        </w:tc>
        <w:tc>
          <w:tcPr>
            <w:tcW w:w="1340" w:type="dxa"/>
            <w:vAlign w:val="bottom"/>
            <w:gridSpan w:val="2"/>
            <w:vMerge w:val="continue"/>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rPr>
              <w:t>Facilities as of December 31, 2023</w:t>
            </w:r>
          </w:p>
        </w:tc>
        <w:tc>
          <w:tcPr>
            <w:tcW w:w="19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1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43</w:t>
            </w:r>
          </w:p>
        </w:tc>
        <w:tc>
          <w:tcPr>
            <w:tcW w:w="240" w:type="dxa"/>
            <w:vAlign w:val="bottom"/>
            <w:tcBorders>
              <w:top w:val="single" w:sz="8" w:color="CFF0FC"/>
            </w:tcBorders>
          </w:tcPr>
          <w:p>
            <w:pPr>
              <w:spacing w:after="0"/>
              <w:rPr>
                <w:sz w:val="13"/>
                <w:szCs w:val="13"/>
                <w:color w:val="auto"/>
              </w:rPr>
            </w:pPr>
          </w:p>
        </w:tc>
        <w:tc>
          <w:tcPr>
            <w:tcW w:w="10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23</w:t>
            </w:r>
          </w:p>
        </w:tc>
        <w:tc>
          <w:tcPr>
            <w:tcW w:w="220" w:type="dxa"/>
            <w:vAlign w:val="bottom"/>
            <w:tcBorders>
              <w:top w:val="single" w:sz="8" w:color="CFF0FC"/>
            </w:tcBorders>
          </w:tcPr>
          <w:p>
            <w:pPr>
              <w:spacing w:after="0"/>
              <w:rPr>
                <w:sz w:val="13"/>
                <w:szCs w:val="13"/>
                <w:color w:val="auto"/>
              </w:rPr>
            </w:pPr>
          </w:p>
        </w:tc>
        <w:tc>
          <w:tcPr>
            <w:tcW w:w="10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w:t>
            </w:r>
          </w:p>
        </w:tc>
        <w:tc>
          <w:tcPr>
            <w:tcW w:w="220" w:type="dxa"/>
            <w:vAlign w:val="bottom"/>
            <w:tcBorders>
              <w:top w:val="single" w:sz="8" w:color="CFF0FC"/>
            </w:tcBorders>
          </w:tcPr>
          <w:p>
            <w:pPr>
              <w:spacing w:after="0"/>
              <w:rPr>
                <w:sz w:val="13"/>
                <w:szCs w:val="13"/>
                <w:color w:val="auto"/>
              </w:rPr>
            </w:pPr>
          </w:p>
        </w:tc>
        <w:tc>
          <w:tcPr>
            <w:tcW w:w="11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72</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02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5"/>
                <w:szCs w:val="15"/>
                <w:color w:val="auto"/>
              </w:rPr>
              <w:t>Sale and subsequent expiration of the</w:t>
            </w:r>
          </w:p>
        </w:tc>
        <w:tc>
          <w:tcPr>
            <w:tcW w:w="1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management contract at a residential</w:t>
            </w:r>
          </w:p>
        </w:tc>
        <w:tc>
          <w:tcPr>
            <w:tcW w:w="1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reentry center in Colorado</w:t>
            </w:r>
          </w:p>
        </w:tc>
        <w:tc>
          <w:tcPr>
            <w:tcW w:w="20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5"/>
                <w:szCs w:val="15"/>
                <w:color w:val="auto"/>
                <w:w w:val="98"/>
              </w:rPr>
              <w:t>July 2024</w:t>
            </w: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(1 )</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(1 )</w:t>
            </w:r>
          </w:p>
        </w:tc>
        <w:tc>
          <w:tcPr>
            <w:tcW w:w="0" w:type="dxa"/>
            <w:vAlign w:val="bottom"/>
          </w:tcPr>
          <w:p>
            <w:pPr>
              <w:spacing w:after="0"/>
              <w:rPr>
                <w:sz w:val="1"/>
                <w:szCs w:val="1"/>
                <w:color w:val="auto"/>
              </w:rPr>
            </w:pPr>
          </w:p>
        </w:tc>
      </w:tr>
      <w:tr>
        <w:trPr>
          <w:trHeight w:val="145"/>
        </w:trPr>
        <w:tc>
          <w:tcPr>
            <w:tcW w:w="4020" w:type="dxa"/>
            <w:vAlign w:val="bottom"/>
          </w:tcPr>
          <w:p>
            <w:pPr>
              <w:ind w:left="20"/>
              <w:spacing w:after="0" w:line="145" w:lineRule="exact"/>
              <w:rPr>
                <w:sz w:val="20"/>
                <w:szCs w:val="20"/>
                <w:color w:val="auto"/>
              </w:rPr>
            </w:pPr>
            <w:r>
              <w:rPr>
                <w:rFonts w:ascii="Times New Roman" w:cs="Times New Roman" w:eastAsia="Times New Roman" w:hAnsi="Times New Roman"/>
                <w:sz w:val="15"/>
                <w:szCs w:val="15"/>
                <w:color w:val="auto"/>
              </w:rPr>
              <w:t>Sale of an idled residential reentry center in</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Oklahoma</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8"/>
              </w:rPr>
              <w:t>July 2024</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(1 )</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(1 )</w:t>
            </w:r>
          </w:p>
        </w:tc>
        <w:tc>
          <w:tcPr>
            <w:tcW w:w="0" w:type="dxa"/>
            <w:vAlign w:val="bottom"/>
          </w:tcPr>
          <w:p>
            <w:pPr>
              <w:spacing w:after="0"/>
              <w:rPr>
                <w:sz w:val="1"/>
                <w:szCs w:val="1"/>
                <w:color w:val="auto"/>
              </w:rPr>
            </w:pPr>
          </w:p>
        </w:tc>
      </w:tr>
      <w:tr>
        <w:trPr>
          <w:trHeight w:val="145"/>
        </w:trPr>
        <w:tc>
          <w:tcPr>
            <w:tcW w:w="402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5"/>
                <w:szCs w:val="15"/>
                <w:color w:val="auto"/>
              </w:rPr>
              <w:t>Termination of the contract and lease</w:t>
            </w:r>
          </w:p>
        </w:tc>
        <w:tc>
          <w:tcPr>
            <w:tcW w:w="1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agreement at the South Texas Family</w:t>
            </w:r>
          </w:p>
        </w:tc>
        <w:tc>
          <w:tcPr>
            <w:tcW w:w="1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(1 )</w:t>
            </w:r>
          </w:p>
        </w:tc>
        <w:tc>
          <w:tcPr>
            <w:tcW w:w="13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(1 )</w:t>
            </w:r>
          </w:p>
        </w:tc>
        <w:tc>
          <w:tcPr>
            <w:tcW w:w="0" w:type="dxa"/>
            <w:vAlign w:val="bottom"/>
          </w:tcPr>
          <w:p>
            <w:pPr>
              <w:spacing w:after="0"/>
              <w:rPr>
                <w:sz w:val="1"/>
                <w:szCs w:val="1"/>
                <w:color w:val="auto"/>
              </w:rPr>
            </w:pPr>
          </w:p>
        </w:tc>
      </w:tr>
      <w:tr>
        <w:trPr>
          <w:trHeight w:val="166"/>
        </w:trPr>
        <w:tc>
          <w:tcPr>
            <w:tcW w:w="4020" w:type="dxa"/>
            <w:vAlign w:val="bottom"/>
            <w:shd w:val="clear" w:color="auto" w:fill="CFF0FC"/>
          </w:tcPr>
          <w:p>
            <w:pPr>
              <w:ind w:left="140"/>
              <w:spacing w:after="0" w:line="166" w:lineRule="exact"/>
              <w:rPr>
                <w:sz w:val="20"/>
                <w:szCs w:val="20"/>
                <w:color w:val="auto"/>
              </w:rPr>
            </w:pPr>
            <w:r>
              <w:rPr>
                <w:rFonts w:ascii="Times New Roman" w:cs="Times New Roman" w:eastAsia="Times New Roman" w:hAnsi="Times New Roman"/>
                <w:sz w:val="15"/>
                <w:szCs w:val="15"/>
                <w:color w:val="auto"/>
              </w:rPr>
              <w:t>Residential Center</w:t>
            </w:r>
          </w:p>
        </w:tc>
        <w:tc>
          <w:tcPr>
            <w:tcW w:w="2040" w:type="dxa"/>
            <w:vAlign w:val="bottom"/>
            <w:gridSpan w:val="2"/>
            <w:shd w:val="clear" w:color="auto" w:fill="CFF0FC"/>
          </w:tcPr>
          <w:p>
            <w:pPr>
              <w:jc w:val="center"/>
              <w:ind w:right="140"/>
              <w:spacing w:after="0" w:line="166" w:lineRule="exact"/>
              <w:rPr>
                <w:sz w:val="20"/>
                <w:szCs w:val="20"/>
                <w:color w:val="auto"/>
              </w:rPr>
            </w:pPr>
            <w:r>
              <w:rPr>
                <w:rFonts w:ascii="Times New Roman" w:cs="Times New Roman" w:eastAsia="Times New Roman" w:hAnsi="Times New Roman"/>
                <w:sz w:val="15"/>
                <w:szCs w:val="15"/>
                <w:color w:val="auto"/>
              </w:rPr>
              <w:t>August 2024</w:t>
            </w:r>
          </w:p>
        </w:tc>
        <w:tc>
          <w:tcPr>
            <w:tcW w:w="1340" w:type="dxa"/>
            <w:vAlign w:val="bottom"/>
            <w:gridSpan w:val="2"/>
            <w:vMerge w:val="continue"/>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2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Facilities as of December 31, 2024</w:t>
            </w:r>
          </w:p>
        </w:tc>
        <w:tc>
          <w:tcPr>
            <w:tcW w:w="19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42</w:t>
            </w:r>
          </w:p>
        </w:tc>
        <w:tc>
          <w:tcPr>
            <w:tcW w:w="240" w:type="dxa"/>
            <w:vAlign w:val="bottom"/>
            <w:tcBorders>
              <w:top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21</w:t>
            </w:r>
          </w:p>
        </w:tc>
        <w:tc>
          <w:tcPr>
            <w:tcW w:w="220" w:type="dxa"/>
            <w:vAlign w:val="bottom"/>
            <w:tcBorders>
              <w:top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6</w:t>
            </w:r>
          </w:p>
        </w:tc>
        <w:tc>
          <w:tcPr>
            <w:tcW w:w="220" w:type="dxa"/>
            <w:vAlign w:val="bottom"/>
            <w:tcBorders>
              <w:top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69</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-1062355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-1062355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-1062355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-136525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-136525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-136525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the Year Ended December 31, 2023</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net income was $68.9 million, or $0.62 per diluted share, compared with net income of $67.6 million, or $0.59 per diluted share, for the previous year. Financial results for 2024 reflect a gain on the sale of real estate assets of $3.3 million and $3.1 million of asset impairments. Financial results for 2024 also reflect $31.3 million of expenses associated with debt repayments and refinancing transactions. For the year ended December 31, 2024, income tax expense reflects a net benefit of $9.8 million associated with these special items.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results for 2023 reflect an $0.8 million gain on the sale of real estate assets, $2.7 million of asset impairments, and $0.7 million of expenses associated with debt repayments and refinancing transactions. For the year ended December 31, 2023, income tax expense reflects a net expense of $0.2 million associated with these special items and a change in our corporate 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Current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ongoing operations are organized into three principal business segments:</w:t>
      </w:r>
    </w:p>
    <w:p>
      <w:pPr>
        <w:spacing w:after="0" w:line="117" w:lineRule="exact"/>
        <w:rPr>
          <w:sz w:val="20"/>
          <w:szCs w:val="20"/>
          <w:color w:val="auto"/>
        </w:rPr>
      </w:pPr>
    </w:p>
    <w:p>
      <w:pPr>
        <w:jc w:val="both"/>
        <w:ind w:left="840" w:hanging="380"/>
        <w:spacing w:after="0" w:line="261"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CoreCivic Safety segment, consisting of the 42 correctional and detention facilities that are owned or controlled via a long-term lease and managed by CoreCivic, as well as those correctional and detention facilities owned by third parties but managed by CoreCivic. CoreCivic Safety also includes the operating results of our subsidiary that provides transportation services to governmental agencies, TransCor America, LLC, or TransCor.</w:t>
      </w:r>
    </w:p>
    <w:p>
      <w:pPr>
        <w:spacing w:after="0" w:line="71" w:lineRule="exact"/>
        <w:rPr>
          <w:rFonts w:ascii="Times New Roman" w:cs="Times New Roman" w:eastAsia="Times New Roman" w:hAnsi="Times New Roman"/>
          <w:sz w:val="18"/>
          <w:szCs w:val="18"/>
          <w:color w:val="auto"/>
        </w:rPr>
      </w:pPr>
    </w:p>
    <w:p>
      <w:pPr>
        <w:ind w:left="840" w:hanging="380"/>
        <w:spacing w:after="0" w:line="282"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CoreCivic Community segment, consisting of the 21 residential reentry centers that are owned or controlled via a long-term lease and managed by CoreCivic. CoreCivic Community also includes the operating results of our electronic monitoring and case management services.</w:t>
      </w:r>
    </w:p>
    <w:p>
      <w:pPr>
        <w:spacing w:after="0" w:line="53" w:lineRule="exact"/>
        <w:rPr>
          <w:rFonts w:ascii="Times New Roman" w:cs="Times New Roman" w:eastAsia="Times New Roman" w:hAnsi="Times New Roman"/>
          <w:sz w:val="18"/>
          <w:szCs w:val="18"/>
          <w:color w:val="auto"/>
        </w:rPr>
      </w:pPr>
    </w:p>
    <w:p>
      <w:pPr>
        <w:ind w:left="840" w:hanging="380"/>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CoreCivic Properties segment, consisting of the 6 correctional real estate properties owned by CoreCivic.</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our total segment net operating income, which we define as facility revenue (including interest income associated with finance leases) less operating expenses, was divided among our three business segments as follows:</w:t>
      </w:r>
    </w:p>
    <w:p>
      <w:pPr>
        <w:spacing w:after="0" w:line="37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color w:val="auto"/>
        </w:rPr>
        <w:t>For the 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100" w:type="dxa"/>
            <w:vAlign w:val="bottom"/>
            <w:tcBorders>
              <w:top w:val="single" w:sz="8" w:color="auto"/>
              <w:bottom w:val="single" w:sz="8" w:color="auto"/>
            </w:tcBorders>
          </w:tcPr>
          <w:p>
            <w:pPr>
              <w:jc w:val="right"/>
              <w:ind w:right="835"/>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Safety</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91.1 %</w:t>
            </w:r>
          </w:p>
        </w:tc>
        <w:tc>
          <w:tcPr>
            <w:tcW w:w="2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84.7 %</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Community</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4.6 %</w:t>
            </w:r>
          </w:p>
        </w:tc>
        <w:tc>
          <w:tcPr>
            <w:tcW w:w="2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5.2 %</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Properties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4.3 %</w:t>
            </w:r>
          </w:p>
        </w:tc>
        <w:tc>
          <w:tcPr>
            <w:tcW w:w="2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10.1 %</w:t>
            </w:r>
          </w:p>
        </w:tc>
        <w:tc>
          <w:tcPr>
            <w:tcW w:w="560" w:type="dxa"/>
            <w:vAlign w:val="bottom"/>
          </w:tcPr>
          <w:p>
            <w:pPr>
              <w:spacing w:after="0"/>
              <w:rPr>
                <w:sz w:val="20"/>
                <w:szCs w:val="20"/>
                <w:color w:val="auto"/>
              </w:rPr>
            </w:pPr>
          </w:p>
        </w:tc>
      </w:tr>
      <w:tr>
        <w:trPr>
          <w:trHeight w:val="846"/>
        </w:trPr>
        <w:tc>
          <w:tcPr>
            <w:tcW w:w="580" w:type="dxa"/>
            <w:vAlign w:val="bottom"/>
          </w:tcPr>
          <w:p>
            <w:pPr>
              <w:spacing w:after="0"/>
              <w:rPr>
                <w:sz w:val="24"/>
                <w:szCs w:val="24"/>
                <w:color w:val="auto"/>
              </w:rPr>
            </w:pPr>
          </w:p>
        </w:tc>
        <w:tc>
          <w:tcPr>
            <w:tcW w:w="54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69</w:t>
            </w: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69" w:name="page70"/>
    <w:bookmarkEnd w:id="6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Operations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key performance indicator we use to measure the revenue and expenses associated with the operation of the correctional, detention, and residential reentry facilities we own or manage is expressed in terms of a compensated man-day, which represents the revenue we generate and expenses we incur for one offender for one calendar day. Revenue and expenses per compensated man-day are computed by dividing facility revenue and expenses by the total number of compensated man-days during the period. A compensated man-day represents a calendar day for which we are paid for the occupancy of an offender. We believe the measurement is useful because we are compensated for operating and managing facilities at an offender per diem rate based upon actual or minimum guaranteed occupancy levels. We also measure our costs on a per compensated man-day basis, which are largely dependent upon the number of offenders we accommodate. Further, per compensated man-day measurements are also used to estimate our potential profitability based on certain occupancy levels relative to design capacity. Revenue and expenses per compensated man-day for all of the correctional, detention, and residential reentry facilities placed into service that we owned or managed, exclusive of those held for lease, and for TransCor were as follows for the years ended December 31, 2024 and 2023:</w:t>
      </w:r>
    </w:p>
    <w:p>
      <w:pPr>
        <w:spacing w:after="0" w:line="19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color w:val="auto"/>
              </w:rPr>
              <w:t>For the Years Ended December 31,</w:t>
            </w:r>
          </w:p>
        </w:tc>
      </w:tr>
      <w:tr>
        <w:trPr>
          <w:trHeight w:val="142"/>
        </w:trPr>
        <w:tc>
          <w:tcPr>
            <w:tcW w:w="5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200" w:type="dxa"/>
            <w:vAlign w:val="bottom"/>
          </w:tcPr>
          <w:p>
            <w:pPr>
              <w:spacing w:after="0"/>
              <w:rPr>
                <w:sz w:val="12"/>
                <w:szCs w:val="12"/>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per compensated man-day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101.50</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98.06</w:t>
            </w:r>
          </w:p>
        </w:tc>
        <w:tc>
          <w:tcPr>
            <w:tcW w:w="2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per compensated man-day:</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Fixed expense</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57.08</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200" w:type="dxa"/>
            <w:vAlign w:val="bottom"/>
            <w:shd w:val="clear" w:color="auto" w:fill="CFF0FC"/>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Variable expense</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20.08</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00" w:type="dxa"/>
            <w:vAlign w:val="bottom"/>
          </w:tcPr>
          <w:p>
            <w:pPr>
              <w:spacing w:after="0"/>
              <w:rPr>
                <w:sz w:val="18"/>
                <w:szCs w:val="18"/>
                <w:color w:val="auto"/>
              </w:rPr>
            </w:pPr>
          </w:p>
        </w:tc>
      </w:tr>
      <w:tr>
        <w:trPr>
          <w:trHeight w:val="210"/>
        </w:trPr>
        <w:tc>
          <w:tcPr>
            <w:tcW w:w="51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77.16</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200" w:type="dxa"/>
            <w:vAlign w:val="bottom"/>
            <w:tcBorders>
              <w:bottom w:val="single" w:sz="8" w:color="CFF0FC"/>
            </w:tcBorders>
            <w:shd w:val="clear" w:color="auto" w:fill="CFF0FC"/>
          </w:tcPr>
          <w:p>
            <w:pPr>
              <w:spacing w:after="0"/>
              <w:rPr>
                <w:sz w:val="18"/>
                <w:szCs w:val="18"/>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per compensated man-day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24.34</w:t>
            </w: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2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7"/>
        </w:trPr>
        <w:tc>
          <w:tcPr>
            <w:tcW w:w="5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Operating margin</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b w:val="1"/>
                <w:bCs w:val="1"/>
                <w:color w:val="auto"/>
              </w:rPr>
              <w:t>24.0 %</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21.9 %</w:t>
            </w: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5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Average compensated occupancy</w:t>
            </w:r>
          </w:p>
        </w:tc>
        <w:tc>
          <w:tcPr>
            <w:tcW w:w="160" w:type="dxa"/>
            <w:vAlign w:val="bottom"/>
          </w:tcPr>
          <w:p>
            <w:pPr>
              <w:spacing w:after="0"/>
              <w:rPr>
                <w:sz w:val="17"/>
                <w:szCs w:val="17"/>
                <w:color w:val="auto"/>
              </w:rPr>
            </w:pPr>
          </w:p>
        </w:tc>
        <w:tc>
          <w:tcPr>
            <w:tcW w:w="12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b w:val="1"/>
                <w:bCs w:val="1"/>
                <w:color w:val="auto"/>
              </w:rPr>
              <w:t>75.0 %</w:t>
            </w:r>
          </w:p>
        </w:tc>
        <w:tc>
          <w:tcPr>
            <w:tcW w:w="260" w:type="dxa"/>
            <w:vAlign w:val="bottom"/>
          </w:tcPr>
          <w:p>
            <w:pPr>
              <w:spacing w:after="0"/>
              <w:rPr>
                <w:sz w:val="17"/>
                <w:szCs w:val="17"/>
                <w:color w:val="auto"/>
              </w:rPr>
            </w:pPr>
          </w:p>
        </w:tc>
        <w:tc>
          <w:tcPr>
            <w:tcW w:w="10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71.6 %</w:t>
            </w:r>
          </w:p>
        </w:tc>
      </w:tr>
      <w:tr>
        <w:trPr>
          <w:trHeight w:val="20"/>
        </w:trPr>
        <w:tc>
          <w:tcPr>
            <w:tcW w:w="5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51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available beds</w:t>
            </w:r>
          </w:p>
        </w:tc>
        <w:tc>
          <w:tcPr>
            <w:tcW w:w="1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68,200</w:t>
            </w:r>
          </w:p>
        </w:tc>
        <w:tc>
          <w:tcPr>
            <w:tcW w:w="3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70,647</w:t>
            </w:r>
          </w:p>
        </w:tc>
        <w:tc>
          <w:tcPr>
            <w:tcW w:w="200" w:type="dxa"/>
            <w:vAlign w:val="bottom"/>
            <w:tcBorders>
              <w:bottom w:val="single" w:sz="8" w:color="CFF0FC"/>
            </w:tcBorders>
            <w:shd w:val="clear" w:color="auto" w:fill="CFF0FC"/>
          </w:tcPr>
          <w:p>
            <w:pPr>
              <w:spacing w:after="0"/>
              <w:rPr>
                <w:sz w:val="20"/>
                <w:szCs w:val="20"/>
                <w:color w:val="auto"/>
              </w:rPr>
            </w:pPr>
          </w:p>
        </w:tc>
      </w:tr>
      <w:tr>
        <w:trPr>
          <w:trHeight w:val="196"/>
        </w:trPr>
        <w:tc>
          <w:tcPr>
            <w:tcW w:w="5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Average compensated population</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51,165</w:t>
            </w: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50,566</w:t>
            </w:r>
          </w:p>
        </w:tc>
        <w:tc>
          <w:tcPr>
            <w:tcW w:w="200" w:type="dxa"/>
            <w:vAlign w:val="bottom"/>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-822325</wp:posOffset>
            </wp:positionV>
            <wp:extent cx="137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-822325</wp:posOffset>
            </wp:positionV>
            <wp:extent cx="1200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-513715</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-496570</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-513715</wp:posOffset>
            </wp:positionV>
            <wp:extent cx="1200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-496570</wp:posOffset>
            </wp:positionV>
            <wp:extent cx="1200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137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-187960</wp:posOffset>
            </wp:positionV>
            <wp:extent cx="1200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1200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 consists of management revenue we generate through CoreCivic Safety and CoreCivic Community in the operation of correctional, detention, and residential reentry facilities, as well as the revenue we generate from TransCor and our electronic monitoring and case management services. Total revenue also consists of lease revenue we generate through CoreCivic Properties from facilities we lease to third-party operators. The following table reflects the components of revenue for the years ended December 31, 2024 and 2023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4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revenue:</w:t>
            </w:r>
          </w:p>
        </w:tc>
        <w:tc>
          <w:tcPr>
            <w:tcW w:w="14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1,002.2</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775.4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Local</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38.9 %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40.7 %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management revenue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revenue</w:t>
            </w: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(23.8 )</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(47.7 %)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(0.2 )</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1,961.6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-1662430</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-1662430</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-1662430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-1662430</wp:posOffset>
            </wp:positionV>
            <wp:extent cx="1543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-1096645</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-1079500</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-1096645</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-1079500</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-1096645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-1079500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-1096645</wp:posOffset>
            </wp:positionV>
            <wp:extent cx="1543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-1079500</wp:posOffset>
            </wp:positionV>
            <wp:extent cx="1543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$89.0 million, or 4.8%, increase in total management revenue was primarily a result of an increase in revenue of $64.4 million driven primarily by an increase of 3.5% in average revenue per compensated man-day. The increase in average revenue per compensated man-day primarily resulted from the effect of per diem increases at many of our facilities. The increase in total management revenue was also a result of an increase in revenue of $26.5 million driven primarily by an increase in average daily compensated population from 2023 to 2024, including the revenue generated by one additional day of operations due to a leap year in 2024. The increase in revenue resulting from the increases in average revenue per compensated man-day and average daily compensated population was net of the effect of the reduction in compensated populations at our Allen Gamble Correctional Center and the termination of an IGSA with respect to the STFRC. Notwithstanding the termination of this IGSA, which generated operating margins higher than the portfolio average, we believe the positive impact of the increase in average revenue per compensated man-day at our other facilities has resulted in an increase to our operating margins as residential populations recovered from the impact of COVID-19 and helped offset the wage and employee benefit increases we have been incurring, as further discussed hereinafter. Revenue generated from our electronic monitoring and case management services during 2024 decreased $1.9 million (from $36.7 during 2023 to $34.8 million during 2024).</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Average daily compensated population increased 599, or 1.2%, to 51,165 in 2024 compared to 50,566 in 2023. The increase in average daily compensated population was primarily a result of increased occupancy at facilities where ICE is our federal partner. Average daily compensated population also increased as a result of the three new local and state contracts we entered into in late 2023 at our 2,672-bed Tallahatchie County Correctional Facility in Tutwiler, Mississippi and the increase in average daily compensated population resulting from the two new management contracts with the state of Montana, the first of which we entered into in November 2023, and the second of which we entered into in August 2024, which contributed to increases in populations held at our 1,896-bed Saguaro Correctional Facility in Eloy, Arizona. On January 16, 2025, we announced that we were awarded a new management contract with the state of Montana to care for additional inmates outside the state of Montana, with 240 inmates expected to arrive at our Tallahatchie facility during the first quarter of 2025. These increases were partially offset by the termination of an IGSA with respect to the STFRC effective August 9, 2024 and a reduction in compensated populations at our Allen Gamble Correctional Center, which transitioned to a lease in our Properties segment effective October 1, 2023. Average compensated populations at the Allen Gamble facility were 1,071 for the year ended December 31, 2023. Average compensated populations decreased by 944 during 2024 compared to 2023 attributable to the termination of the IGSA with respect to the STFRC effective August 9, 2024.</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solutions we provide to our federal customers, including primarily ICE and the USMS, continue to be a significant component of our business. The federal customers in our Safety and Community segments generated approximately 51% and 52% of our total revenue in 2024 and 2023, respectively, increasing $7.0 million, or 0.7%, in 2024 from 2023. The increase in federal revenue was primarily a result of increased occupancy and per diem increases at certain facilities and as a result of one additional day of operations due to a leap year in 2024, partially offset by the termination of an IGSA with respect to the STFRC.</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previously described herein, Title 42, which was implemented in the first quarter of 2020, resulted in a reduction to the number of people ICE detained, including in our detention facilities. The financial impact of Title 42 was somewhat mitigated by fixed monthly payments from ICE at certain of our facilities, to ensure ICE has adequate bed capacity in the event of a surge in the future. The expiration of Title 42 on May 11, 2023 has resulted in an increase in the number of undocumented people permitted to enter the United States claiming asylum, and has also resulted in an increase in the number of people apprehended and detained by ICE. During 2024, revenue from ICE was $564.8 million compared to $565.5 million during 2023. </w:t>
      </w:r>
      <w:r>
        <w:rPr>
          <w:rFonts w:ascii="Times New Roman" w:cs="Times New Roman" w:eastAsia="Times New Roman" w:hAnsi="Times New Roman"/>
          <w:sz w:val="18"/>
          <w:szCs w:val="18"/>
          <w:color w:val="242424"/>
        </w:rPr>
        <w:t>Given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aforementioned termination of the IGSA with ICE with respect to the STFRC, total management revenues were, and are expected to continue to be, negatively impacted following the August 9, 2024 termination date, when compared to prior periods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State revenues from contracts at correctional, detention, and residential reentry facilities that we operate increased $36.8 million, or 5.0%, from 2023 to 2024. State revenues increased as a result of per diem increases under a number of our state contracts, as certain states have recognized the need to provide additional funding to address increases in the wages of our employees. State revenues also increased due to higher utilization from the states of Montana and Wyoming due to new management contracts executed during 2023 and 2024, as previously described herein, as well as higher utilization from other states under existing management contracts. State revenues generated during 2024 also benefited from one additional day of operations due to 2024 being a leap year. The increase in state revenues was partially offset by a decrease in state revenues at our Allen Gamble Correctional Center that resulted from a new lease agreement effective October 1, 2023, as further described hereinafter, and is now reported in our Properties segment.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Local revenues from contracts at correctional, detention, and residential reentry facilities that we operate increased $14.0 million, or 38.9%, from 2023 to 2024. The new contracts with Harris County, Texas and Hinds County, Mississippi at our Tallahatchie County Correctional Facility, as previously described herein, contributed to the increase in local revenues in 2024. Local revenues also benefited from the one additional day of operations due to a leap year in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$23.8 million, or 47.7%, decrease in lease revenue from 2023 to 2024 primarily resulted from the termination of the lease agreement at our California City Correctional Center effective March 31, 2024 and, to a lesser extent, the sale of the Augusta Transitional Center in December 2023, partially offset by the lease revenue at our Allen Gamble Correctional Center from a new lease agreement that became effective October 1, 2023, all as further described hereinafter. The decrease in lease revenue was also a result of the termination of the lease at our North Fork Correctional Facility effective June 30, 2023, also as further described hereinafter.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totaled $1,493.4 million and $1,462.4 million in 2024 and 2023, respectively. Operating expenses consist of those expenses incurred in the operation and management of correctional, detention, and residential reentry facilities, as well as those expenses incurred in the operations of TransCor and our electronic monitoring and case management services. Operating expenses also consist of those expenses incurred in the operation of facilities we lease to third-party operators.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Operating expenses incurred by CoreCivic Safety and CoreCivic Community in connection with the operation and management of our correctional, detention, and residential reentry facilities, as well as those incurred in the operations of TransCor and our electronic monitoring and case management services, increased $31.1 million, or 2.1%, during 2024 compared with 2023. Operating expenses increased primarily as a result of wage increases resulting from labor shortages and wage pressures, as further described hereinafter. We achieved higher staffing levels during 2024 when compared to 2023, and correspondingly, we were able to reduce our use of temporary incentives by $12.8 million as we continued to see improvement in our attraction and retention of facility staff in this challenging labor market. Additionally, operating expenses increased as a result of the new contracts at our Tallahatchie and Saguaro facilities and as a result of the additional day of operations due to 2024 being a leap year. The increase in operating expenses incurred by CoreCivic Safety and Community was partially offset by the new lease of our Allen Gamble Correctional Center, which is now reported in our Properties segment, and the termination of an IGSA with respect to the STFRC effective August 9, 2024, particularly because ICE ceased using the STFRC in early July 2024, which allowed us to reduce operating expenses associated with the STFRC. We leased the STFRC and the site upon which it was constructed from a third-party lessor. Our lease agreement with the third-party lessor was over a base period concurrent with the extended IGSA, which was amended in September 2020 to extend the term of the lease agreement through September 2026. The lease agreement provided us with the ability to terminate the lease with a notification period of at least 60 days if ICE terminated the extended IGSA. Upon being notified by ICE of its intent to terminate the IGSA at the STFRC, we provided notice to the third-party lessor of our intent to terminate the lease agreement effective August 9, 2024. We have no further lease or material other operating expense commitments associated with the STFRC following the termination date on August 9, 2024. We are partnering with the third-party owner of STFRC to market the facility to DHS. However, we can provide no assurance that we will be able to successfully enter into an agreement for the use of the STFRC.</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expenses per compensated man-day increased to $77.16 during 2024 from $76.59 during 2023. We continue to experience labor shortages and wage pressures in several markets across the country, and have provided customary inflationary wage increases to remain competitive. Although the hiring environment has been progressively improving, recruiting has been particularly challenging since the start of the pandemic due to the front-line nature of the services we provide, and the shortage of nursing staff across the country intensified as a result of the COVID-19 pandemic and the challenging labor market. Further, we have incurred incremental expenses to help ensure sufficient staffing levels under unique and challenging working conditions. While we were able to reduce the use of these temporary incentives by $12.8 million during 2024 when compared to 2023 due to the improving hiring environment, we expect to continue to incur a certain level of incremental expenses in the future, particularly if demand from the federal government for our correctional and detention facilities rapidly increases under the new presidential administration, particularly from ICE, that could result from changes in immigration policy. Incremental expenses include, but may not be limited to, incentive payments to our front-line and field staff, temporary employee housing expenses and other travel related reimbursements, additional paid time off, off-cycle wage increases in certain markets to remain competitive, and registry nursing expenses. These incremental investments have enabled us to increase overall staffing levels, which has contributed to the increase in total expenses per compensated man-day.</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continually monitor compensation levels very closely along with overall economic conditions and will adjust wage levels necessary to help ensure the long-term success of our business. Further, we continually evaluate the structure of our employee benefits package and training programs to ensure we are better able to attract and retain our employees. Salaries and benefits represent the most significant component of our operating expenses, representing approximately 63% and 60% of our total operating expenses during 2024 and 2023, respectively. As previously mentioned, recruiting and retaining staff has been particularly challenging for us and for the corrections and detention industry as a whole. An inability to attract and retain sufficient personnel could prevent us from caring for additional residential populations for government agencies in need of additional capacity due to an increase in inmate populations or an inability to adequately staff their facilities. An inability to attract and retain sufficient personnel in our existing facilities could also cause our government partners to assess liquidated damages, reduce our residential populations, or in certain circumstances, cancel our contracts. We have also been subjected to staff vacancy deductions as a result of the labor shortages, which are reflected as reductions to other management revenue. Estimating vacancy deduction amounts can be complex and subject to management judgment and estimations. Some of our government partners have granted waivers for vacancy deductions in recognition of the unique and challenging labor market, while others have discretionarily adjusted such deductions based on our extraordinary costs, efforts and incentive programs implemented to attract and retain staff.</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Variable expenses per compensated man-day decreased to $20.08 during 2024 from $21.19 during 2023. The decrease in variable expenses per compensated man-day during 2024 was primarily a result of a decrease in registry nursing expense of $8.9 million, or $0.49 per compensated man-day when compared to 2023. The decrease in variable expenses per compensated man-day was also a result of decreases in recruiting and travel expenses of $17.5 million, or $0.98 per compensated man-day, when compared to 2023. During 2023, recruiting expenses and travel expenses were higher as we supported our staff who were temporarily deployed across the Company to help address the labor shortages we experienced in certain regions, most notably at our La Palma facility in Arizona. While the shortage of nursing staff across the country continues to be challenging, we have seen, and continue to see, improvement in our recruiting and retention of facility staff, including nursing staff, as we have made investments in higher wages and increased our use of part-time positions, which helped us achieve higher staffing levels. The hiring environment for these positions has also improved.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expenses incurred by CoreCivic Properties in connection with facilities we lease to third-party operators were consistent during 2024 when compared to 2023. The increase in operating expenses in our Properties segment resulting from the transition of the Allen Gamble Correctional Center from our Safety segment to our Properties segment effective October 1, 2023 was offset by the expiration of the lease agreement with the California Department of Corrections and Rehabilitation, or CDCR, at our California City Correctional Center effective March 31, 2024, and by the expiration of the lease agreement with the ODC at our North Fork Correctional Facility effective June 30, 2023, as further described hereinafter.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Management Contracts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 into facility management contracts to provide bed capacity and management services to governmental entities in our CoreCivic Safety and CoreCivic Community segments for terms typically ranging from one to five years, with additional renewal periods at the option of the contracting governmental agency. Accordingly, a substantial portion of our facility management contracts are scheduled to expire each year, notwithstanding contractual renewal options that a government agency may exercise. Although we generally expect these customers to exercise renewal options or negotiate new contracts with us, one or more of these contracts may not be renewed by the corresponding governmental agency. Further, our government partners can generally terminate our management contracts for non-appropriation of funds or for convenience.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on January 26, 2021, then-President Biden issued the Private Prison EO. The Private Prison EO directed the Attorney General to not renew DOJ contracts with privately operated criminal detention facilities. Two agencies of the DOJ, the BOP and the USMS, utilize our services. The BOP houses inmates who have been convicted, and the USMS is generally responsible for detainees who are awaiting trial. The Private Prison EO only applied to agencies that are part of the DOJ, which includes the BOP and USMS. We no longer operate any prison contracts for the BOP. ICE facilities were not covered by the Private Prison EO, as ICE is an agency of the DHS, not the DOJ. For the years ended December 31, 2024 and 2023, the USMS accounted for 21% ($406.4 million) and 21% ($400.4 million), respectively, of our total revenue.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Unlike the BOP, the USMS does not own detention capacity and relies on the private sector, along with various government agencies, for its detainee population. We currently have two detention facilities that have direct contracts with the USMS. Because of the lack of alternative bed capacity, one of the contracts was renewed upon its expiration in September 2023, and now expires in September 2028. The second direct contract expires in October 2025. On January 20, 2025, President Trump reversed the Private Prison EO. However, it is possible future administrations could issue similar executive orders restricting the use of private correctional and detention facilities by the federal government.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contract at the 300-bed Elizabeth Detention Center in New Jersey is currently scheduled to expire on February 28, 2025. ICE has issued an RFP for up to 600 beds in New Jersey. We have offered the Elizabeth Detention Center under this RFP, but can provide no assurance that we will be awarded a new contract under this RFP. We generated total revenue of $19.6 million at this facility during the twelve months ended December 31,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information available as of the date of this Annual Report, we believe we will renew all contracts with our government partners that have expired or are scheduled to expire within the next twelve months that could have a material adverse impact on our financial statements. We believe our renewal rate on existing contracts remains high due to a variety of reasons including, but not limited to, the constrained supply of available beds within the U.S. correctional system, our ownership of the majority of the beds we operate, and the cost effectiveness of the services we provide. However, we can provide no assurance that we will continue to achieve high renewal rates in the future.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CoreCivic Safety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CoreCivic Safety includes the operating results of the correctional and detention facilities that we operated during each period. Total revenue generated by CoreCivic Safety increased $85.4 million, or 4.9%, from $1,731.4 million during 2023 to $1,816.9 million during 2024. CoreCivic Safety's facility net operating income increased $59.4 million, or 15.8%, from $374.9 million during 2023 to $434.3 million during 2024. During 2024 and 2023, CoreCivic Safety generated 91.1% and 84.7%, respectively, of our total segment net operating income.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revenue and expenses per compensated man-day for CoreCivic Safety's correctional and detention facilities placed into service that we own and manage and for the facilities we manage but do not own, inclusive of the transportation services provided by TransCor:</w:t>
      </w:r>
    </w:p>
    <w:p>
      <w:pPr>
        <w:spacing w:after="0" w:line="37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7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09"/>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CoreCivic Safety Facilities:</w:t>
            </w: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Revenue per compensated man-day</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102.79</w:t>
            </w:r>
          </w:p>
        </w:tc>
        <w:tc>
          <w:tcPr>
            <w:tcW w:w="380" w:type="dxa"/>
            <w:vAlign w:val="bottom"/>
          </w:tcPr>
          <w:p>
            <w:pPr>
              <w:spacing w:after="0"/>
              <w:rPr>
                <w:sz w:val="18"/>
                <w:szCs w:val="18"/>
                <w:color w:val="auto"/>
              </w:rPr>
            </w:pP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200" w:type="dxa"/>
            <w:vAlign w:val="bottom"/>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per compensated man-day:</w:t>
            </w: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expense</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57.73</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200" w:type="dxa"/>
            <w:vAlign w:val="bottom"/>
          </w:tcPr>
          <w:p>
            <w:pPr>
              <w:spacing w:after="0"/>
              <w:rPr>
                <w:sz w:val="18"/>
                <w:szCs w:val="18"/>
                <w:color w:val="auto"/>
              </w:rPr>
            </w:pPr>
          </w:p>
        </w:tc>
      </w:tr>
      <w:tr>
        <w:trPr>
          <w:trHeight w:val="216"/>
        </w:trPr>
        <w:tc>
          <w:tcPr>
            <w:tcW w:w="67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Variable expense</w:t>
            </w:r>
          </w:p>
        </w:tc>
        <w:tc>
          <w:tcPr>
            <w:tcW w:w="8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20.49</w:t>
            </w:r>
          </w:p>
        </w:tc>
        <w:tc>
          <w:tcPr>
            <w:tcW w:w="3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200" w:type="dxa"/>
            <w:vAlign w:val="bottom"/>
            <w:tcBorders>
              <w:bottom w:val="single" w:sz="8" w:color="CFF0FC"/>
            </w:tcBorders>
            <w:shd w:val="clear" w:color="auto" w:fill="CFF0FC"/>
          </w:tcPr>
          <w:p>
            <w:pPr>
              <w:spacing w:after="0"/>
              <w:rPr>
                <w:sz w:val="18"/>
                <w:szCs w:val="18"/>
                <w:color w:val="auto"/>
              </w:rPr>
            </w:pPr>
          </w:p>
        </w:tc>
      </w:tr>
      <w:tr>
        <w:trPr>
          <w:trHeight w:val="20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78.22</w:t>
            </w:r>
          </w:p>
        </w:tc>
        <w:tc>
          <w:tcPr>
            <w:tcW w:w="3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200" w:type="dxa"/>
            <w:vAlign w:val="bottom"/>
          </w:tcPr>
          <w:p>
            <w:pPr>
              <w:spacing w:after="0"/>
              <w:rPr>
                <w:sz w:val="18"/>
                <w:szCs w:val="18"/>
                <w:color w:val="auto"/>
              </w:rPr>
            </w:pPr>
          </w:p>
        </w:tc>
      </w:tr>
      <w:tr>
        <w:trPr>
          <w:trHeight w:val="250"/>
        </w:trPr>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per compensated man-day</w:t>
            </w: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24.57</w:t>
            </w:r>
          </w:p>
        </w:tc>
        <w:tc>
          <w:tcPr>
            <w:tcW w:w="3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00" w:type="dxa"/>
            <w:vAlign w:val="bottom"/>
            <w:tcBorders>
              <w:bottom w:val="single" w:sz="8" w:color="CFF0FC"/>
            </w:tcBorders>
            <w:shd w:val="clear" w:color="auto" w:fill="CFF0FC"/>
          </w:tcPr>
          <w:p>
            <w:pPr>
              <w:spacing w:after="0"/>
              <w:rPr>
                <w:sz w:val="21"/>
                <w:szCs w:val="21"/>
                <w:color w:val="auto"/>
              </w:rPr>
            </w:pPr>
          </w:p>
        </w:tc>
      </w:tr>
      <w:tr>
        <w:trPr>
          <w:trHeight w:val="197"/>
        </w:trPr>
        <w:tc>
          <w:tcPr>
            <w:tcW w:w="6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Operating margin</w:t>
            </w:r>
          </w:p>
        </w:tc>
        <w:tc>
          <w:tcPr>
            <w:tcW w:w="860" w:type="dxa"/>
            <w:vAlign w:val="bottom"/>
          </w:tcPr>
          <w:p>
            <w:pPr>
              <w:spacing w:after="0"/>
              <w:rPr>
                <w:sz w:val="17"/>
                <w:szCs w:val="17"/>
                <w:color w:val="auto"/>
              </w:rPr>
            </w:pPr>
          </w:p>
        </w:tc>
        <w:tc>
          <w:tcPr>
            <w:tcW w:w="9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23.9 %</w:t>
            </w:r>
          </w:p>
        </w:tc>
        <w:tc>
          <w:tcPr>
            <w:tcW w:w="840" w:type="dxa"/>
            <w:vAlign w:val="bottom"/>
          </w:tcPr>
          <w:p>
            <w:pPr>
              <w:spacing w:after="0"/>
              <w:rPr>
                <w:sz w:val="17"/>
                <w:szCs w:val="17"/>
                <w:color w:val="auto"/>
              </w:rPr>
            </w:pPr>
          </w:p>
        </w:tc>
        <w:tc>
          <w:tcPr>
            <w:tcW w:w="7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21.7 %</w:t>
            </w:r>
          </w:p>
        </w:tc>
      </w:tr>
      <w:tr>
        <w:trPr>
          <w:trHeight w:val="20"/>
        </w:trPr>
        <w:tc>
          <w:tcPr>
            <w:tcW w:w="6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6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compensated occupancy</w:t>
            </w:r>
          </w:p>
        </w:tc>
        <w:tc>
          <w:tcPr>
            <w:tcW w:w="8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75.7 %</w:t>
            </w:r>
          </w:p>
        </w:tc>
        <w:tc>
          <w:tcPr>
            <w:tcW w:w="8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72.2 %</w:t>
            </w:r>
          </w:p>
        </w:tc>
      </w:tr>
      <w:tr>
        <w:trPr>
          <w:trHeight w:val="197"/>
        </w:trPr>
        <w:tc>
          <w:tcPr>
            <w:tcW w:w="67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Average available beds</w:t>
            </w:r>
          </w:p>
        </w:tc>
        <w:tc>
          <w:tcPr>
            <w:tcW w:w="8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6"/>
              </w:rPr>
              <w:t>63,785</w:t>
            </w:r>
          </w:p>
        </w:tc>
        <w:tc>
          <w:tcPr>
            <w:tcW w:w="380" w:type="dxa"/>
            <w:vAlign w:val="bottom"/>
            <w:tcBorders>
              <w:top w:val="single" w:sz="8" w:color="CFF0FC"/>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65,978</w:t>
            </w:r>
          </w:p>
        </w:tc>
        <w:tc>
          <w:tcPr>
            <w:tcW w:w="200" w:type="dxa"/>
            <w:vAlign w:val="bottom"/>
            <w:tcBorders>
              <w:top w:val="single" w:sz="8" w:color="CFF0FC"/>
            </w:tcBorders>
          </w:tcPr>
          <w:p>
            <w:pPr>
              <w:spacing w:after="0"/>
              <w:rPr>
                <w:sz w:val="17"/>
                <w:szCs w:val="17"/>
                <w:color w:val="auto"/>
              </w:rPr>
            </w:pPr>
          </w:p>
        </w:tc>
      </w:tr>
      <w:tr>
        <w:trPr>
          <w:trHeight w:val="20"/>
        </w:trPr>
        <w:tc>
          <w:tcPr>
            <w:tcW w:w="6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67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compensated population</w:t>
            </w:r>
          </w:p>
        </w:tc>
        <w:tc>
          <w:tcPr>
            <w:tcW w:w="86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6"/>
              </w:rPr>
              <w:t>48,291</w:t>
            </w:r>
          </w:p>
        </w:tc>
        <w:tc>
          <w:tcPr>
            <w:tcW w:w="38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47,662</w:t>
            </w:r>
          </w:p>
        </w:tc>
        <w:tc>
          <w:tcPr>
            <w:tcW w:w="2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-967740</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-967740</wp:posOffset>
            </wp:positionV>
            <wp:extent cx="1200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-676275</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-659130</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-676275</wp:posOffset>
            </wp:positionV>
            <wp:extent cx="1200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-659130</wp:posOffset>
            </wp:positionV>
            <wp:extent cx="1200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-350520</wp:posOffset>
            </wp:positionV>
            <wp:extent cx="13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-333375</wp:posOffset>
            </wp:positionV>
            <wp:extent cx="137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-350520</wp:posOffset>
            </wp:positionV>
            <wp:extent cx="1200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-333375</wp:posOffset>
            </wp:positionV>
            <wp:extent cx="1200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137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137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-24765</wp:posOffset>
            </wp:positionV>
            <wp:extent cx="1200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-7620</wp:posOffset>
            </wp:positionV>
            <wp:extent cx="1200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Operating margins in the CoreCivic Safety segment have been positively impacted by a 3.3% increase in average revenue per compensated man-day during 2024 when compared to 2023. The increase in average revenue per compensated man-day resulted from the effect of per diem increases at many of our facilities, as we have received per diem increases resulting from additional government appropriations funding to address increases in the wages of our employees. Operating margins in CoreCivic Safety were also positively impacted by decreased variable operating expenses per compensated man-day which were primarily driven by a reduction in registry nursing expenses, as well as travel and recruiting expenses, as previously described herein. The positive impacts on operating margins resulting from the increase in average revenue per compensated man-day and the reduction in variable operating expenses per compensated man-day were partially offset by increased fixed operating expenses per compensated man-day associated with incremental staffing levels, higher wage rates and other staffing related expenses. As previously described herein, we have experienced labor shortages and wage pressures in many markets across the country, and have provided inflationary wage increases above historical averages to remain competitive. Further, we have incurred incremental expenses to help ensure sufficient staffing levels under unique and challenging working conditions, including but not limited to, shift incentive bonuses, recruiting and retention bonuses, temporary employee housing expenses and travel reimbursements, off-cycle wage increases, as well as relocation incentives. While we were able to reduce the use of these temporary incentives during 2024 when compared to 2023, we expect to continue to incur a certain level of additional incremental expenses in future quarters as we expect to continue to invest in staffing resources. We believe the significant investments we have made in our workforce have positioned us to meet the emerging needs of our government partners, as certain government agencies are experiencing an increase in the need for correctional and detention capacity in a post-pandemic environment, including as a result of the expiration of Title 42.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10, 2024, we received notice from ICE of its intent to terminate the IGSA for services at the STFRC, effective August 9, 2024. As a result, we provided notice to the third-party lessor of the facility of our intent to terminate the lease effective as of the same date, with no financial penalties as permitted by the lease agreement. Total revenue generated at the STFRC was $101.2 million and $156.6 million during 2024 and 2023, respectively. Facility net operating income at this facility was $51.5 million and $65.6 million during 2024 and 2023, respectively. The decrease in facility net operating income from 2023 to 2024 at the STFRC, which resulted from the termination, was partially offset by the accelerated recognition of deferred revenue, as well as the accelerated decline in detainee populations in early July 2024, resulting in the elimination of most operating expenses though we continued to generate fixed contractual revenue through the termination date. Even excluding these unique factors positively affecting 2024, the operating margin at STFRC exceeded the average operating margin of our portfolio due to the size and scalability of expenses, and due to the unique design and specialized services provided at the facility. Accordingly, the termination of the contract at this facility had, and will continue to have, a negative impact on operating margins following the termination date. Excluding the STFRC, operating margins in the CoreCivic Safety segment were 22.3% and 19.6% during 2024 and 2023, respectively, further illustrating the improvement in the operating margins of our Safety segment resulting from the increase in occupancy once COVID-19 restrictions were lifted.</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14, 2023, we announced that we entered into a lease agreement with the ODC for our 1,670-bed Allen Gamble Correctional Center which, until October 1, 2023, we reported in our CoreCivic Safety segment and operated under a management contract with the ODC. The management contract was scheduled to expire on June 30, 2023. However, effective July 1, 2023, we entered into a 90-day contract extension for the management contract, after which time, operations of the Allen Gamble facility transferred from us to the ODC in accordance with the new lease agreement. Management revenue generated from the ODC at the Allen Gamble facility was $23.0 million for 2023 during the period it was reported in the Safety segment. The Allen Gamble facility incurred a net operating loss of $1.2 million during the period it was reported in the Safety segment during 2023. Upon commencement of the new lease agreement, the Allen Gamble facility has been reported in our CoreCivic Properties segment.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25, 2023, we announced that we signed a management contract with Hinds County, Mississippi to care for up to 250 adult male pre-trial detainees at our 2,672-bed Tallahatchie County Correctional Facility in Tutwiler, Mississippi. The initial contract term is for two years, which may be extended for an additional year upon mutual agreement. We began receiving inmates from Hinds County during October 2023. In addition, on November 16, 2023, we announced that we signed a management contract with the state of Wyoming to care for up to 240 male inmates at the Tallahatchie facility. The term of the contract runs through June 30, 2026. We began receiving inmates from Wyoming in November 2023. Also on November 16, 2023, we announced that we signed a contract with Harris County, Texas, to care for up to 360 male inmates at the Tallahatchie facility. Upon mutual agreement, Harris County may access an additional 360 beds at the facility. The initial contract term began on December 1, 2023, and was recently renewed for an additional one-year term commencing December 1, 2024. Following the recent renewal, the contract may be extended at Harris County's option for up to three additional one-year terms. We began receiving inmates from Harris County in December 2023. As a result of the new contracts, the occupancy percentage at the Tallahatchie facility increased to 53.2% in the fourth quarter of 2024 from 36.8% in the fourth quarter of 2023.</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14, 2023, we announced that we signed a management contract with the state of Montana to care for up to 120 inmates at our 1,896-bed Saguaro Correctional Facility in Eloy, Arizona. The contract is scheduled to expire on October 31, 2025, and may be extended by mutual agreement for a total term of up to seven years. We began receiving inmates from the state of Montana in November 2023. In addition, on August 1, 2024, we entered into a second management contract with the state of Montana to care for an unspecified number of inmates at facilities we operate. The second contract is scheduled to expire on July 31, 2026, and may be extended by mutual agreement for a total term of up to seven years. As of December 31, 2024, we cared for approximately 245 inmates from the state of Montana at our Saguaro facility under both of these management contracts. We also care for residents from the state of Hawaii and the state of Idaho at the Saguaro facility. The new contracts represent an expansion of our relationship with the state of Montana where we also manage the fully occupied company-owned Crossroads Correctional Center in Shelby, Montana for the state of Montana pursuant to a separate management contract.</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16, 2025, we announced that we were awarded a new management contract with the state of Montana to care for additional inmates outside the state of Montana, with 240 inmates expected to arrive at our Tallahatchie facility during the first quarter of 2025. This latest contract expands the geographic range of our facilities that can serve the state of Montana.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expect demand from the federal government for correctional and detention facilities in our Safety segment to increase under the new presidential administration, particularly from ICE, as a result of anticipated changes in immigration policy and funding levels of our federal government partners charged with correctional and detention responsibilities. This anticipated increase in demand could result in higher utilization of our available capacity under existing contracts, as well as through new contracts utilizing our idle correctional and detention facilities or our other existing capacity. However, we can provide no assurance that the federal government will increase the utilization of our available capacity. Further, the activation of our idle correctional and detention facilities generally requires four to six months to hire, train, and prepare our facilities to accept residential populations, which could result in substantial expenses before we are able to realize additional revenue.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CoreCivic Community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CoreCivic Community includes the operating results of the residential reentry centers that we operated during each period, along with the operating results of our electronic monitoring and case management services. Total revenue generated by CoreCivic Community increased $3.6 million, or 3.1%, from $115.1 million during 2023 to $118.7 million during 2024. CoreCivic Community's facility net operating income decreased $1.4 million, or 6.3%, from $23.2 million during 2023 to $21.7 million during 2024. During 2024 and 2023, CoreCivic Community generated 4.6% and 5.2%, respectively, of our total segment net operating income.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displays the revenue and expenses per compensated man-day for CoreCivic Community's residential reentry facilities placed into service that we own and manage, but exclusive of the electronic monitoring and case management services given that revenue is not generated on a per compensated man-day basis for these services:</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7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09"/>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CoreCivic Community Facilities:</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Revenue per compensated man-day</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79.68</w:t>
            </w:r>
          </w:p>
        </w:tc>
        <w:tc>
          <w:tcPr>
            <w:tcW w:w="380" w:type="dxa"/>
            <w:vAlign w:val="bottom"/>
          </w:tcPr>
          <w:p>
            <w:pPr>
              <w:spacing w:after="0"/>
              <w:rPr>
                <w:sz w:val="18"/>
                <w:szCs w:val="18"/>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200" w:type="dxa"/>
            <w:vAlign w:val="bottom"/>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per compensated man-day:</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expense</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46.09</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200" w:type="dxa"/>
            <w:vAlign w:val="bottom"/>
          </w:tcPr>
          <w:p>
            <w:pPr>
              <w:spacing w:after="0"/>
              <w:rPr>
                <w:sz w:val="18"/>
                <w:szCs w:val="18"/>
                <w:color w:val="auto"/>
              </w:rPr>
            </w:pPr>
          </w:p>
        </w:tc>
      </w:tr>
      <w:tr>
        <w:trPr>
          <w:trHeight w:val="216"/>
        </w:trPr>
        <w:tc>
          <w:tcPr>
            <w:tcW w:w="67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Variable expense</w:t>
            </w:r>
          </w:p>
        </w:tc>
        <w:tc>
          <w:tcPr>
            <w:tcW w:w="9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13.17</w:t>
            </w:r>
          </w:p>
        </w:tc>
        <w:tc>
          <w:tcPr>
            <w:tcW w:w="3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00" w:type="dxa"/>
            <w:vAlign w:val="bottom"/>
            <w:tcBorders>
              <w:bottom w:val="single" w:sz="8" w:color="CFF0FC"/>
            </w:tcBorders>
            <w:shd w:val="clear" w:color="auto" w:fill="CFF0FC"/>
          </w:tcPr>
          <w:p>
            <w:pPr>
              <w:spacing w:after="0"/>
              <w:rPr>
                <w:sz w:val="18"/>
                <w:szCs w:val="18"/>
                <w:color w:val="auto"/>
              </w:rPr>
            </w:pPr>
          </w:p>
        </w:tc>
      </w:tr>
      <w:tr>
        <w:trPr>
          <w:trHeight w:val="21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59.26</w:t>
            </w:r>
          </w:p>
        </w:tc>
        <w:tc>
          <w:tcPr>
            <w:tcW w:w="3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200" w:type="dxa"/>
            <w:vAlign w:val="bottom"/>
          </w:tcPr>
          <w:p>
            <w:pPr>
              <w:spacing w:after="0"/>
              <w:rPr>
                <w:sz w:val="18"/>
                <w:szCs w:val="18"/>
                <w:color w:val="auto"/>
              </w:rPr>
            </w:pPr>
          </w:p>
        </w:tc>
      </w:tr>
      <w:tr>
        <w:trPr>
          <w:trHeight w:val="249"/>
        </w:trPr>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per compensated man-day</w:t>
            </w:r>
          </w:p>
        </w:tc>
        <w:tc>
          <w:tcPr>
            <w:tcW w:w="90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20.42</w:t>
            </w:r>
          </w:p>
        </w:tc>
        <w:tc>
          <w:tcPr>
            <w:tcW w:w="3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00" w:type="dxa"/>
            <w:vAlign w:val="bottom"/>
            <w:tcBorders>
              <w:bottom w:val="single" w:sz="8" w:color="CFF0FC"/>
            </w:tcBorders>
            <w:shd w:val="clear" w:color="auto" w:fill="CFF0FC"/>
          </w:tcPr>
          <w:p>
            <w:pPr>
              <w:spacing w:after="0"/>
              <w:rPr>
                <w:sz w:val="21"/>
                <w:szCs w:val="21"/>
                <w:color w:val="auto"/>
              </w:rPr>
            </w:pPr>
          </w:p>
        </w:tc>
      </w:tr>
      <w:tr>
        <w:trPr>
          <w:trHeight w:val="197"/>
        </w:trPr>
        <w:tc>
          <w:tcPr>
            <w:tcW w:w="6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Operating margin</w:t>
            </w:r>
          </w:p>
        </w:tc>
        <w:tc>
          <w:tcPr>
            <w:tcW w:w="900" w:type="dxa"/>
            <w:vAlign w:val="bottom"/>
          </w:tcPr>
          <w:p>
            <w:pPr>
              <w:spacing w:after="0"/>
              <w:rPr>
                <w:sz w:val="17"/>
                <w:szCs w:val="17"/>
                <w:color w:val="auto"/>
              </w:rPr>
            </w:pPr>
          </w:p>
        </w:tc>
        <w:tc>
          <w:tcPr>
            <w:tcW w:w="8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25.6 %</w:t>
            </w:r>
          </w:p>
        </w:tc>
        <w:tc>
          <w:tcPr>
            <w:tcW w:w="900" w:type="dxa"/>
            <w:vAlign w:val="bottom"/>
          </w:tcPr>
          <w:p>
            <w:pPr>
              <w:spacing w:after="0"/>
              <w:rPr>
                <w:sz w:val="17"/>
                <w:szCs w:val="17"/>
                <w:color w:val="auto"/>
              </w:rPr>
            </w:pPr>
          </w:p>
        </w:tc>
        <w:tc>
          <w:tcPr>
            <w:tcW w:w="6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27.2 %</w:t>
            </w:r>
          </w:p>
        </w:tc>
      </w:tr>
      <w:tr>
        <w:trPr>
          <w:trHeight w:val="20"/>
        </w:trPr>
        <w:tc>
          <w:tcPr>
            <w:tcW w:w="67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6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compensated occupancy</w:t>
            </w:r>
          </w:p>
        </w:tc>
        <w:tc>
          <w:tcPr>
            <w:tcW w:w="9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65.1 %</w:t>
            </w:r>
          </w:p>
        </w:tc>
        <w:tc>
          <w:tcPr>
            <w:tcW w:w="9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62.2 %</w:t>
            </w:r>
          </w:p>
        </w:tc>
      </w:tr>
      <w:tr>
        <w:trPr>
          <w:trHeight w:val="197"/>
        </w:trPr>
        <w:tc>
          <w:tcPr>
            <w:tcW w:w="67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Average available beds</w:t>
            </w:r>
          </w:p>
        </w:tc>
        <w:tc>
          <w:tcPr>
            <w:tcW w:w="9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4,415</w:t>
            </w:r>
          </w:p>
        </w:tc>
        <w:tc>
          <w:tcPr>
            <w:tcW w:w="380" w:type="dxa"/>
            <w:vAlign w:val="bottom"/>
            <w:tcBorders>
              <w:top w:val="single" w:sz="8" w:color="CFF0FC"/>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4,669</w:t>
            </w:r>
          </w:p>
        </w:tc>
        <w:tc>
          <w:tcPr>
            <w:tcW w:w="200" w:type="dxa"/>
            <w:vAlign w:val="bottom"/>
            <w:tcBorders>
              <w:top w:val="single" w:sz="8" w:color="CFF0FC"/>
            </w:tcBorders>
          </w:tcPr>
          <w:p>
            <w:pPr>
              <w:spacing w:after="0"/>
              <w:rPr>
                <w:sz w:val="17"/>
                <w:szCs w:val="17"/>
                <w:color w:val="auto"/>
              </w:rPr>
            </w:pPr>
          </w:p>
        </w:tc>
      </w:tr>
      <w:tr>
        <w:trPr>
          <w:trHeight w:val="20"/>
        </w:trPr>
        <w:tc>
          <w:tcPr>
            <w:tcW w:w="6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67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compensated population</w:t>
            </w:r>
          </w:p>
        </w:tc>
        <w:tc>
          <w:tcPr>
            <w:tcW w:w="90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2,874</w:t>
            </w:r>
          </w:p>
        </w:tc>
        <w:tc>
          <w:tcPr>
            <w:tcW w:w="38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2,904</w:t>
            </w:r>
          </w:p>
        </w:tc>
        <w:tc>
          <w:tcPr>
            <w:tcW w:w="2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-967740</wp:posOffset>
            </wp:positionV>
            <wp:extent cx="137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-967740</wp:posOffset>
            </wp:positionV>
            <wp:extent cx="1200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-676910</wp:posOffset>
            </wp:positionV>
            <wp:extent cx="137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-659765</wp:posOffset>
            </wp:positionV>
            <wp:extent cx="1371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-676910</wp:posOffset>
            </wp:positionV>
            <wp:extent cx="1200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-659765</wp:posOffset>
            </wp:positionV>
            <wp:extent cx="1200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-351155</wp:posOffset>
            </wp:positionV>
            <wp:extent cx="137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-334010</wp:posOffset>
            </wp:positionV>
            <wp:extent cx="137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-351155</wp:posOffset>
            </wp:positionV>
            <wp:extent cx="1200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-334010</wp:posOffset>
            </wp:positionV>
            <wp:extent cx="1200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137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137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-24765</wp:posOffset>
            </wp:positionV>
            <wp:extent cx="1200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-8255</wp:posOffset>
            </wp:positionV>
            <wp:extent cx="1200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margins in our CoreCivic Community segment were negatively impacted during 2024 by an increase in operating expenses per compensated man-day which, similar to our CoreCivic Safety segment, were driven, in large part, by higher staffing levels and wage rates. In addition, variable expenses per compensated man-day during 2024 increased over 2023 primarily as a result of the settlement of a legal matter at a facility in the Community segment. The effect of the increased operating expenses per compensated man-day in 2024 was partially offset by an increase in average revenue per compensated man-day, which increased from 2023 primarily as a result of per diem increases at several of our facilities. Because facilities in our Community segment are typically smaller in size than those in our Safety segment, occupancy fluctuations or changes in operating expenses have a larger impact on operating margin per compensated man-day. Accordingly, modest changes in occupancy or operating expenses can have a notable impact on margins in our Community segment.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2024, we completed the sale of our 120-bed Dahlia Facility, a residential reentry center in Denver, Colorado. The Dahlia facility was reported as an asset held for sale as of December 31, 2023. We received gross sales proceeds of $8.0 million on the sale of the Dahlia facility compared to the carrying value of $7.5 million, resulting in a $0.5 million net gain on the sale after transaction related expenses, which was recognized in the first quarter of 2024. We continued to operate the Dahlia facility through the expiration of the management contract in June 2024. During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period of operation in 2024 and during 2023, this facility generated facility net operating income of $0.2 million and $0.7 million,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2024, we completed the sale of our idled 390-bed Tulsa Transitional Center, a residential reentry center in Tulsa, Oklahoma. We received net sales proceeds of $3.4 million on the sale of the Tulsa property, resulting in a gain on sale of $1.2 million, which was recognized in the third quarter of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CoreCivic Properties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CoreCivic Properties includes the operating results of the properties we leased to government agencies during each period. Total revenue generated by CoreCivic Properties decreased $23.8 million, or 47.7%, from $49.9 million during 2023 to $26.1 million during 2024. CoreCivic Properties' facility net operating income decreased $23.8 million, or 66.0%, from $36.0 million during 2023 to $12.3 million during 2024. The decreases in total revenue and net operating income were primarily the result of the termination of the lease at our California City Correctional Center effective March 31, 2024, the termination of the lease at our North Fork Correctional Facility effective June 30, 2023, and the sale of three actively leased properties during 2023, all as further described hereinafter. Net operating income generated by CoreCivic Properties was negatively impacted by the ongoing operating expenses incurred at the currently idle North Fork and California City facilities. The decreases in total revenue and net operating income were net of increases due to the new lease agreement at our Allen Gamble Correctional Center effective October 1, 2023. During 2024 and 2023, CoreCivic Properties generated 4.3% and 10.1%, respectively, of our total segment net operating income.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2023, we sold the Roth Hall Residential Reentry Center and the Walker Hall Residential Reentry Center, both located in Philadelphia, Pennsylvania, and the Augusta Transitional Center located in Augusta, Georgia, generating aggregate net sales proceeds of $10.3 million, resulting in a gain on sale of $0.4 million. During our period of ownership in 2023, these three properties generated aggregate facility net operating income of $0.7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25, 2023, we announced that we received notice from the ODC of its intent to terminate the lease agreement for our 2,400-bed North Fork Correctional Facility upon the lease expiration on June 30, 2023. Rental revenue generated from the ODC while the lease was active at the North Fork facility was $6.1 million for 2023. Facility net operating income at this facility was $4.7 million for the period the lease was active in 2023. Upon expiration of the lease, the North Fork facility was idled in the third quarter of 2023. We are marketing the facility to potential customers.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described herein, beginning in the fourth quarter of 2023, a new lease agreement with the ODC for the Allen Gamble Correctional Center commenced, at which time we began reporting the financial results in the CoreCivic Properties segment. The new lease agreement includes a base term that commenced on October 1, 2023, with a scheduled expiration date of June 30, 2029, and unlimited two-year renewal options. Annual lease revenue to be generated from the ODC at the Allen Gamble facility under the new lease agreement will be $7.5 million during the base term. The annual rent during any renewal option term shall be mutually agreed upon by the parties. Revenue and net operating income from the ODC at Allen Gamble was $7.5 million and $4.7 million, respectively, during 2024.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6, 2022, we received notice from the CDCR of its intent to terminate the lease agreement for our 2,560-bed California City Correctional Center by March 31, 2024, due to the state's declining inmate population. The California City facility was idled effective April 1, 2024, and the Company is marketing the facility to potential customers. Rental revenue generated from the CDCR at the California City facility was $8.3 million and $31.1 million during 2024 and 2023, respectively, and facility net operating income was $3.8 million and $25.5 million during 2024 and 2023, respectively, including carrying expenses we continue to incur post lease termination.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the years ended December 31, 2024 and 2023, general and administrative expenses totaled $152.1 million and $136.1 million, respectively. General and administrative expenses consist primarily of corporate management salaries and benefits, professional fees, and other administrative expenses. General and administrative expenses increased primarily as a result of an increase </w:t>
      </w:r>
      <w:r>
        <w:rPr>
          <w:rFonts w:ascii="Times New Roman" w:cs="Times New Roman" w:eastAsia="Times New Roman" w:hAnsi="Times New Roman"/>
          <w:sz w:val="18"/>
          <w:szCs w:val="18"/>
          <w:color w:val="242424"/>
        </w:rPr>
        <w:t>in corporate salaries and benefits, which was primarily related to higher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incentive-based compensation</w:t>
      </w:r>
      <w:r>
        <w:rPr>
          <w:rFonts w:ascii="Times New Roman" w:cs="Times New Roman" w:eastAsia="Times New Roman" w:hAnsi="Times New Roman"/>
          <w:sz w:val="18"/>
          <w:szCs w:val="18"/>
          <w:color w:val="000000"/>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depreciation and amortization expense totaled $128.0 million and $127.3 million, respectively. Depreciation and amortization expense increased primarily as a result of renovations completed at several facilities, partially offset by facilities sold during 2023 and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2024, we recognized an impairment charge of $3.1 million associated with the terminations of the IGSA and lease agreement with respect to the STFRC effective August 9, 2024. During the third quarter of 2023, we recognized a $2.7 million contract acquisition asset impairment associated with the pursuit of new contracts with a selected technology vendor, as the agreement with the vendor terminated during the third quarter of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and expenses associated with debt repayments and refinancing transactions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Interest expense is reported net of interest income and capitalized interest for the years ended December 31, 2024 and 2023. Gross interest expense was $79.7 million and $85.3 million in 2024 and 2023, respectively. Gross interest expense was based on outstanding borrowings under our revolving credit facility, or Revolving Credit Facility, our outstanding term loan, or Term Loan, our outstanding senior unsecured notes, and our outstanding non-recourse mortgage note, as well as the amortization of loan costs and unused facility fees. Gross interest income was $12.3 million in 2024 and 2023. Gross interest income is earned on notes receivable, investments, cash and cash equivalents, and restricted cash. Interest income also includes interest income associated with the 20-year finance receivable associated with the Lansing Correctional Facility lease to the Kansas Department of Corrections, which commenced in January 2020, and amounted to $8.3 million and $8.5 million, in 2024 and 2023, respectively. Net interest expense decreased primarily as a result of debt repayments netting $109.3 million since December 31, 2023, including the repurchase in the open market of $4.6 million principal amount of senior unsecured notes during the fourth quarter of 2024. The decrease in net interest expense was partially offset by an increase in the size of our Term Loan and borrowings under our Revolving Credit Facility during the second and third quarters of 2024.</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11, 2023, we entered into a Fourth Amended and Restated Credit Agreement, or the Bank Credit Facility, that, among other things, increased the available borrowings under the Revolving Credit Facility from $250.0 million to $275.0 million, increased the size of the Term Loan from an initial balance of $100.0 million under the previous bank credit facility to $125.0 million, extended the maturity date to October 11, 2028 and made conforming changes to replace the Bloomberg Short-Term Bank Yield, or BSBY, index with a forward-looking term index based on the Secured Overnight Financing Rate, or Term SOFR. At the closing of the Bank Credit Facility, we received approximately $33.8 million of net borrowings before transaction costs as a result of the increased size of the Term Loan. During 2023, we incurred charges of $0.7 million primarily associated with the Bank Credit Facility and for the write-off of loan costs associated with the purchase of $21.0 million of our Old 8.25% Senior Notes (as defined below) and $6.9 million of our 4.75% senior unsecured notes due 2027, or the 4.75% Senior Notes, through open market purchases, net of discounts to the principal balance of the notes repurchased.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further described herein, on March 4, 2024, we commenced a cash tender offer, or the Tender Offer, for any and all of the $593.1 million outstanding principal amount of our then-outstanding 8.25% senior unsecured notes due 2026, or the Old 8.25% Senior Notes. As a result of the Tender Offer, $494.3 million aggregate principal amount of the Old 8.25% Senior Notes, or approximately 83.3% of the aggregate principal amount of the Old 8.25% Senior Notes outstanding, had been validly tendered and not validly withdrawn. We accepted for purchase and paid for all of the Old 8.25% Senior Notes validly tendered and not validly withdrawn. Further, on March 15, 2024, we announced that we delivered an irrevocable notice to the holders of all our Old 8.25% Senior Notes that had not been validly tendered or had been validly withdrawn in the Tender Offer, that we had elected to redeem in full the Old 8.25% Senior Notes that remained outstanding on April 15, 2024. The remaining Old 8.25% Senior Notes, amounting to $98.8 million, were redeemed on April 15, 2024 with a combination of cash on hand and borrowings under our Revolving Credit Facility. During the third quarter of 2024, we repaid the borrowings under our Revolving Credit Facility. As of December 31, 2024, we had $18.0 million in letters of credit outstanding, resulting in $257.0 million available under our Revolving Credit Facility.</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Tender Offer, on March 12, 2024, we completed an underwritten registered public offering of $500.0 million aggregate principal amount of 8.25% senior unsecured notes due 2029, or the New 8.25% Senior Notes. The net proceeds from the issuance of the New 8.25% Senior Notes totaled approximately $490.3 million, after deducting underwriting discounts and offering expenses. We used the net proceeds from the offering of the New 8.25% Senior Notes, together with borrowings under our Revolving Credit Facility and cash on hand, to fund the Tender Offer and to redeem the remaining outstanding balance of the Old 8.25% Senior Notes on April 15, 2024. During 2024, we recorded charges totaling $31.3 million associated with the Tender Offer and redemption of the Old 8.25% Senior Notes.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our total leverage ratio, interest on loans under our previous bank credit facility through October 10, 2023 was at a base rate plus a margin of 2.25% or at BSBY plus a margin of 3.25%, and a commitment fee equal to 0.45% of the unfunded balance of the then-existing revolving credit facility. From October 11, 2023 through the first full fiscal quarter of 2024, loans under our Bank Credit Facility bore interest at a base rate plus a margin of 2.25% or at Term SOFR plus a margin of 3.25%, and a commitment fee equal to 0.45% of the unfunded balance of the Revolving Credit Facility, as the interest rate spreads were fixed under the terms of the Bank Credit Facility until the first calculation date occurring after the first full fiscal quarter after the closing date of the Bank Credit Facility. Based on our total leverage ratio as of March 31, 2024, during the second quarter of 2024, the interest rate spread for base rate loans declined to 2.00%, the interest rate spread for Term SOFR loans was reduced to 3.00%, and the commitment fee decreased to 0.40%. Based on our total leverage ratio as of June 30, 2024, during the third quarter of 2024 and for the balance of 2024, the interest rate spread for base rate loans further declined to 1.75%, the interest rate spread for Term SOFR loans was reduced to 2.75%, and the commitment fee decreased to 0.35%.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real estate assets, net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 on sale of real estate assets, net during 2024, includes the $1.2 million gain on the sale of our idled 390-bed Tulsa Transitional Center in July 2024 and the $0.5 million gain on the sale of our 120-bed Dahlia Facility in January 2024, both as previously described herein. During 2024, we also sold two unused parcels of land in Texas generating net sales proceeds of $1.9 million and resulting in an aggregate gain on sale of $1.6 million.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 on sale of real estate assets, net during the year ended December 31, 2023, includes the $0.5 gain on the sale of the Augusta Transitional Center in Georgia in our Properties segment, as previously described herein. The gain on the sale was recorded in the fourth quarter of 2023. In addition, during the third quarter of 2023, we sold a vacant parcel of land generating net sales proceeds of $0.5 million and resulting in a gain on sale of $0.4 million. The gain was reported in the third quarter of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recorded income tax expense of $23.1 million and $28.2 million during the years ended December 31, 2024 and 2023, respectively. Income tax expense related to operations for 2024 was net of an income tax benefit of $9.8 million for expenses associated with asset impairments and refinancing transactions, net of the gain on sale of real estate assets, all as previously described herein. Income tax expense for 2024, was also net of an income tax benefit associated with stock-based compensation vesting in the first quarter of 2024. Income tax expense for 2023 included an increase to income tax expense of $0.9 million for the revaluation of net deferred tax liabilities associated with a change in our corporate tax structure. During the first quarter of 2023, we completed a reorganization of our tax structure to simplify and more closely align operations and assets of certain of our subsidiaries and to reduce administrative efforts following our conversion from a real estate investment trust, or REIT, to a taxable C-corporation. Income tax expense related to operations for 2023 was net of an income tax benefit of $0.8 million associated with asset impairments and expenses associated with debt repayments and refinancing transactions, net of the gain on sale of real estate assets.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could fluctuate in the future based on changes in estimates of taxable income, the implementation of additional tax planning strategies, changes in federal or state tax rates or laws affecting tax credits available to us, changes in other tax laws, limits on certain deductible expenses, changes in estimates related to uncertain tax positions, or changes in state apportionment factors, as well as changes in the valuation allowance applied to our deferred tax assets that are based primarily on the amount of state net operating losses and tax credits that could expire unused.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the Year Ended December 31, 2022</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Pursuant to Regulation S-K item 303, a detailed review of our performance for the year ended December 31, 2023 compared to our performance for the year ended December 31, 2022 is set forth in </w:t>
      </w:r>
      <w:r>
        <w:rPr>
          <w:rFonts w:ascii="Times New Roman" w:cs="Times New Roman" w:eastAsia="Times New Roman" w:hAnsi="Times New Roman"/>
          <w:sz w:val="18"/>
          <w:szCs w:val="18"/>
          <w:i w:val="1"/>
          <w:iCs w:val="1"/>
          <w:color w:val="auto"/>
        </w:rPr>
        <w:t>"Part 2, Item 7. Management's Discussion and Analysis of Financial Condition and Results of Operations"</w:t>
      </w:r>
      <w:r>
        <w:rPr>
          <w:rFonts w:ascii="Times New Roman" w:cs="Times New Roman" w:eastAsia="Times New Roman" w:hAnsi="Times New Roman"/>
          <w:sz w:val="18"/>
          <w:szCs w:val="18"/>
          <w:color w:val="auto"/>
        </w:rPr>
        <w:t xml:space="preserve"> of our Annual Report on Form 10-K for the year ended December 31, 2023, filed with the SEC on February 20,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principal capital requirements are for working capital, capital expenditures, and debt service payments, as well as outstanding commitments and contingencies, as further discussed in the notes to our financial statements. Effective January 1, 2021, we revoked our election to be taxed as a REIT. We believe this conversion in corporate tax structure improves our overall credit profile, as we are able to allocate our free cash flow toward the repayment of debt, which may include the purchase of our outstanding debt in open market transactions, privately negotiated transactions or otherwise, and to exercise more discretion in returning capital to our shareholders, which could include share repurchases and/or future dividends. Any future dividend is subject to our Board of Directors', or BODs', determinations as to the amount of distributions and the timing thereof, as well as limitations under the Company's debt covenants. Any such debt repurchases will depend upon prevailing market conditions, our liquidity requirements, contractual requirements, applicable securities laws requirements, and other factors. We were not able to implement a meaningful share repurchase program under the REIT structure without increasing our debt because a substantial portion of our free cash flow was required to satisfy the distribution requirements under the REIT structure.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achieving targeted debt reduction levels, we began allocating a substantial portion of our free cash flow to returning capital to our shareholders through share repurchases. During 2022, the BOD approved a share repurchase program to purchase up to $225.0 million of our common stock. On May 16, 2024, the BOD authorized an increase to the share repurchase program to which we may purchase up to an additional $125.0 million in shares of our outstanding common stock, increasing the total aggregate authorization to up to $350.0 million. Repurchases of our outstanding common stock are made in accordance with applicable securities laws and may be made at our discretion based on parameters set by our BOD from time to time in the open market, through privately negotiated transactions, or otherwise. The share repurchase program has no time limit and does not obligate us to purchase any particular amount of our common stock. The authorization for the share repurchase program may be terminated, suspended, increased or decreased by the BOD in its discretion at any time. Through December 31, 2023, we completed the repurchase of 10.1 million shares of our common stock at a total cost of $112.6 million, excluding costs associated with the share repurchase program, or $11.16 per share, using cash on hand and cash provided by operations. During 2024, we completed the repurchase of an additional 4.4 million shares of our common stock at a total cost of $68.5 million, excluding costs associated with the share repurchase program, or $15.43 per share. As of December 31, 2024, we had repurchased a total of 14.5 million common shares at an aggregate cost of $181.1 million, or $12.47 per share, using cash on hand and cash provided by operations, and had $168.9 million of repurchase authorization available under the share repurchase program.</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also pursue attractive growth opportunities, including new development opportunities in our Properties segment, to meet the need to modernize outdated correctional infrastructure across the country, and explore potential opportunities to expand the scope of non-residential correctional alternatives we provide in our Community segment. We may also consider other opportunities for growth, including, but not limited to, potential acquisitions of correctional and detention facilities and businesses within our lines of business and those that provide complementary services, provided we believe such opportunities will broaden our market share, diversify our cash flows, and/or increase the services we can provide to our customers, or when we believe the potential long-term returns justify the capital deployment. Further, we have internally approved $40 million to $45 million of capital expenditures representing an investment above and beyond our annual capital budget associated with potential idle facility activations, in order to prepare these facilities to quickly accept residential populations if opportunities arise, as well as to provide transportation services. We could decide to incur additional capital expenditures in anticipation of additional activations if we have better visibility on specific needs and if the lead time to complete the capital expenditures exceeds the period needed to hire, train, and prepare a facility to accept residential populations.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the extensively aged criminal justice infrastructure in the U.S. today, we believe we can bring real estate and financing solutions to government agencies as we did in connection with the construction of the Lansing Correctional Facility that commenced operations in January 2020. We financed the construction of the Lansing Correctional Facility 100% with project specific financing, requiring no equity commitment from us. We believe we can also provide other real estate solutions to government agencies faced with extensively aged criminal justice infrastructure, including "turn-key" solutions similar to those we are providing to the states of Wyoming and Montana, as well as Hinds County, Mississippi and Harris County, Texas, pursuant to contracts that commenced during the last fifteen months at our Tallahatchie and Saguaro facilities, as previously described herein, as well as real estate only solutions to government agencies that need correctional capacity where they prefer to operate the facility, similar to the lease 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Allen Gamble Correctional Center in Oklahoma to the ODC signed in 2023, also as previously described herein. In addition, in August 2022, we completed the sale of the 1,978-bed McRae Correctional Facility to the Georgia Building Authority in order to update its aged and inefficient public sector correctional infrastructure. Most real estate only solutions would not require material capital expenditures if we have existing capacity. However, in the future we could incur capital expenditures to provide replacement capacity for government agencies that have extensively aged criminal justice infrastructure and are in need of new capacity.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had cash on hand of $107.5 million, and $257.0 million available under our Revolving Credit Facility. During the years ended December 31, 2024 and 2023, we generated $269.2 million and $231.9 million, respectively, in cash through operating activities. We currently expect to be able to meet our cash expenditure requirements for the next year and beyond utilizing cash on hand, cash flows from operations, and availability under our Revolving Credit Facility. As of December 31, 2024, we had no debt maturities until October 2027.</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flow is subject to the receipt of sufficient funding of and timely payment by contracting governmental entities. If the appropriate governmental agency does not receive sufficient appropriations to cover its contractual obligations, it may terminate our contract or delay or reduce payment to us. Delays in payment from our major customers, which could include the deferral of payments to us during government shutdowns or the termination of contracts from our major customers, could have an adverse effect on our cash flow and financial condition. We have not experienced any unusual delays in payments from our major customers.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2024, we had $238.5 million principal amount of unsecured notes outstanding with a fixed stated interest rate of 4.75% and $500.0 million principal amount of unsecured notes outstanding with a fixed stated interest rate of 8.25%, or collectively, the Senior Notes. In addition, as of December 31, 2024, we had $140.2 million outstanding under the Kansas Notes with a fixed stated interest rate of 4.43% and $118.8 million outstanding under our Term Loan with a variable interest rate of 7.2%. We had $18.0 million of letters of credit outstanding under our Revolving Credit Facility at December 31, 2024. There was no amount outstanding under our Revolving Credit Facility as of December 31, 2024. As of December 31, 2024, our total weighted average effective interest rate was 7.3%, while our total weighted average maturity was 5.4 years, and we have no debt maturities until 2027. In 2023, we purchased $21.0 million of the Old 8.25% Senior Notes through open market purchases, reducing the outstanding balance of the Old 8.25% Senior Notes to $593.1 million as of December 31, 2023. In addition, in 2023, we purchased $6.9 million of the 4.75% Senior Notes through open market purchases, reducing the outstanding balance of the 4.75% Senior Notes to $243.1 million as of December 31, 2023. In the fourth quarter of 2024, we purchased $4.6 million of the 4.75% Senior Notes through open market purchases, reducing the outstanding balance of the 4.75% Senior Notes to $238.5 million as of December 31, 2024. The Senior Notes were purchased at a weighted average purchase price of 97% of par during 2023 and 2024. In the future, we could elect to use our free cash flow to purchase additional Senior Notes in open market transactions, privately negotiated transactions or otherwise. We could also use our effective shelf registration statement to issue additional debt securities when we determine that market conditions and the opportunity to utilize the proceeds therefrom are favorable.</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4, 2024, we commenced the Tender Offer for any and all of the $593.1 million then-outstanding principal amount of our outstanding Old 8.25% Senior Notes. As a result of the Tender Offer, $494.3 million aggregate principal amount of the Old 8.25% Senior Notes, or approximately 83.3% of the aggregate principal amount of the Old 8.25% Senior Notes outstanding, had been validly tendered and not validly withdrawn. We accepted for purchase and paid for all of the Old 8.25% Senior Notes that were validly tendered and not validly withdrawn. Holders of the Old 8.25% Senior Notes who validly tendered received in cash $1,043.75 per $1,000 principal amount of the Old 8.25% Senior Notes validly tendered, plus accrued and unpaid interest from the October 15, 2023 interest payment date for the Old 8.25% Senior Notes up to, but not including, the settlement date, March 12, 2024. On March 15, 2024, we announced that we delivered an irrevocable notice to the holders of all our Old 8.25% Senior Notes that had not been validly tendered or had been validly withdrawn in the Tender Offer, that we had elected to redeem in full the Old 8.25% Senior Notes that remained outstanding on April 15, 2024. The remaining principal amount of the Old 8.25% Senior Notes, which amounted to $98.8 million, was redeemed on April 15, 2024, at a redemption price equal to 104.125% of the principal amount of the outstanding Old 8.25% Senior Notes, plus accrued and unpaid interest on such Old 8.25% Senior Notes to, but not including, April 15,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Tender Offer of the Old 8.25% Senior Notes, on March 12, 2024, we completed an underwritten registered public offering of the New 8.25% Senior Notes, which are guaranteed by all of CoreCivic's subsidiaries that guarantee the Bank Credit Facility, the 4.75% Senior Notes, and the Old 8.25% Senior Notes, while outstanding. The New 8.25% Senior Notes were offered pursuant to a shelf registration statement on Form S-3, which became effective upon filing with the SEC on March 4, 2024. The net proceeds from the issuance of the New 8.25% Senior Notes totaled approximately $490.3 million, after deducting underwriting discounts and offering expenses. We used the net proceeds from the offering of the New 8.25% Senior Notes, together with borrowings under the Revolving Credit Facility and cash on hand, to fund the Tender Offer of the Old 8.25% Senior Notes and to redeem the remaining outstanding balance of the Old 8.25% Senior Notes on April 15,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cash provided by operating activities for the year ended December 31, 2024 was $269.2 million compared with $231.9 million in 2023. Cash provided by operating activities represents our net income plus depreciation and amortization, changes in various components of working capital, and various non-cash charges. Cash provided by operating activities was favorably impacted by an increase in facility net operating income of $34.2 million during 2024 compared to 2023 and an increase in working capital balances of $18.0 million, partially offset by an increase in non-cash revenue in 2024 of $4.8 million compared with 2023 primarily attributable to the accelerated recognition of deferred revenue at the STFRC.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cash flow used in investing activities was $53.8 million for the year ended December 31, 2024 and was primarily attributable to capital expenditures for facility development and expansions of $8.7 million and $62.4 million for facility maintenance and information technology capital expenditures, partially offset by $13.7 million in net proceeds from the sale of assets.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cash flow used in investing activities was $58.9 million for the year ended December 31, 2023 and was primarily attributable to capital expenditures for facility development and expansions of $4.9 million and $65.4 million for facility maintenance and information technology capital expenditures, partially offset by $11.1 million in net proceeds from the sale of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net cash flow used in financing activities was $222.2 million for the year ended December 31, 2024 and was primarily attributable to debt repayments related to the $593.1 million tender and redemption of the Old 8.25% Senior Notes, the $4.6 million purchase of the 4.75% Senior Notes, and $34.9 million of payments of debt defeasance, issuance and other financing related costs. In addition, our net cash flow used in financing activities was attributable to $11.6 million of scheduled principal repayments under our Term Loan and our non-recourse mortgage note. Our net cash flow used in financing activities also included $77.2 million for the share repurchase program our BOD authorized during the second quarter of 2022, as well as the purchase and retirement of common stock to satisfy withholding taxes in connection with equity-based compensation. Our net cash flow used in financing activities was partially offset by the $500.0 million gross proceeds from the issuance of the New 8.25% Senior Notes. We also borrowed $47.0 million on our Revolving Credit Facility, and repaid such amount during the year.</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net cash flow used in financing activities was $206.2 million for the year ended December 31, 2023 and was primarily attributable to debt repayments, including $91.2 million related to our previous Term Loan, the $153.8 million redemption of the 4.625% Senior Notes, the $21.0 million purchase of the Old 8.25% Senior Notes, and the $6.9 million purchase of the 4.75% Senior Notes. In addition, our net cash flow used in financing activities was attributable to $9.9 million of scheduled principal repayments under our Term Loan and our non-recourse mortgage note. Our net cash flow used in financing activities also included $43.0 million for the share repurchase program, as well as the purchase and retirement of common stock that was issued in connection with equity-based compensation, and dividend payments on restricted stock units that became vested of $0.1 million. These payments were partially offset by the $125.0 million of proceeds from the aforementioned issuance of the Term Loan in October 2023 associated with the Fourth Amended and Restated Credit Agreement. We also borrowed $125.0 million on our Revolving Credit Facility, and repaid such amount during the year.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domestic subsidiaries of CoreCivic (as the parent corporation) that guarantee the Bank Credit Facility have provided full and unconditional guarantees of our Senior Notes. All of CoreCivic's subsidiaries guaranteeing the Senior Notes are 100% owned direct or indirect subsidiaries of CoreCivic, and the subsidiary guarantees are full and unconditional and are joint and several obligations of the guarantors.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neither CoreCivic nor any of its subsidiary guarantors had any material or significant restrictions on CoreCivic's ability to obtain funds from its subsidiaries by dividend or loan or to transfer assets from such subsidiaries.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governing our Senior Notes contain certain customary covenants that, subject to certain exceptions and qualifications, restrict CoreCivic's ability to, among other things, create or permit to exist certain liens and consolidate, merge or transfer all or substantially all of CoreCivic's assets. In addition, if CoreCivic experiences specific kinds of changes in control, CoreCivic must offer to repurchase all or a portion of the Senior Notes. The offer price for the Senior Notes in connection with a change in control would be 101% of the aggregate principal amount of the notes repurchased plus accrued and unpaid interest, if any, on the notes repurchased to the date of purchase. The indenture related to our New 8.25% Senior Notes additionally limits our ability to incur indebtedness, make restricted payments and investments and prepay certain indebtedness.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information for CoreCivic and the subsidiary guarantors, on a combined basis after elimination of (i) intercompany transactions and balances among CoreCivic and the subsidiary guarantors and (ii) equity in earnings from, and any investments in, any subsidiary that is a non-guarantor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color w:val="auto"/>
              </w:rPr>
              <w:t>December 31,</w:t>
            </w: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2"/>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09"/>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439,388</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460,475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estate and related assets</w:t>
            </w: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2,253,129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2,323,562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93,617</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175,413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2,346,746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2,498,975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271,220</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284,886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debt, net</w:t>
            </w: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841,208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945,949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2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179,670</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246,903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1,020,878</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1,192,852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66"/>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gridSpan w:val="8"/>
          </w:tcPr>
          <w:p>
            <w:pPr>
              <w:jc w:val="right"/>
              <w:ind w:right="72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560" w:type="dxa"/>
            <w:vAlign w:val="bottom"/>
          </w:tcPr>
          <w:p>
            <w:pPr>
              <w:spacing w:after="0"/>
              <w:rPr>
                <w:sz w:val="24"/>
                <w:szCs w:val="24"/>
                <w:color w:val="auto"/>
              </w:rPr>
            </w:pPr>
          </w:p>
        </w:tc>
      </w:tr>
      <w:tr>
        <w:trPr>
          <w:trHeight w:val="142"/>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09"/>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1,958,953</w:t>
            </w:r>
          </w:p>
        </w:tc>
        <w:tc>
          <w:tcPr>
            <w:tcW w:w="3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1,895,291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1,491,980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1,462,414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expenses</w:t>
            </w:r>
          </w:p>
        </w:tc>
        <w:tc>
          <w:tcPr>
            <w:tcW w:w="2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280,093</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263,401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1,772,073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1,725,815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86,598</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92,437</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63,503</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842"/>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90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Funds From Operations, or FFO, is a widely accepted supplemental non-GAAP measure utilized to evaluate the operating performance of real estate companies. The National Association of Real Estate Investment Trusts, or NAREIT, defines FFO as net income computed in accordance with GAAP, excluding gains or losses from sales of property and extraordinary items, plus depreciation and amortization of real estate and impairment of depreciable real estate and after adjustments for unconsolidated partnerships and joint ventures calculated to reflect funds from operations on the same basis. As a company with extensive real estate holdings, we believe FFO is an important supplemental measure of our operating performance and believe it is frequently used by securities analysts, investors and other interested parties in the evaluation of REITs and other real estate operating companies, many of which present FFO when reporting results.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present Normalized FFO as an additional supplemental measure as we believe it is more reflective of our core operating performance. We may make adjustments to FFO from time to time for certain other income and expenses that we consider non-recurring, infrequent or unusual, even though such items may require cash settlement, because such items do not reflect a necessary or ordinary component of our ongoing operations. Normalized FFO excludes the effects of such items.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FFO and Normalized FFO are supplemental non-GAAP financial measures of real estate companies' operating performance, which do not represent cash generated from operating activities in accordance with GAAP and therefore should not be considered an alternative for net income or as a measure of liquidity. Our method of calculating FFO and Normalized FFO may be different from methods used by other REITs and real estate operating companies and, accordingly, may not be comparable to such REITs and other real estate operating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reconciliation of net income to FFO and Normalized FFO for the years ended December 31, 2024, 2023, and 2022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68,868</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67,590</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122,320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99,865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98,076</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96,917</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real estate assets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real estate assets, net</w:t>
            </w: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(3,262 )</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(798 )</w:t>
            </w:r>
          </w:p>
        </w:tc>
        <w:tc>
          <w:tcPr>
            <w:tcW w:w="3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(87,728 )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for special items</w:t>
            </w:r>
          </w:p>
        </w:tc>
        <w:tc>
          <w:tcPr>
            <w:tcW w:w="1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Funds From Operations</w:t>
            </w: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168,131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165,094</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157,896</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Expenses associated with debt repayments</w:t>
            </w: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31,316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refinancing transactions</w:t>
            </w: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Income tax expense associated with change in corporate</w:t>
            </w: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 structure and other special tax items</w:t>
            </w:r>
          </w:p>
        </w:tc>
        <w:tc>
          <w:tcPr>
            <w:tcW w:w="1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Shareholder litigation expense</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 impairments</w:t>
            </w: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for special items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(10,023 )</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(984 )</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(2,657 )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5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Normalized Funds From Operations</w:t>
            </w:r>
          </w:p>
        </w:tc>
        <w:tc>
          <w:tcPr>
            <w:tcW w:w="14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190,114</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168,436</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165,216</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4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-1070610</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-1053465</wp:posOffset>
            </wp:positionV>
            <wp:extent cx="596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-1070610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-1053465</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-1070610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-1053465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material cash requirements related to borrowings, contracts and leases by the indicated period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Year Ending December 31,</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2029</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0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$ 257,823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97,995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$ 507,985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$ 105,803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997,380</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senior and mortgage notes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25,536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274,547</w:t>
            </w:r>
          </w:p>
        </w:tc>
        <w:tc>
          <w:tcPr>
            <w:tcW w:w="100" w:type="dxa"/>
            <w:vAlign w:val="bottom"/>
          </w:tcPr>
          <w:p>
            <w:pPr>
              <w:spacing w:after="0"/>
              <w:rPr>
                <w:sz w:val="18"/>
                <w:szCs w:val="18"/>
                <w:color w:val="auto"/>
              </w:rPr>
            </w:pPr>
          </w:p>
        </w:tc>
      </w:tr>
      <w:tr>
        <w:trPr>
          <w:trHeight w:val="198"/>
        </w:trPr>
        <w:tc>
          <w:tcPr>
            <w:tcW w:w="42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Contractual facility developments and</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commitments</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shd w:val="clear" w:color="auto" w:fill="CFF0FC"/>
          </w:tcPr>
          <w:p>
            <w:pPr>
              <w:spacing w:after="0"/>
              <w:rPr>
                <w:sz w:val="20"/>
                <w:szCs w:val="20"/>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30,266</w:t>
            </w:r>
          </w:p>
        </w:tc>
        <w:tc>
          <w:tcPr>
            <w:tcW w:w="100" w:type="dxa"/>
            <w:vAlign w:val="bottom"/>
          </w:tcPr>
          <w:p>
            <w:pPr>
              <w:spacing w:after="0"/>
              <w:rPr>
                <w:sz w:val="18"/>
                <w:szCs w:val="18"/>
                <w:color w:val="auto"/>
              </w:rPr>
            </w:pPr>
          </w:p>
        </w:tc>
      </w:tr>
      <w:tr>
        <w:trPr>
          <w:trHeight w:val="191"/>
        </w:trPr>
        <w:tc>
          <w:tcPr>
            <w:tcW w:w="4280" w:type="dxa"/>
            <w:vAlign w:val="bottom"/>
            <w:shd w:val="clear" w:color="auto" w:fill="CFF0FC"/>
          </w:tcPr>
          <w:p>
            <w:pPr>
              <w:ind w:left="160"/>
              <w:spacing w:after="0" w:line="191"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1,306,30</w:t>
            </w:r>
          </w:p>
        </w:tc>
        <w:tc>
          <w:tcPr>
            <w:tcW w:w="100" w:type="dxa"/>
            <w:vAlign w:val="bottom"/>
            <w:shd w:val="clear" w:color="auto" w:fill="CFF0FC"/>
          </w:tcPr>
          <w:p>
            <w:pPr>
              <w:spacing w:after="0"/>
              <w:rPr>
                <w:sz w:val="16"/>
                <w:szCs w:val="16"/>
                <w:color w:val="auto"/>
              </w:rPr>
            </w:pPr>
          </w:p>
        </w:tc>
      </w:tr>
      <w:tr>
        <w:trPr>
          <w:trHeight w:val="274"/>
        </w:trPr>
        <w:tc>
          <w:tcPr>
            <w:tcW w:w="4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80,261</w:t>
            </w:r>
          </w:p>
        </w:tc>
        <w:tc>
          <w:tcPr>
            <w:tcW w:w="2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79,082</w:t>
            </w:r>
          </w:p>
        </w:tc>
        <w:tc>
          <w:tcPr>
            <w:tcW w:w="22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$ 320,237</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148,325</w:t>
            </w:r>
          </w:p>
        </w:tc>
        <w:tc>
          <w:tcPr>
            <w:tcW w:w="22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$ 536,974</w:t>
            </w:r>
          </w:p>
        </w:tc>
        <w:tc>
          <w:tcPr>
            <w:tcW w:w="22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$ 141,422</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-24765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cash obligations in the table above do not include future cash obligations for variable interest expense associated with our Term Loan or the balance outstanding on our Revolving Credit Facility, if any, as projections would be based on future outstanding balances as well as future variable interest rates, and we are unable to make reliable estimates of either. Certain of our other ongoing construction projects are not currently under contract and thus are not included as a contractual obligation above as we may generally suspend or terminate such projects without substantial penalty.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$18.0 million of letters of credit outstanding at December 31, 2024 primarily to support our requirement to repay fees and claims under our self-insured workers' compensation plan in the event we do not repay the fees and claims due in accordance with the terms of the plan, and for a debt service reserve requirement under terms of the Kansas Notes. The letters of credit are renewable annually. We did not have any draws under these outstanding letters of credit during 2024, 2023, or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contracts include provisions for inflationary indexing, which may mitigate an adverse impact of inflation on net income. However, a substantial increase in personnel costs, workers' compensation, utilities, food, and medical expenses could have an adverse impact on our results of operations in the future to the extent that these expenses increase at a faster pace than the per diem or fixed rates we receive for our management services. We outsource our food service operations to a third party. The contract with our outsourced food service vendor contains certain protections against increases in food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aspects of our business are subject to seasonal fluctuations. Because we are generally compensated for operating and managing correctional, detention, and reentry facilities at a per diem rate, our financial results are impacted by the number of calendar days in a fiscal quarter. Our fiscal year follows the calendar year and therefore, our daily profits for the third and fourth quarters include two more days than the first quarter (except in leap years) and one more day than the second quarter. Further, salaries and benefits represent the most significant component of operating expenses. Significant portions of our unemployment taxes are recognized during the first quarter, when base wage rates reset for unemployment tax purposes. Quarterly results are also affected by government funding initiatives, acquisitions, the timing of the opening of new facilities, or the commencement of new management contracts and related start-up expenses which may mitigate or exacerbate the impact of other seasonal influences. Because of seasonality factors, and other factors described herein, results for any quarter are not necessarily indicative of the results that may be achieved for the full fiscal year.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9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7A.</w:t>
        <w:tab/>
        <w:t>QUANTITATIVE AND QUALITATIVE DISCLOSURES ABOUT MARKET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primary market risk exposure is to changes in U.S. interest rates. We are exposed to market risk related to our Bank Credit Facility because the interest rates on these loans are subject to fluctuations in the market. We were also exposed to market risk related to our Term Loan B prior to its prepayment in full in May 2022. If the interest rate for our outstanding indebtedness under the Bank Credit Facility and the Term Loan B was 100 basis points higher or lower (but not less than 0%) during the years ended December 31, 2024, 2023, and 2022, our interest expense, net of amounts capitalized, would have been increased by $1.3 million, $1.1 million, and $1.4 million, respectively, and would have been decreased by $1.3 million, $1.1 million, and $0.8 million, respectively.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had outstanding $500.0 million of senior notes due 2029 with a fixed interest rate of 8.25%, and $238.5 million of senior notes due 2027 with a fixed interest rate of 4.75%. We also had $140.2 million outstanding under the Kansas Notes with a fixed interest rate of 4.43%. Because the interest rates with respect to these instruments are fixed, a hypothetical 100 basis point increase or decrease in market interest rates would not have a material impact on our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from time to time, invest our cash in a variety of short-term financial instruments. These instruments generally consist of highly liquid investments with original maturities at the date of purchase of three months or less. While these investments are subject to interest rate risk and will decline in value if market interest rates increase, a hypothetical 100 basis point increase or decrease in market interest rates would not materially affect the value of these instruments. See the risk factor discussion captioned "</w:t>
      </w:r>
      <w:r>
        <w:rPr>
          <w:rFonts w:ascii="Times New Roman" w:cs="Times New Roman" w:eastAsia="Times New Roman" w:hAnsi="Times New Roman"/>
          <w:sz w:val="18"/>
          <w:szCs w:val="18"/>
          <w:i w:val="1"/>
          <w:iCs w:val="1"/>
          <w:color w:val="auto"/>
        </w:rPr>
        <w:t>Rising interest rates increase the cost of our variable rate debt</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Part 1, Item 1A</w:t>
      </w:r>
      <w:r>
        <w:rPr>
          <w:rFonts w:ascii="Times New Roman" w:cs="Times New Roman" w:eastAsia="Times New Roman" w:hAnsi="Times New Roman"/>
          <w:sz w:val="18"/>
          <w:szCs w:val="18"/>
          <w:color w:val="auto"/>
        </w:rPr>
        <w:t xml:space="preserve"> of this Annual Report on Form 10-K for more discussion on interest rate risks that may affect our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and supplementary data required by Regulation S-X are included in this Annual Report on Form 10-K commencing on Page F-1.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senior management, including our Chief Executive Officer and Chief Financial Officer, of the effectiveness of our disclosure controls and procedures, as defined in Rules 13a-15(e) and 15d-15(e) of the Exchange Act as of the end of the period covered by this Annual Report. Based on that evaluation, our officers, including our Chief Executive Officer and Chief Financial Officer, concluded that as of the end of the period covered by this Annual Report our disclosure controls and procedures are effective to ensure that information required to be disclosed in the reports that we file or submit under the Exchange Act is recorded, processed, summarized, and reported within the time periods specified in the SEC's rules and forms and information required to be disclosed in the reports we file or submit under the Exchange Act is accumulated and communicated to our management, including our Chief Executive Officer and Chief Financial Officer, to allow timely decisions regarding required disclosure.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72" w:lineRule="exact"/>
        <w:rPr>
          <w:sz w:val="20"/>
          <w:szCs w:val="20"/>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2024. In making this assessment, management used the criteria set forth by the Committee of Sponsoring Organizations of the Treadway Commission (COSO) in Internal Control-Integrated Framework released in 2013. Based on this assessment, management believes that, as of December 31, 2024, the Company's internal control over financial reporting was effective.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Ernst &amp; Young LLP, has issued an attestation report on the Company's internal control over financial reporting. That report begins on page 90.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fourth fiscal quarter of 2024 that have materially affected, or are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CoreCivic,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CoreCivic, Inc. and subsidiaries’ internal control over financial reporting as of December 31, 2024, based on criteria established in Internal Control––Integrated Framework issued by the Committee of Sponsoring Organizations of the Treadway Commission (2013 framework) (the COSO criteria). In our opinion, CoreCivic, Inc. and subsidiaries (the Company) maintained, in all material respects, effective internal control over financial reporting as of December 31, 2024, based on the COSO criteria.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stockholders' equity, and cash flows for each of the three years in the period ended December 31, 2024, and the related notes and financial statement schedule listed in the Index at Item 15(2) and our report dated February 21,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0" w:name="page91"/>
    <w:bookmarkEnd w:id="90"/>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Without limiting the generality of the foregoing, during the three months ended December 31, 2024, no director or officer (as defined in Rule 16a-1(f) of the Securities Exchange Act of 1934, as amended) of the Company adopted or terminated a Rule 10b5-1 trading arrangement or non-Rule 10b5-1 trading arrangement (in each case, as defined in Item 408 of Regulation S-K) for the purchase or sale of the Company’s securities.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10 will appear in, and is hereby incorporated by reference from, the information under the headings "Proposal 1 – Election of Directors-Incumbent Directors Standing for Re-Election," "Executive Officers," "Corporate Governance – Board Meetings and Committees," "Corporate Governance – Director Independence," "Corporate Governance – Certain Relationships and Related Party Transactions," "Corporate Governance – Insider Trading Policy," and "Security Ownership of Certain Beneficial Owners and Management – Section 16(a) Beneficial Ownership Reporting Compliance" in our definitive proxy statement for the 2025 Annual Meeting of Stockholders.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Code of Ethics and Business Conduct applicable to the members of our Board of Directors and our officers, including our Chief Executive Officer and Chief Financial Officer. In addition, the Board of Directors has adopted Corporate Governance Guidelines and charters for our Audit Committee, Risk Committee, Compensation Committee, Nominating and Governance Committee and Executive Committee. You can access our Code of Ethics and Business Conduct, Corporate Governance Guidelines and current committee charters under the "Investor Relations" tab on our website at www.corecivic.com.</w:t>
      </w:r>
    </w:p>
    <w:p>
      <w:pPr>
        <w:spacing w:after="0" w:line="28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11 will appear in, and is hereby incorporated by reference from, the information under the headings "Corporate Governance – Equity Grant Practices" and "Executive and Director Compensation" in our definitive proxy statement for the 2025 Annual Meeting of Stockholders.</w:t>
      </w:r>
    </w:p>
    <w:p>
      <w:pPr>
        <w:spacing w:after="0" w:line="280" w:lineRule="exact"/>
        <w:rPr>
          <w:sz w:val="20"/>
          <w:szCs w:val="20"/>
          <w:color w:val="auto"/>
        </w:rPr>
      </w:pPr>
    </w:p>
    <w:p>
      <w:pPr>
        <w:jc w:val="both"/>
        <w:ind w:left="1020" w:hanging="1017"/>
        <w:spacing w:after="0" w:line="286"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 NERS AND MANAGEMENT AND RELATED STOCKHOLDER MATTERS.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12 will appear in, and is hereby incorporated by reference from, the information under the heading "Security Ownership of Certain Beneficial Owners and Management – Ownership of Common Stock – Directors and Executive Officers," and "Security Ownership of Certain Beneficial Owners and Management – Ownership of Common Stock – Principal Stockholders" in our definitive proxy statement for the 2025 Annual Meeting of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as of December 31, 2024 regarding compensation plans under which our equity securities are authorized for issuance.</w:t>
      </w:r>
    </w:p>
    <w:p>
      <w:pPr>
        <w:spacing w:after="0" w:line="143" w:lineRule="exact"/>
        <w:rPr>
          <w:sz w:val="20"/>
          <w:szCs w:val="20"/>
          <w:color w:val="auto"/>
        </w:rPr>
      </w:pPr>
    </w:p>
    <w:tbl>
      <w:tblPr>
        <w:tblLayout w:type="fixed"/>
        <w:tblInd w:w="320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for Future</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66"/>
        </w:trPr>
        <w:tc>
          <w:tcPr>
            <w:tcW w:w="2000" w:type="dxa"/>
            <w:vAlign w:val="bottom"/>
          </w:tcPr>
          <w:p>
            <w:pPr>
              <w:spacing w:after="0"/>
              <w:rPr>
                <w:sz w:val="14"/>
                <w:szCs w:val="14"/>
                <w:color w:val="auto"/>
              </w:rPr>
            </w:pPr>
          </w:p>
        </w:tc>
        <w:tc>
          <w:tcPr>
            <w:tcW w:w="222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20" w:type="dxa"/>
            <w:vAlign w:val="bottom"/>
          </w:tcPr>
          <w:p>
            <w:pPr>
              <w:spacing w:after="0"/>
              <w:rPr>
                <w:sz w:val="14"/>
                <w:szCs w:val="14"/>
                <w:color w:val="auto"/>
              </w:rPr>
            </w:pPr>
          </w:p>
        </w:tc>
        <w:tc>
          <w:tcPr>
            <w:tcW w:w="11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55"/>
        </w:trPr>
        <w:tc>
          <w:tcPr>
            <w:tcW w:w="2000" w:type="dxa"/>
            <w:vAlign w:val="bottom"/>
          </w:tcPr>
          <w:p>
            <w:pPr>
              <w:spacing w:after="0"/>
              <w:rPr>
                <w:sz w:val="13"/>
                <w:szCs w:val="13"/>
                <w:color w:val="auto"/>
              </w:rPr>
            </w:pPr>
          </w:p>
        </w:tc>
        <w:tc>
          <w:tcPr>
            <w:tcW w:w="2220" w:type="dxa"/>
            <w:vAlign w:val="bottom"/>
          </w:tcPr>
          <w:p>
            <w:pPr>
              <w:jc w:val="center"/>
              <w:ind w:left="868"/>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1160" w:type="dxa"/>
            <w:vAlign w:val="bottom"/>
          </w:tcPr>
          <w:p>
            <w:pPr>
              <w:jc w:val="center"/>
              <w:ind w:left="48"/>
              <w:spacing w:after="0" w:line="15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51"/>
        </w:trPr>
        <w:tc>
          <w:tcPr>
            <w:tcW w:w="2000" w:type="dxa"/>
            <w:vAlign w:val="bottom"/>
          </w:tcPr>
          <w:p>
            <w:pPr>
              <w:spacing w:after="0"/>
              <w:rPr>
                <w:sz w:val="13"/>
                <w:szCs w:val="13"/>
                <w:color w:val="auto"/>
              </w:rPr>
            </w:pPr>
          </w:p>
        </w:tc>
        <w:tc>
          <w:tcPr>
            <w:tcW w:w="2220" w:type="dxa"/>
            <w:vAlign w:val="bottom"/>
          </w:tcPr>
          <w:p>
            <w:pPr>
              <w:jc w:val="center"/>
              <w:ind w:left="868"/>
              <w:spacing w:after="0" w:line="151"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Weighted –</w:t>
            </w:r>
          </w:p>
        </w:tc>
        <w:tc>
          <w:tcPr>
            <w:tcW w:w="1160" w:type="dxa"/>
            <w:vAlign w:val="bottom"/>
          </w:tcPr>
          <w:p>
            <w:pPr>
              <w:jc w:val="center"/>
              <w:ind w:left="48"/>
              <w:spacing w:after="0" w:line="151"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222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222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16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22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16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Column</w:t>
            </w:r>
          </w:p>
        </w:tc>
        <w:tc>
          <w:tcPr>
            <w:tcW w:w="0" w:type="dxa"/>
            <w:vAlign w:val="bottom"/>
          </w:tcPr>
          <w:p>
            <w:pPr>
              <w:spacing w:after="0"/>
              <w:rPr>
                <w:sz w:val="1"/>
                <w:szCs w:val="1"/>
                <w:color w:val="auto"/>
              </w:rPr>
            </w:pPr>
          </w:p>
        </w:tc>
      </w:tr>
      <w:tr>
        <w:trPr>
          <w:trHeight w:val="173"/>
        </w:trPr>
        <w:tc>
          <w:tcPr>
            <w:tcW w:w="2000" w:type="dxa"/>
            <w:vAlign w:val="bottom"/>
            <w:vMerge w:val="continue"/>
          </w:tcPr>
          <w:p>
            <w:pPr>
              <w:spacing w:after="0"/>
              <w:rPr>
                <w:sz w:val="15"/>
                <w:szCs w:val="15"/>
                <w:color w:val="auto"/>
              </w:rPr>
            </w:pPr>
          </w:p>
        </w:tc>
        <w:tc>
          <w:tcPr>
            <w:tcW w:w="222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502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00" w:type="dxa"/>
            <w:vAlign w:val="bottom"/>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5,153,899</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98"/>
        </w:trPr>
        <w:tc>
          <w:tcPr>
            <w:tcW w:w="5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00" w:type="dxa"/>
            <w:vAlign w:val="bottom"/>
          </w:tcPr>
          <w:p>
            <w:pPr>
              <w:spacing w:after="0"/>
              <w:rPr>
                <w:sz w:val="17"/>
                <w:szCs w:val="17"/>
                <w:color w:val="auto"/>
              </w:rPr>
            </w:pPr>
          </w:p>
        </w:tc>
        <w:tc>
          <w:tcPr>
            <w:tcW w:w="106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w:t>
            </w:r>
          </w:p>
        </w:tc>
        <w:tc>
          <w:tcPr>
            <w:tcW w:w="100" w:type="dxa"/>
            <w:vAlign w:val="bottom"/>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5,153,899</w:t>
            </w:r>
          </w:p>
        </w:tc>
        <w:tc>
          <w:tcPr>
            <w:tcW w:w="2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-25400</wp:posOffset>
            </wp:positionV>
            <wp:extent cx="51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-8255</wp:posOffset>
            </wp:positionV>
            <wp:extent cx="51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-25400</wp:posOffset>
            </wp:positionV>
            <wp:extent cx="514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514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514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23" w:lineRule="exact"/>
        <w:rPr>
          <w:sz w:val="20"/>
          <w:szCs w:val="20"/>
          <w:color w:val="auto"/>
        </w:rPr>
      </w:pPr>
    </w:p>
    <w:p>
      <w:pPr>
        <w:ind w:left="520" w:right="20" w:hanging="512"/>
        <w:spacing w:after="0" w:line="298" w:lineRule="auto"/>
        <w:tabs>
          <w:tab w:leader="none" w:pos="5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shares of common stock available for issuance under our Amended and Restated 2020 Stock Incentive Plan, the only equity compensation plan approved by our stockholders under which we continue to grant awards.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spacing w:after="0" w:line="29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CERTAIN RELATIONSHIPS AND RELATED PARTY TRANSACTIONS AND DIRECTOR INDEPENDENCE.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13 will appear in, and is hereby incorporated by reference from, the information under the heading "Corporate Governance – Certain Relationships and Related Party Transactions" and "Corporate Governance – Director Independence" in our definitive proxy statement for the 2025 Annual Meeting of Stockholders.</w:t>
      </w:r>
    </w:p>
    <w:p>
      <w:pPr>
        <w:spacing w:after="0" w:line="28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PRINCIPAL ACCOUNTING FEES AND SERVICES.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14 will appear in, and is hereby incorporated by reference from, the information under the heading "Proposal 2 – Non-Binding Ratification of Appointment of Independent Registered Public Accounting Firm" in our definitive proxy statement for the 2025 Annual Meeting of Stockholders.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EXHIBITS AND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117" w:lineRule="exact"/>
        <w:rPr>
          <w:sz w:val="20"/>
          <w:szCs w:val="20"/>
          <w:color w:val="auto"/>
        </w:rPr>
      </w:pPr>
    </w:p>
    <w:p>
      <w:pPr>
        <w:ind w:left="1040" w:hanging="84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as set forth under Item 8 of this Annual Report on Form 10-K have been filed herewith, beginning on page F-1 of this Annual Report.</w:t>
      </w:r>
    </w:p>
    <w:p>
      <w:pPr>
        <w:spacing w:after="0" w:line="53" w:lineRule="exact"/>
        <w:rPr>
          <w:rFonts w:ascii="Times New Roman" w:cs="Times New Roman" w:eastAsia="Times New Roman" w:hAnsi="Times New Roman"/>
          <w:sz w:val="18"/>
          <w:szCs w:val="18"/>
          <w:color w:val="auto"/>
        </w:rPr>
      </w:pPr>
    </w:p>
    <w:p>
      <w:pPr>
        <w:ind w:left="1020" w:hanging="825"/>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III-Real Estate Assets and Accumulated Depreciation.</w:t>
      </w:r>
    </w:p>
    <w:p>
      <w:pPr>
        <w:spacing w:after="0" w:line="117" w:lineRule="exact"/>
        <w:rPr>
          <w:rFonts w:ascii="Times New Roman" w:cs="Times New Roman" w:eastAsia="Times New Roman" w:hAnsi="Times New Roman"/>
          <w:sz w:val="18"/>
          <w:szCs w:val="18"/>
          <w:color w:val="auto"/>
        </w:rPr>
      </w:pPr>
    </w:p>
    <w:p>
      <w:pPr>
        <w:ind w:lef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this item begins on page F-39 of this Annual Report on Form 10-K. Other schedules are omitted because of the absence of conditions under which they are required or because the required information is given in the financial statements or notes thereto.</w:t>
      </w:r>
    </w:p>
    <w:p>
      <w:pPr>
        <w:spacing w:after="0" w:line="53" w:lineRule="exact"/>
        <w:rPr>
          <w:rFonts w:ascii="Times New Roman" w:cs="Times New Roman" w:eastAsia="Times New Roman" w:hAnsi="Times New Roman"/>
          <w:sz w:val="18"/>
          <w:szCs w:val="18"/>
          <w:color w:val="auto"/>
        </w:rPr>
      </w:pPr>
    </w:p>
    <w:p>
      <w:pPr>
        <w:ind w:left="1020" w:hanging="825"/>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1260" w:hanging="234"/>
        <w:spacing w:after="0"/>
        <w:tabs>
          <w:tab w:leader="none" w:pos="12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17" w:lineRule="exact"/>
        <w:rPr>
          <w:rFonts w:ascii="Times New Roman" w:cs="Times New Roman" w:eastAsia="Times New Roman" w:hAnsi="Times New Roman"/>
          <w:sz w:val="18"/>
          <w:szCs w:val="18"/>
          <w:color w:val="auto"/>
        </w:rPr>
      </w:pPr>
    </w:p>
    <w:p>
      <w:pPr>
        <w:ind w:left="1020" w:right="20" w:firstLine="6"/>
        <w:spacing w:after="0" w:line="282" w:lineRule="auto"/>
        <w:tabs>
          <w:tab w:leader="none" w:pos="134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directed by Item 601(a)(5) or 601(b)(2) of Regulation S-K, as applicable, certain schedules and exhibits to this exhibit are omitted from this filing. The Company agrees to furnish supplementally a copy of any omitted schedule or exhibit to the SEC upon request.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10600" w:type="dxa"/>
            <w:vAlign w:val="bottom"/>
            <w:gridSpan w:val="10"/>
          </w:tcPr>
          <w:p>
            <w:pPr>
              <w:ind w:left="380"/>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tc>
      </w:tr>
      <w:tr>
        <w:trPr>
          <w:trHeight w:val="306"/>
        </w:trPr>
        <w:tc>
          <w:tcPr>
            <w:tcW w:w="640" w:type="dxa"/>
            <w:vAlign w:val="bottom"/>
          </w:tcPr>
          <w:p>
            <w:pPr>
              <w:spacing w:after="0"/>
              <w:rPr>
                <w:sz w:val="24"/>
                <w:szCs w:val="24"/>
                <w:color w:val="auto"/>
              </w:rPr>
            </w:pPr>
          </w:p>
        </w:tc>
        <w:tc>
          <w:tcPr>
            <w:tcW w:w="10600" w:type="dxa"/>
            <w:vAlign w:val="bottom"/>
            <w:gridSpan w:val="10"/>
          </w:tcPr>
          <w:p>
            <w:pPr>
              <w:ind w:left="380"/>
              <w:spacing w:after="0"/>
              <w:rPr>
                <w:sz w:val="20"/>
                <w:szCs w:val="20"/>
                <w:color w:val="auto"/>
              </w:rPr>
            </w:pPr>
            <w:r>
              <w:rPr>
                <w:rFonts w:ascii="Times New Roman" w:cs="Times New Roman" w:eastAsia="Times New Roman" w:hAnsi="Times New Roman"/>
                <w:sz w:val="18"/>
                <w:szCs w:val="18"/>
                <w:color w:val="auto"/>
              </w:rPr>
              <w:t>Other exhibits have previously been filed with the Securities and Exchange Commission (the "Commission") and are incorporated herein by</w:t>
            </w:r>
          </w:p>
        </w:tc>
      </w:tr>
      <w:tr>
        <w:trPr>
          <w:trHeight w:val="234"/>
        </w:trPr>
        <w:tc>
          <w:tcPr>
            <w:tcW w:w="640" w:type="dxa"/>
            <w:vAlign w:val="bottom"/>
          </w:tcPr>
          <w:p>
            <w:pPr>
              <w:spacing w:after="0"/>
              <w:rPr>
                <w:sz w:val="20"/>
                <w:szCs w:val="20"/>
                <w:color w:val="auto"/>
              </w:rPr>
            </w:pPr>
          </w:p>
        </w:tc>
        <w:tc>
          <w:tcPr>
            <w:tcW w:w="10600" w:type="dxa"/>
            <w:vAlign w:val="bottom"/>
            <w:gridSpan w:val="10"/>
          </w:tcPr>
          <w:p>
            <w:pPr>
              <w:ind w:left="380"/>
              <w:spacing w:after="0"/>
              <w:rPr>
                <w:sz w:val="20"/>
                <w:szCs w:val="20"/>
                <w:color w:val="auto"/>
              </w:rPr>
            </w:pPr>
            <w:r>
              <w:rPr>
                <w:rFonts w:ascii="Times New Roman" w:cs="Times New Roman" w:eastAsia="Times New Roman" w:hAnsi="Times New Roman"/>
                <w:sz w:val="18"/>
                <w:szCs w:val="18"/>
                <w:color w:val="auto"/>
              </w:rPr>
              <w:t>reference:</w:t>
            </w:r>
          </w:p>
        </w:tc>
      </w:tr>
      <w:tr>
        <w:trPr>
          <w:trHeight w:val="391"/>
        </w:trPr>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7"/>
              </w:rPr>
              <w:t>3.1</w:t>
            </w:r>
          </w:p>
        </w:tc>
        <w:tc>
          <w:tcPr>
            <w:tcW w:w="580" w:type="dxa"/>
            <w:vAlign w:val="bottom"/>
          </w:tcPr>
          <w:p>
            <w:pPr>
              <w:spacing w:after="0"/>
              <w:rPr>
                <w:sz w:val="24"/>
                <w:szCs w:val="24"/>
                <w:color w:val="auto"/>
              </w:rPr>
            </w:pPr>
          </w:p>
        </w:tc>
        <w:tc>
          <w:tcPr>
            <w:tcW w:w="10020" w:type="dxa"/>
            <w:vAlign w:val="bottom"/>
            <w:gridSpan w:val="9"/>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 xml:space="preserve">Articles of Amendment and Restatement of the Company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3.1 to the Company's Current Report on Form 8-K</w:t>
            </w:r>
          </w:p>
        </w:tc>
      </w:tr>
      <w:tr>
        <w:trPr>
          <w:trHeight w:val="20"/>
        </w:trPr>
        <w:tc>
          <w:tcPr>
            <w:tcW w:w="6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(Commission File no. 001-16109), filed with the Commission on May 20, 2013 and incorporated herein by this reference).</w:t>
            </w:r>
          </w:p>
        </w:tc>
      </w:tr>
      <w:tr>
        <w:trPr>
          <w:trHeight w:val="297"/>
        </w:trPr>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7"/>
              </w:rPr>
              <w:t>3.2</w:t>
            </w:r>
          </w:p>
        </w:tc>
        <w:tc>
          <w:tcPr>
            <w:tcW w:w="580" w:type="dxa"/>
            <w:vAlign w:val="bottom"/>
          </w:tcPr>
          <w:p>
            <w:pPr>
              <w:spacing w:after="0"/>
              <w:rPr>
                <w:sz w:val="24"/>
                <w:szCs w:val="24"/>
                <w:color w:val="auto"/>
              </w:rPr>
            </w:pPr>
          </w:p>
        </w:tc>
        <w:tc>
          <w:tcPr>
            <w:tcW w:w="10020" w:type="dxa"/>
            <w:vAlign w:val="bottom"/>
            <w:gridSpan w:val="9"/>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 xml:space="preserve">Articles of Amendment of the Company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3.1 to the Company's Current Report on Form 8-K (Commission File</w:t>
            </w:r>
          </w:p>
        </w:tc>
      </w:tr>
      <w:tr>
        <w:trPr>
          <w:trHeight w:val="20"/>
        </w:trPr>
        <w:tc>
          <w:tcPr>
            <w:tcW w:w="6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no. 001-16109), filed with the Commission on November 10, 2016 and incorporated herein by this reference).</w:t>
            </w:r>
          </w:p>
        </w:tc>
      </w:tr>
      <w:tr>
        <w:trPr>
          <w:trHeight w:val="297"/>
        </w:trPr>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7"/>
              </w:rPr>
              <w:t>3.3</w:t>
            </w:r>
          </w:p>
        </w:tc>
        <w:tc>
          <w:tcPr>
            <w:tcW w:w="580" w:type="dxa"/>
            <w:vAlign w:val="bottom"/>
          </w:tcPr>
          <w:p>
            <w:pPr>
              <w:spacing w:after="0"/>
              <w:rPr>
                <w:sz w:val="24"/>
                <w:szCs w:val="24"/>
                <w:color w:val="auto"/>
              </w:rPr>
            </w:pPr>
          </w:p>
        </w:tc>
        <w:tc>
          <w:tcPr>
            <w:tcW w:w="10020" w:type="dxa"/>
            <w:vAlign w:val="bottom"/>
            <w:gridSpan w:val="9"/>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 xml:space="preserve">Eleventh Amended and Restated Bylaws of the Company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3.1 to the Company's Current Report on Form 8-K</w:t>
            </w:r>
          </w:p>
        </w:tc>
      </w:tr>
      <w:tr>
        <w:trPr>
          <w:trHeight w:val="20"/>
        </w:trPr>
        <w:tc>
          <w:tcPr>
            <w:tcW w:w="6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tcBorders>
              <w:left w:val="single" w:sz="8" w:color="0000EE"/>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(Commission File no. 001-16109), filed with the Commission on December 15, 2023 and incorporated herein by this reference).</w:t>
            </w:r>
          </w:p>
        </w:tc>
      </w:tr>
      <w:tr>
        <w:trPr>
          <w:trHeight w:val="297"/>
        </w:trPr>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7"/>
              </w:rPr>
              <w:t>4.1</w:t>
            </w:r>
          </w:p>
        </w:tc>
        <w:tc>
          <w:tcPr>
            <w:tcW w:w="580" w:type="dxa"/>
            <w:vAlign w:val="bottom"/>
          </w:tcPr>
          <w:p>
            <w:pPr>
              <w:spacing w:after="0"/>
              <w:rPr>
                <w:sz w:val="24"/>
                <w:szCs w:val="24"/>
                <w:color w:val="auto"/>
              </w:rPr>
            </w:pPr>
          </w:p>
        </w:tc>
        <w:tc>
          <w:tcPr>
            <w:tcW w:w="10020" w:type="dxa"/>
            <w:vAlign w:val="bottom"/>
            <w:gridSpan w:val="9"/>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 xml:space="preserve">Specimen of certificate representing shares of the Company's Common Stock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4.1 to the Company's Current</w:t>
            </w:r>
          </w:p>
        </w:tc>
      </w:tr>
      <w:tr>
        <w:trPr>
          <w:trHeight w:val="20"/>
        </w:trPr>
        <w:tc>
          <w:tcPr>
            <w:tcW w:w="6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tcBorders>
              <w:right w:val="single" w:sz="8" w:color="0000EE"/>
            </w:tcBorders>
            <w:gridSpan w:val="3"/>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Report on Form 8-K (Commission File no. 001-16109), filed with the Commission on November 10, 2016 and incorporated herein by this</w:t>
            </w:r>
          </w:p>
        </w:tc>
      </w:tr>
      <w:tr>
        <w:trPr>
          <w:trHeight w:val="234"/>
        </w:trPr>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reference).</w:t>
            </w:r>
          </w:p>
        </w:tc>
      </w:tr>
      <w:tr>
        <w:trPr>
          <w:trHeight w:val="297"/>
        </w:trPr>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7"/>
              </w:rPr>
              <w:t>4.2</w:t>
            </w:r>
          </w:p>
        </w:tc>
        <w:tc>
          <w:tcPr>
            <w:tcW w:w="580" w:type="dxa"/>
            <w:vAlign w:val="bottom"/>
          </w:tcPr>
          <w:p>
            <w:pPr>
              <w:spacing w:after="0"/>
              <w:rPr>
                <w:sz w:val="24"/>
                <w:szCs w:val="24"/>
                <w:color w:val="auto"/>
              </w:rPr>
            </w:pPr>
          </w:p>
        </w:tc>
        <w:tc>
          <w:tcPr>
            <w:tcW w:w="10020" w:type="dxa"/>
            <w:vAlign w:val="bottom"/>
            <w:gridSpan w:val="9"/>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Indenture (2023 Notes), dated as of April 4, 2013, by and among the Company, certain of its subsidiaries, and U.S. Bank National</w:t>
              </w:r>
            </w:hyperlink>
          </w:p>
        </w:tc>
      </w:tr>
      <w:tr>
        <w:trPr>
          <w:trHeight w:val="20"/>
        </w:trPr>
        <w:tc>
          <w:tcPr>
            <w:tcW w:w="6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360" w:type="dxa"/>
            <w:vAlign w:val="bottom"/>
            <w:gridSpan w:val="4"/>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20" w:type="dxa"/>
            <w:vAlign w:val="bottom"/>
            <w:gridSpan w:val="9"/>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 xml:space="preserve">Association, as Trustee </w:t>
              </w:r>
              <w:r>
                <w:rPr>
                  <w:rFonts w:ascii="Times New Roman" w:cs="Times New Roman" w:eastAsia="Times New Roman" w:hAnsi="Times New Roman"/>
                  <w:sz w:val="18"/>
                  <w:szCs w:val="18"/>
                  <w:color w:val="000000"/>
                </w:rPr>
                <w:t>(previously filed as Exhibit 4.3 to the Company's Current Report on Form 8-K (Commission File no. 001-16109),</w:t>
              </w:r>
            </w:hyperlink>
          </w:p>
        </w:tc>
      </w:tr>
      <w:tr>
        <w:trPr>
          <w:trHeight w:val="20"/>
        </w:trPr>
        <w:tc>
          <w:tcPr>
            <w:tcW w:w="6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36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filed with the Commission on April 8, 2013 and incorporated herein by this reference).</w:t>
            </w:r>
          </w:p>
        </w:tc>
      </w:tr>
      <w:tr>
        <w:trPr>
          <w:trHeight w:val="297"/>
        </w:trPr>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7"/>
              </w:rPr>
              <w:t>4.3</w:t>
            </w:r>
          </w:p>
        </w:tc>
        <w:tc>
          <w:tcPr>
            <w:tcW w:w="580" w:type="dxa"/>
            <w:vAlign w:val="bottom"/>
          </w:tcPr>
          <w:p>
            <w:pPr>
              <w:spacing w:after="0"/>
              <w:rPr>
                <w:sz w:val="24"/>
                <w:szCs w:val="24"/>
                <w:color w:val="auto"/>
              </w:rPr>
            </w:pPr>
          </w:p>
        </w:tc>
        <w:tc>
          <w:tcPr>
            <w:tcW w:w="10020" w:type="dxa"/>
            <w:vAlign w:val="bottom"/>
            <w:gridSpan w:val="9"/>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Indenture (2022 Notes, 2026 Notes and 2027 Notes), dated as of September 25, 2015, by and between the Company and U.S. Bank</w:t>
              </w:r>
            </w:hyperlink>
          </w:p>
        </w:tc>
      </w:tr>
      <w:tr>
        <w:trPr>
          <w:trHeight w:val="20"/>
        </w:trPr>
        <w:tc>
          <w:tcPr>
            <w:tcW w:w="6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gridSpan w:val="2"/>
            <w:shd w:val="clear" w:color="auto" w:fill="0000FF"/>
          </w:tcPr>
          <w:p>
            <w:pPr>
              <w:spacing w:after="0" w:line="20" w:lineRule="exact"/>
              <w:rPr>
                <w:sz w:val="1"/>
                <w:szCs w:val="1"/>
                <w:color w:val="auto"/>
              </w:rPr>
            </w:pPr>
          </w:p>
        </w:tc>
        <w:tc>
          <w:tcPr>
            <w:tcW w:w="6360" w:type="dxa"/>
            <w:vAlign w:val="bottom"/>
            <w:gridSpan w:val="4"/>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20" w:type="dxa"/>
            <w:vAlign w:val="bottom"/>
            <w:gridSpan w:val="9"/>
          </w:tcPr>
          <w:p>
            <w:pPr>
              <w:spacing w:after="0" w:line="196" w:lineRule="exact"/>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 xml:space="preserve">National Association, as Trustee </w:t>
              </w:r>
              <w:r>
                <w:rPr>
                  <w:rFonts w:ascii="Times New Roman" w:cs="Times New Roman" w:eastAsia="Times New Roman" w:hAnsi="Times New Roman"/>
                  <w:sz w:val="18"/>
                  <w:szCs w:val="18"/>
                  <w:color w:val="000000"/>
                  <w:w w:val="99"/>
                </w:rPr>
                <w:t>(previously filed as Exhibit 4.1 to the Company's Current Report on Form 8-K (Commission File no. 001-</w:t>
              </w:r>
            </w:hyperlink>
          </w:p>
        </w:tc>
      </w:tr>
      <w:tr>
        <w:trPr>
          <w:trHeight w:val="20"/>
        </w:trPr>
        <w:tc>
          <w:tcPr>
            <w:tcW w:w="6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EE"/>
            </w:tcBorders>
            <w:gridSpan w:val="2"/>
            <w:shd w:val="clear" w:color="auto" w:fill="0000FF"/>
          </w:tcPr>
          <w:p>
            <w:pPr>
              <w:spacing w:after="0" w:line="20" w:lineRule="exact"/>
              <w:rPr>
                <w:sz w:val="1"/>
                <w:szCs w:val="1"/>
                <w:color w:val="auto"/>
              </w:rPr>
            </w:pPr>
          </w:p>
        </w:tc>
        <w:tc>
          <w:tcPr>
            <w:tcW w:w="636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16109), filed with the Commission on September 25, 2015 and incorporated herein by this reference).</w:t>
            </w:r>
          </w:p>
        </w:tc>
      </w:tr>
      <w:tr>
        <w:trPr>
          <w:trHeight w:val="297"/>
        </w:trPr>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7"/>
              </w:rPr>
              <w:t>4.4</w:t>
            </w:r>
          </w:p>
        </w:tc>
        <w:tc>
          <w:tcPr>
            <w:tcW w:w="580" w:type="dxa"/>
            <w:vAlign w:val="bottom"/>
          </w:tcPr>
          <w:p>
            <w:pPr>
              <w:spacing w:after="0"/>
              <w:rPr>
                <w:sz w:val="24"/>
                <w:szCs w:val="24"/>
                <w:color w:val="auto"/>
              </w:rPr>
            </w:pPr>
          </w:p>
        </w:tc>
        <w:tc>
          <w:tcPr>
            <w:tcW w:w="10020" w:type="dxa"/>
            <w:vAlign w:val="bottom"/>
            <w:gridSpan w:val="9"/>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Indenture, (2029 Notes), dated as of March 12, 2024, by and among the Company and Equiniti Trust Company, LLC, as</w:t>
              </w:r>
            </w:hyperlink>
          </w:p>
        </w:tc>
      </w:tr>
      <w:tr>
        <w:trPr>
          <w:trHeight w:val="20"/>
        </w:trPr>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160" w:type="dxa"/>
            <w:vAlign w:val="bottom"/>
            <w:gridSpan w:val="6"/>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20" w:type="dxa"/>
            <w:vAlign w:val="bottom"/>
            <w:gridSpan w:val="9"/>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 xml:space="preserve">Trustee </w:t>
              </w:r>
              <w:r>
                <w:rPr>
                  <w:rFonts w:ascii="Times New Roman" w:cs="Times New Roman" w:eastAsia="Times New Roman" w:hAnsi="Times New Roman"/>
                  <w:sz w:val="18"/>
                  <w:szCs w:val="18"/>
                  <w:color w:val="000000"/>
                </w:rPr>
                <w:t xml:space="preserve">(previously filed as Exhibit 4.1 to the Company's Current Report on Form 8-K (Commission File no. 001-16109), </w:t>
              </w:r>
            </w:hyperlink>
            <w:r>
              <w:rPr>
                <w:rFonts w:ascii="Times New Roman" w:cs="Times New Roman" w:eastAsia="Times New Roman" w:hAnsi="Times New Roman"/>
                <w:sz w:val="18"/>
                <w:szCs w:val="18"/>
                <w:color w:val="0000FF"/>
              </w:rPr>
              <w:t xml:space="preserve">filed </w:t>
            </w:r>
            <w:r>
              <w:rPr>
                <w:rFonts w:ascii="Times New Roman" w:cs="Times New Roman" w:eastAsia="Times New Roman" w:hAnsi="Times New Roman"/>
                <w:sz w:val="18"/>
                <w:szCs w:val="18"/>
                <w:color w:val="000000"/>
              </w:rPr>
              <w:t>with the</w:t>
            </w:r>
          </w:p>
        </w:tc>
      </w:tr>
      <w:tr>
        <w:trPr>
          <w:trHeight w:val="20"/>
        </w:trPr>
        <w:tc>
          <w:tcPr>
            <w:tcW w:w="64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9480" w:type="dxa"/>
            <w:vAlign w:val="bottom"/>
            <w:gridSpan w:val="8"/>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Commission on March 12, 2024 and incorporated herein by this reference).</w:t>
            </w:r>
          </w:p>
        </w:tc>
      </w:tr>
      <w:tr>
        <w:trPr>
          <w:trHeight w:val="648"/>
        </w:trPr>
        <w:tc>
          <w:tcPr>
            <w:tcW w:w="640" w:type="dxa"/>
            <w:vAlign w:val="bottom"/>
          </w:tcPr>
          <w:p>
            <w:pPr>
              <w:spacing w:after="0"/>
              <w:rPr>
                <w:sz w:val="24"/>
                <w:szCs w:val="24"/>
                <w:color w:val="auto"/>
              </w:rPr>
            </w:pPr>
          </w:p>
        </w:tc>
        <w:tc>
          <w:tcPr>
            <w:tcW w:w="6300" w:type="dxa"/>
            <w:vAlign w:val="bottom"/>
            <w:gridSpan w:val="7"/>
          </w:tcPr>
          <w:p>
            <w:pPr>
              <w:jc w:val="right"/>
              <w:ind w:right="1220"/>
              <w:spacing w:after="0"/>
              <w:rPr>
                <w:sz w:val="20"/>
                <w:szCs w:val="20"/>
                <w:color w:val="auto"/>
              </w:rPr>
            </w:pPr>
            <w:r>
              <w:rPr>
                <w:rFonts w:ascii="Times New Roman" w:cs="Times New Roman" w:eastAsia="Times New Roman" w:hAnsi="Times New Roman"/>
                <w:sz w:val="18"/>
                <w:szCs w:val="18"/>
                <w:color w:val="auto"/>
              </w:rPr>
              <w:t>94</w:t>
            </w:r>
          </w:p>
        </w:tc>
        <w:tc>
          <w:tcPr>
            <w:tcW w:w="2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6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20" w:type="dxa"/>
            <w:vAlign w:val="bottom"/>
            <w:gridSpan w:val="10"/>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 xml:space="preserve">Form of 4.625% Senior Note due 2023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A to Exhibit 4.2 hereof).</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0020" w:type="dxa"/>
            <w:vAlign w:val="bottom"/>
            <w:gridSpan w:val="10"/>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 xml:space="preserve">Form of 4.75% Senior Note due 2027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A to Exhibit 4.10 hereof).</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0020" w:type="dxa"/>
            <w:vAlign w:val="bottom"/>
            <w:gridSpan w:val="10"/>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 xml:space="preserve">Form of 8.25% Senior Note due 2026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A to Exhibit 4.16 hereof).</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0020" w:type="dxa"/>
            <w:vAlign w:val="bottom"/>
            <w:gridSpan w:val="10"/>
          </w:tcPr>
          <w:p>
            <w:pPr>
              <w:spacing w:after="0"/>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 xml:space="preserve">Form of 8.25% Senior Note due 2029 </w:t>
              </w:r>
            </w:hyperlink>
            <w:r>
              <w:rPr>
                <w:rFonts w:ascii="Times New Roman" w:cs="Times New Roman" w:eastAsia="Times New Roman" w:hAnsi="Times New Roman"/>
                <w:sz w:val="18"/>
                <w:szCs w:val="18"/>
                <w:color w:val="000000"/>
                <w:w w:val="99"/>
              </w:rPr>
              <w:t>(previously</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filed as Exhibit 4.3 to the Company's Current Report on Form 8-K (Commission File no.</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001-16109), filed with the Commission on March 12, 2024 and incorporated herein by this reference).</w:t>
            </w:r>
          </w:p>
        </w:tc>
      </w:tr>
      <w:tr>
        <w:trPr>
          <w:trHeight w:val="391"/>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0020" w:type="dxa"/>
            <w:vAlign w:val="bottom"/>
            <w:gridSpan w:val="10"/>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Supplemental Indenture (2023 Notes), dated as of September 4, 2013, by and among the Company, certain of its subsidiaries, and U.S.</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26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20" w:type="dxa"/>
            <w:vAlign w:val="bottom"/>
            <w:gridSpan w:val="10"/>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 xml:space="preserve">Bank National Association, as Trustee </w:t>
              </w:r>
              <w:r>
                <w:rPr>
                  <w:rFonts w:ascii="Times New Roman" w:cs="Times New Roman" w:eastAsia="Times New Roman" w:hAnsi="Times New Roman"/>
                  <w:sz w:val="18"/>
                  <w:szCs w:val="18"/>
                  <w:color w:val="000000"/>
                </w:rPr>
                <w:t>(previously filed as Exhibit 4.2 to the Company's Quarterly Report on Form 10-Q (Commission</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File no. 001-16109), filed with the Commission on November 7, 2013 and incorporated 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10020" w:type="dxa"/>
            <w:vAlign w:val="bottom"/>
            <w:gridSpan w:val="10"/>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Second Supplemental Indenture (2027 Notes), dated as of October 13, 2017, by and among the Company, the Guarantors, and U.S. Bank</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20" w:type="dxa"/>
            <w:vAlign w:val="bottom"/>
            <w:gridSpan w:val="10"/>
          </w:tcPr>
          <w:p>
            <w:pPr>
              <w:spacing w:after="0" w:line="196"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 xml:space="preserve">National Association, as Trustee </w:t>
              </w:r>
              <w:r>
                <w:rPr>
                  <w:rFonts w:ascii="Times New Roman" w:cs="Times New Roman" w:eastAsia="Times New Roman" w:hAnsi="Times New Roman"/>
                  <w:sz w:val="18"/>
                  <w:szCs w:val="18"/>
                  <w:color w:val="000000"/>
                  <w:w w:val="99"/>
                </w:rPr>
                <w:t>(previously filed as Exhibit 4.2 to the Company's Current Report on Form 8-K (Commission File no. 001-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16109), filed with the Commission on October 13, 2017 and incorporated herein by this reference).</w:t>
            </w:r>
          </w:p>
        </w:tc>
      </w:tr>
      <w:tr>
        <w:trPr>
          <w:trHeight w:val="297"/>
        </w:trPr>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4.11</w:t>
            </w:r>
          </w:p>
        </w:tc>
        <w:tc>
          <w:tcPr>
            <w:tcW w:w="10020" w:type="dxa"/>
            <w:vAlign w:val="bottom"/>
            <w:gridSpan w:val="10"/>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 xml:space="preserve">Schedule of additional Supplemental Indentures (2023 Notes), relating to the Supplemental Indenture in Exhibit 4.6 hereof </w:t>
              </w:r>
            </w:hyperlink>
            <w:r>
              <w:rPr>
                <w:rFonts w:ascii="Times New Roman" w:cs="Times New Roman" w:eastAsia="Times New Roman" w:hAnsi="Times New Roman"/>
                <w:sz w:val="18"/>
                <w:szCs w:val="18"/>
                <w:color w:val="000000"/>
              </w:rPr>
              <w:t>(previously</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filed as Exhibit 4.12 to the Company's Annual Report on Form 10-K (Commission File no. 001-16109), filed with the Commission on</w:t>
            </w:r>
          </w:p>
        </w:tc>
      </w:tr>
      <w:tr>
        <w:trPr>
          <w:trHeight w:val="234"/>
        </w:trPr>
        <w:tc>
          <w:tcPr>
            <w:tcW w:w="1220" w:type="dxa"/>
            <w:vAlign w:val="bottom"/>
          </w:tcPr>
          <w:p>
            <w:pPr>
              <w:spacing w:after="0"/>
              <w:rPr>
                <w:sz w:val="20"/>
                <w:szCs w:val="20"/>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February 25, 2016 and incorporated 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w:t>
            </w:r>
          </w:p>
        </w:tc>
        <w:tc>
          <w:tcPr>
            <w:tcW w:w="10020" w:type="dxa"/>
            <w:vAlign w:val="bottom"/>
            <w:gridSpan w:val="10"/>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Supplemental Indenture (2023 Notes), dated as of January 7, 2019, by and among the Company, certain of its subsidiaries, and Regions</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20" w:type="dxa"/>
            <w:vAlign w:val="bottom"/>
            <w:gridSpan w:val="10"/>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 xml:space="preserve">Bank, successor-in-interest to U.S. Bank National Association, as Trustee </w:t>
              </w:r>
              <w:r>
                <w:rPr>
                  <w:rFonts w:ascii="Times New Roman" w:cs="Times New Roman" w:eastAsia="Times New Roman" w:hAnsi="Times New Roman"/>
                  <w:sz w:val="18"/>
                  <w:szCs w:val="18"/>
                  <w:color w:val="000000"/>
                </w:rPr>
                <w:t>(previously filed as Exhibit 4.2 to the Company's Quarterly</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3120" w:type="dxa"/>
            <w:vAlign w:val="bottom"/>
            <w:tcBorders>
              <w:right w:val="single" w:sz="8" w:color="0000EE"/>
            </w:tcBorders>
            <w:gridSpan w:val="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Report on Form 10-Q (Commission File No. 001-16109), filed with the Commission on May 9, 2019 and incorporated herein by this</w:t>
            </w:r>
          </w:p>
        </w:tc>
      </w:tr>
      <w:tr>
        <w:trPr>
          <w:trHeight w:val="234"/>
        </w:trPr>
        <w:tc>
          <w:tcPr>
            <w:tcW w:w="1220" w:type="dxa"/>
            <w:vAlign w:val="bottom"/>
          </w:tcPr>
          <w:p>
            <w:pPr>
              <w:spacing w:after="0"/>
              <w:rPr>
                <w:sz w:val="20"/>
                <w:szCs w:val="20"/>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10020" w:type="dxa"/>
            <w:vAlign w:val="bottom"/>
            <w:gridSpan w:val="10"/>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Supplemental Indenture (2027 Notes), dated as of January 7, 2019, by and among the Company, certain of its subsidiaries, and Regions</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3820" w:type="dxa"/>
            <w:vAlign w:val="bottom"/>
            <w:tcBorders>
              <w:right w:val="single" w:sz="8" w:color="0000FF"/>
            </w:tcBorders>
            <w:gridSpan w:val="5"/>
            <w:shd w:val="clear" w:color="auto" w:fill="0000FF"/>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20" w:type="dxa"/>
            <w:vAlign w:val="bottom"/>
            <w:gridSpan w:val="10"/>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 xml:space="preserve">Bank, successor-in-interest to U.S. Bank National Association, as Trustee </w:t>
              </w:r>
              <w:r>
                <w:rPr>
                  <w:rFonts w:ascii="Times New Roman" w:cs="Times New Roman" w:eastAsia="Times New Roman" w:hAnsi="Times New Roman"/>
                  <w:sz w:val="18"/>
                  <w:szCs w:val="18"/>
                  <w:color w:val="000000"/>
                </w:rPr>
                <w:t>(previously filed as Exhibit 4.4 to the Company's Quarterly</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3120" w:type="dxa"/>
            <w:vAlign w:val="bottom"/>
            <w:tcBorders>
              <w:right w:val="single" w:sz="8" w:color="0000EE"/>
            </w:tcBorders>
            <w:gridSpan w:val="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Report on Form 10-Q (Commission File No. 001-16109), filed with the Commission on May 9, 2019 and incorporated herein by this</w:t>
            </w:r>
          </w:p>
        </w:tc>
      </w:tr>
      <w:tr>
        <w:trPr>
          <w:trHeight w:val="234"/>
        </w:trPr>
        <w:tc>
          <w:tcPr>
            <w:tcW w:w="1220" w:type="dxa"/>
            <w:vAlign w:val="bottom"/>
          </w:tcPr>
          <w:p>
            <w:pPr>
              <w:spacing w:after="0"/>
              <w:rPr>
                <w:sz w:val="20"/>
                <w:szCs w:val="20"/>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4.14</w:t>
            </w:r>
          </w:p>
        </w:tc>
        <w:tc>
          <w:tcPr>
            <w:tcW w:w="10020" w:type="dxa"/>
            <w:vAlign w:val="bottom"/>
            <w:gridSpan w:val="10"/>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Supplemental Indenture (2023 Notes), dated as of February 3, 2020, by and among the Company, certain of its subsidiaries, and Regions</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3820" w:type="dxa"/>
            <w:vAlign w:val="bottom"/>
            <w:tcBorders>
              <w:right w:val="single" w:sz="8" w:color="0000FF"/>
            </w:tcBorders>
            <w:gridSpan w:val="5"/>
            <w:shd w:val="clear" w:color="auto" w:fill="0000FF"/>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20" w:type="dxa"/>
            <w:vAlign w:val="bottom"/>
            <w:gridSpan w:val="10"/>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 xml:space="preserve">Bank, successor-in-interest to U.S. Bank National Association, as Trustee </w:t>
              </w:r>
              <w:r>
                <w:rPr>
                  <w:rFonts w:ascii="Times New Roman" w:cs="Times New Roman" w:eastAsia="Times New Roman" w:hAnsi="Times New Roman"/>
                  <w:sz w:val="18"/>
                  <w:szCs w:val="18"/>
                  <w:color w:val="000000"/>
                </w:rPr>
                <w:t>(previously filed as Exhibit 4.1 to the Company's Quarterly</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3120" w:type="dxa"/>
            <w:vAlign w:val="bottom"/>
            <w:tcBorders>
              <w:right w:val="single" w:sz="8" w:color="0000EE"/>
            </w:tcBorders>
            <w:gridSpan w:val="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Report on Form 10-Q (Commission File No. 001-16109), filed with the Commission on May 7, 2020 and incorporated herein by this</w:t>
            </w:r>
          </w:p>
        </w:tc>
      </w:tr>
      <w:tr>
        <w:trPr>
          <w:trHeight w:val="234"/>
        </w:trPr>
        <w:tc>
          <w:tcPr>
            <w:tcW w:w="1220" w:type="dxa"/>
            <w:vAlign w:val="bottom"/>
          </w:tcPr>
          <w:p>
            <w:pPr>
              <w:spacing w:after="0"/>
              <w:rPr>
                <w:sz w:val="20"/>
                <w:szCs w:val="20"/>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4.15</w:t>
            </w:r>
          </w:p>
        </w:tc>
        <w:tc>
          <w:tcPr>
            <w:tcW w:w="10020" w:type="dxa"/>
            <w:vAlign w:val="bottom"/>
            <w:gridSpan w:val="10"/>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Supplemental Indenture (2027 Notes), dated as of February 3, 2020, by and among the Company, certain of its subsidiaries, and Regions</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3820" w:type="dxa"/>
            <w:vAlign w:val="bottom"/>
            <w:tcBorders>
              <w:right w:val="single" w:sz="8" w:color="0000FF"/>
            </w:tcBorders>
            <w:gridSpan w:val="5"/>
            <w:shd w:val="clear" w:color="auto" w:fill="0000FF"/>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20" w:type="dxa"/>
            <w:vAlign w:val="bottom"/>
            <w:gridSpan w:val="10"/>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 xml:space="preserve">Bank, successor-in-interest to U.S. Bank National Association, as Trustee </w:t>
              </w:r>
              <w:r>
                <w:rPr>
                  <w:rFonts w:ascii="Times New Roman" w:cs="Times New Roman" w:eastAsia="Times New Roman" w:hAnsi="Times New Roman"/>
                  <w:sz w:val="18"/>
                  <w:szCs w:val="18"/>
                  <w:color w:val="000000"/>
                </w:rPr>
                <w:t>(previously filed as Exhibit 4.3 to the Company's Quarterly</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3120" w:type="dxa"/>
            <w:vAlign w:val="bottom"/>
            <w:tcBorders>
              <w:right w:val="single" w:sz="8" w:color="0000EE"/>
            </w:tcBorders>
            <w:gridSpan w:val="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Report on Form 10-Q (Commission File No. 001-16109), filed with the Commission on May 7, 2020 and incorporated herein by this</w:t>
            </w:r>
          </w:p>
        </w:tc>
      </w:tr>
      <w:tr>
        <w:trPr>
          <w:trHeight w:val="234"/>
        </w:trPr>
        <w:tc>
          <w:tcPr>
            <w:tcW w:w="1220" w:type="dxa"/>
            <w:vAlign w:val="bottom"/>
          </w:tcPr>
          <w:p>
            <w:pPr>
              <w:spacing w:after="0"/>
              <w:rPr>
                <w:sz w:val="20"/>
                <w:szCs w:val="20"/>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4.16</w:t>
            </w:r>
          </w:p>
        </w:tc>
        <w:tc>
          <w:tcPr>
            <w:tcW w:w="10020" w:type="dxa"/>
            <w:vAlign w:val="bottom"/>
            <w:gridSpan w:val="10"/>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Third Supplemental Indenture (2026 Notes), dated as of April 14, 2021, by and among the Company, certain of its subsidiaries, and</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3820" w:type="dxa"/>
            <w:vAlign w:val="bottom"/>
            <w:tcBorders>
              <w:right w:val="single" w:sz="8" w:color="0000FF"/>
            </w:tcBorders>
            <w:gridSpan w:val="5"/>
            <w:shd w:val="clear" w:color="auto" w:fill="0000FF"/>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20" w:type="dxa"/>
            <w:vAlign w:val="bottom"/>
            <w:gridSpan w:val="10"/>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 xml:space="preserve">Regions Bank, successor-in-interest to U.S. Bank National Association, as Trustee </w:t>
              </w:r>
              <w:r>
                <w:rPr>
                  <w:rFonts w:ascii="Times New Roman" w:cs="Times New Roman" w:eastAsia="Times New Roman" w:hAnsi="Times New Roman"/>
                  <w:sz w:val="18"/>
                  <w:szCs w:val="18"/>
                  <w:color w:val="000000"/>
                </w:rPr>
                <w:t>(previously filed as Exhibit 4.2 to the Company's</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3820" w:type="dxa"/>
            <w:vAlign w:val="bottom"/>
            <w:tcBorders>
              <w:right w:val="single" w:sz="8" w:color="0000EE"/>
            </w:tcBorders>
            <w:gridSpan w:val="5"/>
            <w:shd w:val="clear" w:color="auto" w:fill="0000FF"/>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Current Report on Form 8-K (Commission File No. 001-16109), filed with the Commission on April 14, 2021 and incorporated herein by</w:t>
            </w:r>
          </w:p>
        </w:tc>
      </w:tr>
      <w:tr>
        <w:trPr>
          <w:trHeight w:val="234"/>
        </w:trPr>
        <w:tc>
          <w:tcPr>
            <w:tcW w:w="1220" w:type="dxa"/>
            <w:vAlign w:val="bottom"/>
          </w:tcPr>
          <w:p>
            <w:pPr>
              <w:spacing w:after="0"/>
              <w:rPr>
                <w:sz w:val="20"/>
                <w:szCs w:val="20"/>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4.17</w:t>
            </w:r>
          </w:p>
        </w:tc>
        <w:tc>
          <w:tcPr>
            <w:tcW w:w="10020" w:type="dxa"/>
            <w:vAlign w:val="bottom"/>
            <w:gridSpan w:val="10"/>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Fourth Supplemental Indenture (2026 Notes), dated as of September 29, 2021, by and among the Company, certain of its subsidiaries, and</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7600" w:type="dxa"/>
            <w:vAlign w:val="bottom"/>
            <w:gridSpan w:val="7"/>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20" w:type="dxa"/>
            <w:vAlign w:val="bottom"/>
            <w:gridSpan w:val="10"/>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 xml:space="preserve">Regions Bank, successor-in-interest to U.S. Bank National Association, as Trustee </w:t>
              </w:r>
              <w:r>
                <w:rPr>
                  <w:rFonts w:ascii="Times New Roman" w:cs="Times New Roman" w:eastAsia="Times New Roman" w:hAnsi="Times New Roman"/>
                  <w:sz w:val="18"/>
                  <w:szCs w:val="18"/>
                  <w:color w:val="000000"/>
                </w:rPr>
                <w:t>(previously filed as Exhibit 4.3 to the Company's</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3820" w:type="dxa"/>
            <w:vAlign w:val="bottom"/>
            <w:tcBorders>
              <w:right w:val="single" w:sz="8" w:color="0000EE"/>
            </w:tcBorders>
            <w:gridSpan w:val="5"/>
            <w:shd w:val="clear" w:color="auto" w:fill="0000FF"/>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Current Report on Form 8-K (Commission File No. 001-16109), filed with the Commission on September 19, 2021 and incorporated</w:t>
            </w:r>
          </w:p>
        </w:tc>
      </w:tr>
      <w:tr>
        <w:trPr>
          <w:trHeight w:val="234"/>
        </w:trPr>
        <w:tc>
          <w:tcPr>
            <w:tcW w:w="1220" w:type="dxa"/>
            <w:vAlign w:val="bottom"/>
          </w:tcPr>
          <w:p>
            <w:pPr>
              <w:spacing w:after="0"/>
              <w:rPr>
                <w:sz w:val="20"/>
                <w:szCs w:val="20"/>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4.18</w:t>
            </w:r>
          </w:p>
        </w:tc>
        <w:tc>
          <w:tcPr>
            <w:tcW w:w="10020" w:type="dxa"/>
            <w:vAlign w:val="bottom"/>
            <w:gridSpan w:val="10"/>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Supplemental Indenture (2029 Notes) dated as of March 12, 2024, by and among the Company, certain subsidiary guarantors and Equiniti</w:t>
              </w:r>
            </w:hyperlink>
          </w:p>
        </w:tc>
      </w:tr>
      <w:tr>
        <w:trPr>
          <w:trHeight w:val="20"/>
        </w:trPr>
        <w:tc>
          <w:tcPr>
            <w:tcW w:w="122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760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20" w:type="dxa"/>
            <w:vAlign w:val="bottom"/>
            <w:gridSpan w:val="10"/>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 xml:space="preserve">Trust Company, LLC, as Trustee </w:t>
              </w:r>
              <w:r>
                <w:rPr>
                  <w:rFonts w:ascii="Times New Roman" w:cs="Times New Roman" w:eastAsia="Times New Roman" w:hAnsi="Times New Roman"/>
                  <w:sz w:val="18"/>
                  <w:szCs w:val="18"/>
                  <w:color w:val="000000"/>
                </w:rPr>
                <w:t>(previously filed as Exhibit 4.2 to the Company's Current Report on Form 8-K (Commission File no.</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EE"/>
            </w:tcBorders>
            <w:gridSpan w:val="2"/>
            <w:shd w:val="clear" w:color="auto" w:fill="0000FF"/>
          </w:tcPr>
          <w:p>
            <w:pPr>
              <w:spacing w:after="0" w:line="20" w:lineRule="exact"/>
              <w:rPr>
                <w:sz w:val="1"/>
                <w:szCs w:val="1"/>
                <w:color w:val="auto"/>
              </w:rPr>
            </w:pPr>
          </w:p>
        </w:tc>
        <w:tc>
          <w:tcPr>
            <w:tcW w:w="7640" w:type="dxa"/>
            <w:vAlign w:val="bottom"/>
            <w:gridSpan w:val="8"/>
          </w:tcPr>
          <w:p>
            <w:pPr>
              <w:spacing w:after="0" w:line="20" w:lineRule="exact"/>
              <w:rPr>
                <w:sz w:val="1"/>
                <w:szCs w:val="1"/>
                <w:color w:val="auto"/>
              </w:rPr>
            </w:pPr>
          </w:p>
        </w:tc>
      </w:tr>
      <w:tr>
        <w:trPr>
          <w:trHeight w:val="236"/>
        </w:trPr>
        <w:tc>
          <w:tcPr>
            <w:tcW w:w="1220" w:type="dxa"/>
            <w:vAlign w:val="bottom"/>
          </w:tcPr>
          <w:p>
            <w:pPr>
              <w:spacing w:after="0"/>
              <w:rPr>
                <w:sz w:val="20"/>
                <w:szCs w:val="20"/>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001-16109), filed with the Commission on March 12, 2024 and incorporated herein by this reference).</w:t>
            </w:r>
          </w:p>
        </w:tc>
      </w:tr>
      <w:tr>
        <w:trPr>
          <w:trHeight w:val="648"/>
        </w:trPr>
        <w:tc>
          <w:tcPr>
            <w:tcW w:w="1220" w:type="dxa"/>
            <w:vAlign w:val="bottom"/>
          </w:tcPr>
          <w:p>
            <w:pPr>
              <w:spacing w:after="0"/>
              <w:rPr>
                <w:sz w:val="24"/>
                <w:szCs w:val="24"/>
                <w:color w:val="auto"/>
              </w:rPr>
            </w:pPr>
          </w:p>
        </w:tc>
        <w:tc>
          <w:tcPr>
            <w:tcW w:w="550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color w:val="auto"/>
              </w:rPr>
              <w:t>95</w:t>
            </w:r>
          </w:p>
        </w:tc>
        <w:tc>
          <w:tcPr>
            <w:tcW w:w="7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3"/>
        </w:trPr>
        <w:tc>
          <w:tcPr>
            <w:tcW w:w="12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4.19</w:t>
            </w:r>
          </w:p>
        </w:tc>
        <w:tc>
          <w:tcPr>
            <w:tcW w:w="10040" w:type="dxa"/>
            <w:vAlign w:val="bottom"/>
            <w:gridSpan w:val="14"/>
          </w:tcPr>
          <w:p>
            <w:pPr>
              <w:spacing w:after="0"/>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 xml:space="preserve">Description of Securities of CoreCivic, Inc. </w:t>
              </w:r>
            </w:hyperlink>
            <w:r>
              <w:rPr>
                <w:rFonts w:ascii="Times New Roman" w:cs="Times New Roman" w:eastAsia="Times New Roman" w:hAnsi="Times New Roman"/>
                <w:sz w:val="18"/>
                <w:szCs w:val="18"/>
                <w:color w:val="000000"/>
                <w:w w:val="99"/>
              </w:rPr>
              <w:t>(previously</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filed as Exhibit 4.16 to the Company's Current Report on Form 10-K (Commission</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File no. 001-16109), filed with the Commission on February 20, 2024 and incorporated 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40" w:type="dxa"/>
            <w:vAlign w:val="bottom"/>
            <w:gridSpan w:val="14"/>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 xml:space="preserve">Fourth Amended and Restated Credit Agreement, dated October 11, 2023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10.1 to the Company's Current</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Report on Form 8-K (Commission File no. 001-16109, filed with the Commission on October 12, 2023 and incorporated herein by this</w:t>
            </w:r>
          </w:p>
        </w:tc>
      </w:tr>
      <w:tr>
        <w:trPr>
          <w:trHeight w:val="234"/>
        </w:trPr>
        <w:tc>
          <w:tcPr>
            <w:tcW w:w="1220" w:type="dxa"/>
            <w:vAlign w:val="bottom"/>
          </w:tcPr>
          <w:p>
            <w:pPr>
              <w:spacing w:after="0"/>
              <w:rPr>
                <w:sz w:val="20"/>
                <w:szCs w:val="20"/>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reference).</w:t>
            </w:r>
          </w:p>
        </w:tc>
      </w:tr>
      <w:tr>
        <w:trPr>
          <w:trHeight w:val="392"/>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40" w:type="dxa"/>
            <w:vAlign w:val="bottom"/>
            <w:gridSpan w:val="14"/>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 xml:space="preserve">Third Amended and Restated Credit Agreement, dated May 12, 2022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10.1 to the Company's Current Report on</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8-K (Commission File no. 001-16109), filed with the Commission on May 13, 2022 and incorporated 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40" w:type="dxa"/>
            <w:vAlign w:val="bottom"/>
            <w:gridSpan w:val="14"/>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 xml:space="preserve">Second Amended and Restated Credit Agreement, dated as of April 17, 2018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10.1 to the Company's Current</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1400" w:type="dxa"/>
            <w:vAlign w:val="bottom"/>
            <w:tcBorders>
              <w:left w:val="single" w:sz="8" w:color="0000EE"/>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Report on Form 8-K (Commission File no. 001-16109), filed with the Commission on April 18, 2018 and incorporated herein by this</w:t>
            </w:r>
          </w:p>
        </w:tc>
      </w:tr>
      <w:tr>
        <w:trPr>
          <w:trHeight w:val="234"/>
        </w:trPr>
        <w:tc>
          <w:tcPr>
            <w:tcW w:w="1220" w:type="dxa"/>
            <w:vAlign w:val="bottom"/>
          </w:tcPr>
          <w:p>
            <w:pPr>
              <w:spacing w:after="0"/>
              <w:rPr>
                <w:sz w:val="20"/>
                <w:szCs w:val="20"/>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gridSpan w:val="14"/>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First Amendment to Second Amended and Restated Credit Agreement, dated August 4, 2020, to the Second Amended and Restated Credit</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9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40" w:type="dxa"/>
            <w:vAlign w:val="bottom"/>
            <w:gridSpan w:val="14"/>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 xml:space="preserve">Agreement, dated as of April 17, 2018 </w:t>
              </w:r>
              <w:r>
                <w:rPr>
                  <w:rFonts w:ascii="Times New Roman" w:cs="Times New Roman" w:eastAsia="Times New Roman" w:hAnsi="Times New Roman"/>
                  <w:sz w:val="18"/>
                  <w:szCs w:val="18"/>
                  <w:color w:val="000000"/>
                </w:rPr>
                <w:t>(previously filed as Exhibit 10.2 to the Company's Current Report on Form 8-K (Commission File</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no. 001-16109), filed with the Commission on August 5, 2020 and incorporated 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40" w:type="dxa"/>
            <w:vAlign w:val="bottom"/>
            <w:gridSpan w:val="14"/>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 xml:space="preserve">The Company's Non-Employee Directors' Compensation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Appendix C to the Company's definitive Proxy</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14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Statement relating to its Annual Meeting of Stockholders (Commission File no. 001-16109), filed with the Commission on April 11, 2003</w:t>
            </w:r>
          </w:p>
        </w:tc>
      </w:tr>
      <w:tr>
        <w:trPr>
          <w:trHeight w:val="234"/>
        </w:trPr>
        <w:tc>
          <w:tcPr>
            <w:tcW w:w="1220" w:type="dxa"/>
            <w:vAlign w:val="bottom"/>
          </w:tcPr>
          <w:p>
            <w:pPr>
              <w:spacing w:after="0"/>
              <w:rPr>
                <w:sz w:val="20"/>
                <w:szCs w:val="20"/>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and incorporated 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40" w:type="dxa"/>
            <w:vAlign w:val="bottom"/>
            <w:gridSpan w:val="14"/>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 xml:space="preserve">The Company's Amended and Restated 2008 Stock Incentive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10.1 of the Company's Current Report on</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8-K (Commission File no. 001-16109), filed with the Commission on May 17, 2011 and incorporated 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40" w:type="dxa"/>
            <w:vAlign w:val="bottom"/>
            <w:gridSpan w:val="14"/>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Form of Executive Restricted Stock Unit Award Agreement for the Company's Amended and Restated 2008 Stock Incentive</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9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40" w:type="dxa"/>
            <w:vAlign w:val="bottom"/>
            <w:gridSpan w:val="14"/>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 xml:space="preserve">Plan </w:t>
              </w:r>
              <w:r>
                <w:rPr>
                  <w:rFonts w:ascii="Times New Roman" w:cs="Times New Roman" w:eastAsia="Times New Roman" w:hAnsi="Times New Roman"/>
                  <w:sz w:val="18"/>
                  <w:szCs w:val="18"/>
                  <w:color w:val="000000"/>
                </w:rPr>
                <w:t>(previously filed as Exhibit 10.1 to the Company's Current Report on Form 8-K (Commission File no. 001-16109), filed with the</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Commission on March 21, 2012 and incorporated 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40" w:type="dxa"/>
            <w:vAlign w:val="bottom"/>
            <w:gridSpan w:val="14"/>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Form of Non-Employee Directors Restricted Stock Unit Award Agreement with deferral provisions for the Company's Amended and</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9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40" w:type="dxa"/>
            <w:vAlign w:val="bottom"/>
            <w:gridSpan w:val="14"/>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 xml:space="preserve">Restated 2008 Stock Incentive Plan </w:t>
              </w:r>
              <w:r>
                <w:rPr>
                  <w:rFonts w:ascii="Times New Roman" w:cs="Times New Roman" w:eastAsia="Times New Roman" w:hAnsi="Times New Roman"/>
                  <w:sz w:val="18"/>
                  <w:szCs w:val="18"/>
                  <w:color w:val="000000"/>
                </w:rPr>
                <w:t>(previously filed as Exhibit 10.2 to the Company's Current Report on Form 8-K (Commission File no.</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001-16109), filed with the Commission on March 21, 2012 and incorporated 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40" w:type="dxa"/>
            <w:vAlign w:val="bottom"/>
            <w:gridSpan w:val="14"/>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Form of Non-Employee Directors Restricted Stock Unit Award Agreement for the Company's Amended and Restated 2008 Stock</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9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40" w:type="dxa"/>
            <w:vAlign w:val="bottom"/>
            <w:gridSpan w:val="14"/>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 xml:space="preserve">Incentive Plan </w:t>
              </w:r>
              <w:r>
                <w:rPr>
                  <w:rFonts w:ascii="Times New Roman" w:cs="Times New Roman" w:eastAsia="Times New Roman" w:hAnsi="Times New Roman"/>
                  <w:sz w:val="18"/>
                  <w:szCs w:val="18"/>
                  <w:color w:val="000000"/>
                </w:rPr>
                <w:t>(previously filed as Exhibit 10.3 to the Company's Current Report on Form 8-K (Commission File no. 001-16109), filed</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with the Commission on March 21, 2012 and incorporated 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40" w:type="dxa"/>
            <w:vAlign w:val="bottom"/>
            <w:gridSpan w:val="14"/>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Form of Restricted Stock Unit Award Agreement for the Company's Amended and Restated 2008 Stock Incentive Plan (Time-Vesting</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160" w:type="dxa"/>
            <w:vAlign w:val="bottom"/>
            <w:tcBorders>
              <w:right w:val="single" w:sz="8" w:color="0000FF"/>
            </w:tcBorders>
            <w:gridSpan w:val="3"/>
            <w:shd w:val="clear" w:color="auto" w:fill="0000FF"/>
          </w:tcPr>
          <w:p>
            <w:pPr>
              <w:spacing w:after="0" w:line="20" w:lineRule="exact"/>
              <w:rPr>
                <w:sz w:val="1"/>
                <w:szCs w:val="1"/>
                <w:color w:val="auto"/>
              </w:rPr>
            </w:pPr>
          </w:p>
        </w:tc>
        <w:tc>
          <w:tcPr>
            <w:tcW w:w="254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9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40" w:type="dxa"/>
            <w:vAlign w:val="bottom"/>
            <w:gridSpan w:val="14"/>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 xml:space="preserve">Form for Executive Officers) </w:t>
              </w:r>
              <w:r>
                <w:rPr>
                  <w:rFonts w:ascii="Times New Roman" w:cs="Times New Roman" w:eastAsia="Times New Roman" w:hAnsi="Times New Roman"/>
                  <w:sz w:val="18"/>
                  <w:szCs w:val="18"/>
                  <w:color w:val="000000"/>
                </w:rPr>
                <w:t>(previously filed as Exhibit 10.23 to the Company's Annual Report on Form 10-K (Commission File no.</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160" w:type="dxa"/>
            <w:vAlign w:val="bottom"/>
            <w:tcBorders>
              <w:right w:val="single" w:sz="8" w:color="0000EE"/>
            </w:tcBorders>
            <w:gridSpan w:val="3"/>
            <w:shd w:val="clear" w:color="auto" w:fill="0000FF"/>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001-16109), filed with the Commission on February 27, 2013 and incorporated 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40" w:type="dxa"/>
            <w:vAlign w:val="bottom"/>
            <w:gridSpan w:val="14"/>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 xml:space="preserve">Amended and Restated Non-Employee Director Deferred Compensation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10.1 to the Company's Current</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4700" w:type="dxa"/>
            <w:vAlign w:val="bottom"/>
            <w:tcBorders>
              <w:right w:val="single" w:sz="8" w:color="0000FF"/>
            </w:tcBorders>
            <w:gridSpan w:val="7"/>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Report on Form 8-K (Commission File no. 001-16109), filed with the Commission on August 16, 2007 and incorporated herein by this</w:t>
            </w:r>
          </w:p>
        </w:tc>
      </w:tr>
      <w:tr>
        <w:trPr>
          <w:trHeight w:val="234"/>
        </w:trPr>
        <w:tc>
          <w:tcPr>
            <w:tcW w:w="1220" w:type="dxa"/>
            <w:vAlign w:val="bottom"/>
          </w:tcPr>
          <w:p>
            <w:pPr>
              <w:spacing w:after="0"/>
              <w:rPr>
                <w:sz w:val="20"/>
                <w:szCs w:val="20"/>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40" w:type="dxa"/>
            <w:vAlign w:val="bottom"/>
            <w:gridSpan w:val="14"/>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 xml:space="preserve">Amendment to the Amended and Restated Non-Employee Director Deferred Compensation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10.35 to the</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4700" w:type="dxa"/>
            <w:vAlign w:val="bottom"/>
            <w:tcBorders>
              <w:right w:val="single" w:sz="8" w:color="0000FF"/>
            </w:tcBorders>
            <w:gridSpan w:val="7"/>
            <w:shd w:val="clear" w:color="auto" w:fill="0000FF"/>
          </w:tcPr>
          <w:p>
            <w:pPr>
              <w:spacing w:after="0" w:line="20" w:lineRule="exact"/>
              <w:rPr>
                <w:sz w:val="1"/>
                <w:szCs w:val="1"/>
                <w:color w:val="auto"/>
              </w:rPr>
            </w:pPr>
          </w:p>
        </w:tc>
        <w:tc>
          <w:tcPr>
            <w:tcW w:w="236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Company's Annual Report on Form 10-K (Commission File no. 001-16109), filed with the Commission on February 24, 2010 and</w:t>
            </w:r>
          </w:p>
        </w:tc>
      </w:tr>
      <w:tr>
        <w:trPr>
          <w:trHeight w:val="234"/>
        </w:trPr>
        <w:tc>
          <w:tcPr>
            <w:tcW w:w="1220" w:type="dxa"/>
            <w:vAlign w:val="bottom"/>
          </w:tcPr>
          <w:p>
            <w:pPr>
              <w:spacing w:after="0"/>
              <w:rPr>
                <w:sz w:val="20"/>
                <w:szCs w:val="20"/>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incorporated 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40" w:type="dxa"/>
            <w:vAlign w:val="bottom"/>
            <w:gridSpan w:val="14"/>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 xml:space="preserve">Amended and Restated Executive Deferred Compensation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10.2 to the Company's Current Report on</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4700" w:type="dxa"/>
            <w:vAlign w:val="bottom"/>
            <w:tcBorders>
              <w:right w:val="single" w:sz="8" w:color="0000FF"/>
            </w:tcBorders>
            <w:gridSpan w:val="7"/>
            <w:shd w:val="clear" w:color="auto" w:fill="0000FF"/>
          </w:tcPr>
          <w:p>
            <w:pPr>
              <w:spacing w:after="0" w:line="20" w:lineRule="exact"/>
              <w:rPr>
                <w:sz w:val="1"/>
                <w:szCs w:val="1"/>
                <w:color w:val="auto"/>
              </w:rPr>
            </w:pPr>
          </w:p>
        </w:tc>
        <w:tc>
          <w:tcPr>
            <w:tcW w:w="5340" w:type="dxa"/>
            <w:vAlign w:val="bottom"/>
            <w:tcBorders>
              <w:left w:val="single" w:sz="8" w:color="0000EE"/>
            </w:tcBorders>
            <w:gridSpan w:val="7"/>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8-K (Commission File no. 001-16109), filed with the Commission on August 16, 2007 and incorporated herein by this reference).</w:t>
            </w:r>
          </w:p>
        </w:tc>
      </w:tr>
      <w:tr>
        <w:trPr>
          <w:trHeight w:val="648"/>
        </w:trPr>
        <w:tc>
          <w:tcPr>
            <w:tcW w:w="1220" w:type="dxa"/>
            <w:vAlign w:val="bottom"/>
          </w:tcPr>
          <w:p>
            <w:pPr>
              <w:spacing w:after="0"/>
              <w:rPr>
                <w:sz w:val="24"/>
                <w:szCs w:val="24"/>
                <w:color w:val="auto"/>
              </w:rPr>
            </w:pPr>
          </w:p>
        </w:tc>
        <w:tc>
          <w:tcPr>
            <w:tcW w:w="4700" w:type="dxa"/>
            <w:vAlign w:val="bottom"/>
            <w:gridSpan w:val="7"/>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020" w:type="dxa"/>
            <w:vAlign w:val="bottom"/>
            <w:gridSpan w:val="17"/>
          </w:tcPr>
          <w:p>
            <w:pPr>
              <w:spacing w:after="0"/>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 xml:space="preserve">Form of Indemnification Agreement </w:t>
              </w:r>
            </w:hyperlink>
            <w:r>
              <w:rPr>
                <w:rFonts w:ascii="Times New Roman" w:cs="Times New Roman" w:eastAsia="Times New Roman" w:hAnsi="Times New Roman"/>
                <w:sz w:val="18"/>
                <w:szCs w:val="18"/>
                <w:color w:val="000000"/>
                <w:w w:val="99"/>
              </w:rPr>
              <w:t>(previously</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filed as Exhibit 10.1 to the Company's Current Report on Form 8-K (Commission File no.</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001-16109), filed with the Commission on August 18, 2009 and incorporated 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020" w:type="dxa"/>
            <w:vAlign w:val="bottom"/>
            <w:gridSpan w:val="17"/>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Term Loan Credit Agreement, dated as of December 18, 2019, by and among the Company, Nomura Corporate Funding Americas, LLC,</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20" w:type="dxa"/>
            <w:vAlign w:val="bottom"/>
            <w:gridSpan w:val="17"/>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 xml:space="preserve">as Administrative Agent and Nomura Securities International, Inc., as a Lead Arranger and Bookrunner </w:t>
              </w:r>
              <w:r>
                <w:rPr>
                  <w:rFonts w:ascii="Times New Roman" w:cs="Times New Roman" w:eastAsia="Times New Roman" w:hAnsi="Times New Roman"/>
                  <w:sz w:val="18"/>
                  <w:szCs w:val="18"/>
                  <w:color w:val="000000"/>
                </w:rPr>
                <w:t>(previously filed as Exhibit 10.19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to the Company's Annual Report on Form 10-K (Commission File no. 001-16109), filed with the Commission on February 20, 2020 and</w:t>
            </w:r>
          </w:p>
        </w:tc>
      </w:tr>
      <w:tr>
        <w:trPr>
          <w:trHeight w:val="234"/>
        </w:trPr>
        <w:tc>
          <w:tcPr>
            <w:tcW w:w="1220" w:type="dxa"/>
            <w:vAlign w:val="bottom"/>
          </w:tcPr>
          <w:p>
            <w:pPr>
              <w:spacing w:after="0"/>
              <w:rPr>
                <w:sz w:val="20"/>
                <w:szCs w:val="20"/>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incorporated 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020" w:type="dxa"/>
            <w:vAlign w:val="bottom"/>
            <w:gridSpan w:val="17"/>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First Amendment to Term Loan Credit Agreement, dated August 4, 2020, to the Term Loan Credit Agreement, dated as of December 18,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20" w:type="dxa"/>
            <w:vAlign w:val="bottom"/>
            <w:gridSpan w:val="17"/>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 xml:space="preserve">2019 </w:t>
              </w:r>
              <w:r>
                <w:rPr>
                  <w:rFonts w:ascii="Times New Roman" w:cs="Times New Roman" w:eastAsia="Times New Roman" w:hAnsi="Times New Roman"/>
                  <w:sz w:val="18"/>
                  <w:szCs w:val="18"/>
                  <w:color w:val="000000"/>
                </w:rPr>
                <w:t>(previously filed as Exhibit 10.1 to the Company's Current Report on Form 8-K (Commission File no. 001-16109), filed with the</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Commission on August 5, 2020 and incorporated 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020" w:type="dxa"/>
            <w:vAlign w:val="bottom"/>
            <w:gridSpan w:val="17"/>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 xml:space="preserve">The Company's Second Amended and Restated 2008 Stock Incentive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10.1 to the Company's Current</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Report on Form 8-K (Commission File no. 001-16109), filed with the Commission on May 12, 2017 and incorporated herein by this</w:t>
            </w:r>
          </w:p>
        </w:tc>
      </w:tr>
      <w:tr>
        <w:trPr>
          <w:trHeight w:val="234"/>
        </w:trPr>
        <w:tc>
          <w:tcPr>
            <w:tcW w:w="1220" w:type="dxa"/>
            <w:vAlign w:val="bottom"/>
          </w:tcPr>
          <w:p>
            <w:pPr>
              <w:spacing w:after="0"/>
              <w:rPr>
                <w:sz w:val="20"/>
                <w:szCs w:val="20"/>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020" w:type="dxa"/>
            <w:vAlign w:val="bottom"/>
            <w:gridSpan w:val="17"/>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 xml:space="preserve">The Company's 2020 Stock Incentive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10.1 to the Company's Current Report on Form 8-K (Commission</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File no. 001-16109), filed with the Commission on May 18, 2020 and incorporated 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020" w:type="dxa"/>
            <w:vAlign w:val="bottom"/>
            <w:gridSpan w:val="17"/>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 xml:space="preserve">Form of Executive Time-Based Restricted Share Unit Award Agreement for the Company's 2020 Stock Incentive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5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w w:val="99"/>
              </w:rPr>
              <w:t>Exhibit 10.1 to the Company's Quarterly Report on Form 10-Q (Commission File no. 001-16109), filed with the Commission on August 6,</w:t>
            </w:r>
          </w:p>
        </w:tc>
      </w:tr>
      <w:tr>
        <w:trPr>
          <w:trHeight w:val="234"/>
        </w:trPr>
        <w:tc>
          <w:tcPr>
            <w:tcW w:w="1220" w:type="dxa"/>
            <w:vAlign w:val="bottom"/>
          </w:tcPr>
          <w:p>
            <w:pPr>
              <w:spacing w:after="0"/>
              <w:rPr>
                <w:sz w:val="20"/>
                <w:szCs w:val="20"/>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2020 and incorporated 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0020" w:type="dxa"/>
            <w:vAlign w:val="bottom"/>
            <w:gridSpan w:val="17"/>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 xml:space="preserve">Form of Executive Performance-Based Restricted Share Unit Award Agreement for the Company's 2020 Stock Incentive Plan </w:t>
              </w:r>
            </w:hyperlink>
            <w:r>
              <w:rPr>
                <w:rFonts w:ascii="Times New Roman" w:cs="Times New Roman" w:eastAsia="Times New Roman" w:hAnsi="Times New Roman"/>
                <w:sz w:val="18"/>
                <w:szCs w:val="18"/>
                <w:color w:val="000000"/>
              </w:rPr>
              <w:t>(previously</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58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filed as Exhibit 10.2 to the Company's Quarterly Report on Form 10-Q (Commission File no. 001-16109), filed with the Commission on</w:t>
            </w:r>
          </w:p>
        </w:tc>
      </w:tr>
      <w:tr>
        <w:trPr>
          <w:trHeight w:val="234"/>
        </w:trPr>
        <w:tc>
          <w:tcPr>
            <w:tcW w:w="1220" w:type="dxa"/>
            <w:vAlign w:val="bottom"/>
          </w:tcPr>
          <w:p>
            <w:pPr>
              <w:spacing w:after="0"/>
              <w:rPr>
                <w:sz w:val="20"/>
                <w:szCs w:val="20"/>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August 6, 2020 and incorporated 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020" w:type="dxa"/>
            <w:vAlign w:val="bottom"/>
            <w:gridSpan w:val="17"/>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 xml:space="preserve">Form of Non-Employee Director Restricted Share Unit Agreement for the Company's 2020 Stock Incentive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580" w:type="dxa"/>
            <w:vAlign w:val="bottom"/>
            <w:tcBorders>
              <w:right w:val="single" w:sz="8" w:color="0000EE"/>
            </w:tcBorders>
            <w:gridSpan w:val="3"/>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20" w:type="dxa"/>
            <w:vAlign w:val="bottom"/>
          </w:tcPr>
          <w:p>
            <w:pPr>
              <w:spacing w:after="0"/>
              <w:rPr>
                <w:sz w:val="18"/>
                <w:szCs w:val="18"/>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w w:val="99"/>
              </w:rPr>
              <w:t>Exhibit 10.3 to the Company's Quarterly Report on Form 10-Q (Commission File no. 001-16109), filed with the Commission on August 6,</w:t>
            </w:r>
          </w:p>
        </w:tc>
      </w:tr>
      <w:tr>
        <w:trPr>
          <w:trHeight w:val="234"/>
        </w:trPr>
        <w:tc>
          <w:tcPr>
            <w:tcW w:w="1220" w:type="dxa"/>
            <w:vAlign w:val="bottom"/>
          </w:tcPr>
          <w:p>
            <w:pPr>
              <w:spacing w:after="0"/>
              <w:rPr>
                <w:sz w:val="20"/>
                <w:szCs w:val="20"/>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2020 and incorporated 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020" w:type="dxa"/>
            <w:vAlign w:val="bottom"/>
            <w:gridSpan w:val="17"/>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Form of Non-Employee Director Restricted Share Unit Agreement with deferral provisions for the Company's 2020 Stock Incentive</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20" w:type="dxa"/>
            <w:vAlign w:val="bottom"/>
            <w:gridSpan w:val="17"/>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 xml:space="preserve">Plan </w:t>
              </w:r>
              <w:r>
                <w:rPr>
                  <w:rFonts w:ascii="Times New Roman" w:cs="Times New Roman" w:eastAsia="Times New Roman" w:hAnsi="Times New Roman"/>
                  <w:sz w:val="18"/>
                  <w:szCs w:val="18"/>
                  <w:color w:val="000000"/>
                </w:rPr>
                <w:t>(previously filed as Exhibit 10.4 to the Company's Quarterly Report on Form 10-Q (Commission File no. 001-16109), filed with the</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Commission on August 6, 2020 and incorporated 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0020" w:type="dxa"/>
            <w:vAlign w:val="bottom"/>
            <w:gridSpan w:val="17"/>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 xml:space="preserve">The Company's Amended and Restated 2020 Stock Incentive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10.1 to the Company's Current Report on</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1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8-K (Commission File no. 001-16109), filed with the Commission on May 16, 2022 and incorporated herein by this reference).</w:t>
            </w:r>
          </w:p>
        </w:tc>
      </w:tr>
      <w:tr>
        <w:trPr>
          <w:trHeight w:val="297"/>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10.24#</w:t>
            </w:r>
          </w:p>
        </w:tc>
        <w:tc>
          <w:tcPr>
            <w:tcW w:w="10020" w:type="dxa"/>
            <w:vAlign w:val="bottom"/>
            <w:gridSpan w:val="17"/>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 xml:space="preserve">The Company's Executive Severance and Change in Control Plan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10.1 to the Company's Current Report on</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1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w w:val="99"/>
              </w:rPr>
              <w:t>Form 8-K (Commission File no. 001-16109), filed with the Commission on December 15, 2023 and incorporated herein by this reference).</w:t>
            </w:r>
          </w:p>
        </w:tc>
      </w:tr>
      <w:tr>
        <w:trPr>
          <w:trHeight w:val="378"/>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Second Amended and Restated Insider Trading Guidelines</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1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Subsidiaries of the Company.</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14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22.1*</w:t>
            </w: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List of Guarantor Subsidiaries.</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220" w:type="dxa"/>
            <w:vAlign w:val="bottom"/>
            <w:tcBorders>
              <w:right w:val="single" w:sz="8" w:color="0000EE"/>
            </w:tcBorders>
            <w:gridSpan w:val="4"/>
            <w:shd w:val="clear" w:color="auto" w:fill="0000FF"/>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4380" w:type="dxa"/>
            <w:vAlign w:val="bottom"/>
            <w:tcBorders>
              <w:right w:val="single" w:sz="8" w:color="0000EE"/>
            </w:tcBorders>
            <w:gridSpan w:val="8"/>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the Company's Chief Executive Officer pursuant to Securities and Exchange Act Rules 13a-14(a) and 15d-14(a), as</w:t>
            </w: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4920" w:type="dxa"/>
            <w:vAlign w:val="bottom"/>
            <w:gridSpan w:val="10"/>
            <w:shd w:val="clear" w:color="auto" w:fill="0000FF"/>
          </w:tcPr>
          <w:p>
            <w:pPr>
              <w:spacing w:after="0" w:line="20" w:lineRule="exact"/>
              <w:rPr>
                <w:sz w:val="1"/>
                <w:szCs w:val="1"/>
                <w:color w:val="auto"/>
              </w:rPr>
            </w:pPr>
          </w:p>
        </w:tc>
        <w:tc>
          <w:tcPr>
            <w:tcW w:w="508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0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668"/>
        </w:trPr>
        <w:tc>
          <w:tcPr>
            <w:tcW w:w="1220" w:type="dxa"/>
            <w:vAlign w:val="bottom"/>
          </w:tcPr>
          <w:p>
            <w:pPr>
              <w:spacing w:after="0"/>
              <w:rPr>
                <w:sz w:val="24"/>
                <w:szCs w:val="24"/>
                <w:color w:val="auto"/>
              </w:rPr>
            </w:pPr>
          </w:p>
        </w:tc>
        <w:tc>
          <w:tcPr>
            <w:tcW w:w="4820" w:type="dxa"/>
            <w:vAlign w:val="bottom"/>
            <w:tcBorders>
              <w:top w:val="single" w:sz="8" w:color="0000FF"/>
            </w:tcBorders>
            <w:gridSpan w:val="9"/>
          </w:tcPr>
          <w:p>
            <w:pPr>
              <w:jc w:val="right"/>
              <w:ind w:right="32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the Company's Chief Financial Officer pursuant to Securities and Exchange Act Rules 13a-14(a) and 15d-14(a), as</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840" w:type="dxa"/>
            <w:vAlign w:val="bottom"/>
            <w:tcBorders>
              <w:right w:val="single" w:sz="8" w:color="0000FF"/>
            </w:tcBorders>
            <w:shd w:val="clear" w:color="auto" w:fill="0000FF"/>
          </w:tcPr>
          <w:p>
            <w:pPr>
              <w:spacing w:after="0" w:line="20" w:lineRule="exact"/>
              <w:rPr>
                <w:sz w:val="1"/>
                <w:szCs w:val="1"/>
                <w:color w:val="auto"/>
              </w:rPr>
            </w:pPr>
          </w:p>
        </w:tc>
        <w:tc>
          <w:tcPr>
            <w:tcW w:w="5060" w:type="dxa"/>
            <w:vAlign w:val="bottom"/>
            <w:shd w:val="clear" w:color="auto" w:fill="0000FF"/>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840" w:type="dxa"/>
            <w:vAlign w:val="bottom"/>
            <w:tcBorders>
              <w:right w:val="single" w:sz="8" w:color="0000EE"/>
            </w:tcBorders>
            <w:shd w:val="clear" w:color="auto" w:fill="0000FF"/>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the Company's Chief Executive Officer pursuant to 18 U.S.C. Section 1350, as adopted pursuant to Section 906 of the</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7900" w:type="dxa"/>
            <w:vAlign w:val="bottom"/>
            <w:gridSpan w:val="2"/>
            <w:shd w:val="clear" w:color="auto" w:fill="0000FF"/>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900" w:type="dxa"/>
            <w:vAlign w:val="bottom"/>
            <w:gridSpan w:val="2"/>
          </w:tcPr>
          <w:p>
            <w:pPr>
              <w:spacing w:after="0" w:line="20" w:lineRule="exact"/>
              <w:rPr>
                <w:sz w:val="1"/>
                <w:szCs w:val="1"/>
                <w:color w:val="auto"/>
              </w:rPr>
            </w:pP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the Company's Chief Financial Officer pursuant to 18 U.S.C. Section 1350, as adopted pursuant to Section 906 of the</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0000" w:type="dxa"/>
            <w:vAlign w:val="bottom"/>
            <w:gridSpan w:val="3"/>
            <w:shd w:val="clear" w:color="auto" w:fill="0000FF"/>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left="1200" w:hanging="1179"/>
        <w:spacing w:after="0" w:line="282" w:lineRule="auto"/>
        <w:tabs>
          <w:tab w:leader="none" w:pos="1200" w:val="left"/>
        </w:tabs>
        <w:numPr>
          <w:ilvl w:val="0"/>
          <w:numId w:val="35"/>
        </w:numPr>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u w:val="single" w:color="auto"/>
            <w:color w:val="0000FF"/>
          </w:rPr>
          <w:t>CoreCivic, Inc. NYSE Executive Compensation Recoupment Policy</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97 to the Company's Current Report 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Form 10-K (Commission File no. 001-16109), filed with the Commission on February 20, 2024 and incorporated herein by this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-185420</wp:posOffset>
            </wp:positionV>
            <wp:extent cx="31718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6">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67" w:lineRule="exact"/>
        <w:rPr>
          <w:sz w:val="20"/>
          <w:szCs w:val="20"/>
          <w:color w:val="auto"/>
        </w:rPr>
      </w:pPr>
    </w:p>
    <w:p>
      <w:pPr>
        <w:sectPr>
          <w:pgSz w:w="11900" w:h="16838" w:orient="portrait"/>
          <w:cols w:equalWidth="0" w:num="2">
            <w:col w:w="720" w:space="480"/>
            <w:col w:w="10020"/>
          </w:cols>
          <w:pgMar w:left="320" w:top="1440"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 Extension Schema.</w:t>
      </w:r>
    </w:p>
    <w:p>
      <w:pPr>
        <w:spacing w:after="0" w:line="131" w:lineRule="exact"/>
        <w:rPr>
          <w:sz w:val="20"/>
          <w:szCs w:val="20"/>
          <w:color w:val="auto"/>
        </w:rPr>
      </w:pPr>
    </w:p>
    <w:p>
      <w:pPr>
        <w:sectPr>
          <w:pgSz w:w="11900" w:h="16838" w:orient="portrait"/>
          <w:cols w:equalWidth="0" w:num="2">
            <w:col w:w="780" w:space="420"/>
            <w:col w:w="10020"/>
          </w:cols>
          <w:pgMar w:left="320" w:top="1440"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p>
      <w:pPr>
        <w:spacing w:after="0" w:line="142" w:lineRule="exact"/>
        <w:rPr>
          <w:sz w:val="20"/>
          <w:szCs w:val="20"/>
          <w:color w:val="auto"/>
        </w:rPr>
      </w:pPr>
    </w:p>
    <w:p>
      <w:pPr>
        <w:sectPr>
          <w:pgSz w:w="11900" w:h="16838" w:orient="portrait"/>
          <w:cols w:equalWidth="0" w:num="2">
            <w:col w:w="780" w:space="420"/>
            <w:col w:w="10020"/>
          </w:cols>
          <w:pgMar w:left="320" w:top="1440"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p>
      <w:pPr>
        <w:spacing w:after="0" w:line="131" w:lineRule="exact"/>
        <w:rPr>
          <w:sz w:val="20"/>
          <w:szCs w:val="20"/>
          <w:color w:val="auto"/>
        </w:rPr>
      </w:pPr>
    </w:p>
    <w:p>
      <w:pPr>
        <w:sectPr>
          <w:pgSz w:w="11900" w:h="16838" w:orient="portrait"/>
          <w:cols w:equalWidth="0" w:num="2">
            <w:col w:w="760" w:space="440"/>
            <w:col w:w="10020"/>
          </w:cols>
          <w:pgMar w:left="320" w:top="1440"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Label Linkbase.</w:t>
      </w:r>
    </w:p>
    <w:p>
      <w:pPr>
        <w:spacing w:after="0" w:line="142" w:lineRule="exact"/>
        <w:rPr>
          <w:sz w:val="20"/>
          <w:szCs w:val="20"/>
          <w:color w:val="auto"/>
        </w:rPr>
      </w:pPr>
    </w:p>
    <w:p>
      <w:pPr>
        <w:sectPr>
          <w:pgSz w:w="11900" w:h="16838" w:orient="portrait"/>
          <w:cols w:equalWidth="0" w:num="2">
            <w:col w:w="780" w:space="420"/>
            <w:col w:w="10020"/>
          </w:cols>
          <w:pgMar w:left="320" w:top="1440"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w:t>
      </w:r>
    </w:p>
    <w:p>
      <w:pPr>
        <w:spacing w:after="0" w:line="142" w:lineRule="exact"/>
        <w:rPr>
          <w:sz w:val="20"/>
          <w:szCs w:val="20"/>
          <w:color w:val="auto"/>
        </w:rPr>
      </w:pPr>
    </w:p>
    <w:p>
      <w:pPr>
        <w:sectPr>
          <w:pgSz w:w="11900" w:h="16838" w:orient="portrait"/>
          <w:cols w:equalWidth="0" w:num="2">
            <w:col w:w="760" w:space="440"/>
            <w:col w:w="10020"/>
          </w:cols>
          <w:pgMar w:left="320" w:top="1440"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cover page from the Company's Annual Report on Form 10-K for the fiscal year ended December 31, 2024, formatted in Inline XBRL (included in Exhibit 101).</w:t>
      </w:r>
    </w:p>
    <w:p>
      <w:pPr>
        <w:spacing w:after="0" w:line="200" w:lineRule="exact"/>
        <w:rPr>
          <w:sz w:val="20"/>
          <w:szCs w:val="20"/>
          <w:color w:val="auto"/>
        </w:rPr>
      </w:pPr>
    </w:p>
    <w:p>
      <w:pPr>
        <w:sectPr>
          <w:pgSz w:w="11900" w:h="16838" w:orient="portrait"/>
          <w:cols w:equalWidth="0" w:num="2">
            <w:col w:w="480" w:space="720"/>
            <w:col w:w="10020"/>
          </w:cols>
          <w:pgMar w:left="320" w:top="1440" w:right="359" w:bottom="1440" w:gutter="0" w:footer="0" w:header="0"/>
          <w:type w:val="continuous"/>
        </w:sectPr>
      </w:pPr>
    </w:p>
    <w:p>
      <w:pPr>
        <w:spacing w:after="0" w:line="22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Annual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6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CORECIVIC,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2025</w:t>
            </w:r>
          </w:p>
        </w:tc>
        <w:tc>
          <w:tcPr>
            <w:tcW w:w="76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By: /s/ Damon T. Hininger</w:t>
            </w:r>
          </w:p>
        </w:tc>
      </w:tr>
      <w:tr>
        <w:trPr>
          <w:trHeight w:val="228"/>
        </w:trPr>
        <w:tc>
          <w:tcPr>
            <w:tcW w:w="35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Damon T. Hininger, Chief Executive Officer</w:t>
            </w:r>
          </w:p>
        </w:tc>
      </w:tr>
    </w:tbl>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Damon T. Hininger</w:t>
            </w:r>
          </w:p>
        </w:tc>
        <w:tc>
          <w:tcPr>
            <w:tcW w:w="1740" w:type="dxa"/>
            <w:vAlign w:val="bottom"/>
            <w:tcBorders>
              <w:bottom w:val="single" w:sz="8" w:color="auto"/>
            </w:tcBorders>
          </w:tcPr>
          <w:p>
            <w:pPr>
              <w:spacing w:after="0"/>
              <w:rPr>
                <w:sz w:val="20"/>
                <w:szCs w:val="20"/>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191"/>
        </w:trPr>
        <w:tc>
          <w:tcPr>
            <w:tcW w:w="54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Damon T. Hininger, Chief Executive Officer</w:t>
            </w:r>
          </w:p>
        </w:tc>
        <w:tc>
          <w:tcPr>
            <w:tcW w:w="174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23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174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32"/>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M. Garfinkle</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191"/>
        </w:trPr>
        <w:tc>
          <w:tcPr>
            <w:tcW w:w="54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David M. Garfinkle, Executive Vice President and Chief Financial Officer</w:t>
            </w:r>
          </w:p>
        </w:tc>
        <w:tc>
          <w:tcPr>
            <w:tcW w:w="174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23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74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32"/>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A. Emkes</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22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A. Emkes, Chairman of the Board of Directors</w:t>
            </w:r>
          </w:p>
        </w:tc>
        <w:tc>
          <w:tcPr>
            <w:tcW w:w="17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14"/>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J. Dennis</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22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J. Dennis, Director</w:t>
            </w:r>
          </w:p>
        </w:tc>
        <w:tc>
          <w:tcPr>
            <w:tcW w:w="17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14"/>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Alexander R. Fischer</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22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Alexander R. Fischer</w:t>
            </w:r>
          </w:p>
        </w:tc>
        <w:tc>
          <w:tcPr>
            <w:tcW w:w="17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14"/>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Catherine Hernandez-Blades</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22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Catherine Hernandez-Blades</w:t>
            </w:r>
          </w:p>
        </w:tc>
        <w:tc>
          <w:tcPr>
            <w:tcW w:w="17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14"/>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Stacia A. Hylton</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22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Stacia A. Hylton, Director</w:t>
            </w:r>
          </w:p>
        </w:tc>
        <w:tc>
          <w:tcPr>
            <w:tcW w:w="17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14"/>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Harley G. Lappin</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22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Harley G. Lappin, Director</w:t>
            </w:r>
          </w:p>
        </w:tc>
        <w:tc>
          <w:tcPr>
            <w:tcW w:w="17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14"/>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Anne L. Mariucci</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22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Anne L. Mariucci, Director</w:t>
            </w:r>
          </w:p>
        </w:tc>
        <w:tc>
          <w:tcPr>
            <w:tcW w:w="17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14"/>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Thurgood Marshall, Jr.</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22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Thurgood Marshall, Jr., Director</w:t>
            </w:r>
          </w:p>
        </w:tc>
        <w:tc>
          <w:tcPr>
            <w:tcW w:w="17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14"/>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Devin I. Murphy</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22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Devin I. Murphy, Director</w:t>
            </w:r>
          </w:p>
        </w:tc>
        <w:tc>
          <w:tcPr>
            <w:tcW w:w="17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414"/>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R. Prann, Jr.</w:t>
            </w:r>
          </w:p>
        </w:tc>
        <w:tc>
          <w:tcPr>
            <w:tcW w:w="1740" w:type="dxa"/>
            <w:vAlign w:val="bottom"/>
            <w:tcBorders>
              <w:bottom w:val="single" w:sz="8" w:color="auto"/>
            </w:tcBorders>
          </w:tcPr>
          <w:p>
            <w:pPr>
              <w:spacing w:after="0"/>
              <w:rPr>
                <w:sz w:val="24"/>
                <w:szCs w:val="24"/>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22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R. Prann, Jr., Director</w:t>
            </w:r>
          </w:p>
        </w:tc>
        <w:tc>
          <w:tcPr>
            <w:tcW w:w="17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846"/>
        </w:trPr>
        <w:tc>
          <w:tcPr>
            <w:tcW w:w="5460" w:type="dxa"/>
            <w:vAlign w:val="bottom"/>
          </w:tcPr>
          <w:p>
            <w:pPr>
              <w:spacing w:after="0"/>
              <w:rPr>
                <w:sz w:val="24"/>
                <w:szCs w:val="24"/>
                <w:color w:val="auto"/>
              </w:rPr>
            </w:pPr>
          </w:p>
        </w:tc>
        <w:tc>
          <w:tcPr>
            <w:tcW w:w="174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99</w:t>
            </w:r>
          </w:p>
        </w:tc>
        <w:tc>
          <w:tcPr>
            <w:tcW w:w="4040" w:type="dxa"/>
            <w:vAlign w:val="bottom"/>
          </w:tcPr>
          <w:p>
            <w:pPr>
              <w:spacing w:after="0"/>
              <w:rPr>
                <w:sz w:val="24"/>
                <w:szCs w:val="24"/>
                <w:color w:val="auto"/>
              </w:rPr>
            </w:pPr>
          </w:p>
        </w:tc>
      </w:tr>
      <w:tr>
        <w:trPr>
          <w:trHeight w:val="763"/>
        </w:trPr>
        <w:tc>
          <w:tcPr>
            <w:tcW w:w="54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8"/>
        </w:trPr>
        <w:tc>
          <w:tcPr>
            <w:tcW w:w="90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 AND SCHEDULE</w:t>
            </w:r>
          </w:p>
        </w:tc>
        <w:tc>
          <w:tcPr>
            <w:tcW w:w="18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0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of CoreCivic, Inc. and Subsidiaries</w:t>
            </w:r>
          </w:p>
        </w:tc>
        <w:tc>
          <w:tcPr>
            <w:tcW w:w="186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9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CC"/>
              </w:rPr>
              <w:t>(PCAOB ID 00042)</w:t>
            </w:r>
          </w:p>
        </w:tc>
        <w:tc>
          <w:tcPr>
            <w:tcW w:w="18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1860" w:type="dxa"/>
            <w:vAlign w:val="bottom"/>
          </w:tcPr>
          <w:p>
            <w:pPr>
              <w:ind w:left="1520"/>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2024, 2023 and 2022</w:t>
            </w:r>
          </w:p>
        </w:tc>
        <w:tc>
          <w:tcPr>
            <w:tcW w:w="2200" w:type="dxa"/>
            <w:vAlign w:val="bottom"/>
            <w:gridSpan w:val="3"/>
          </w:tcPr>
          <w:p>
            <w:pPr>
              <w:spacing w:after="0"/>
              <w:rPr>
                <w:sz w:val="17"/>
                <w:szCs w:val="17"/>
                <w:color w:val="auto"/>
              </w:rPr>
            </w:pPr>
          </w:p>
        </w:tc>
        <w:tc>
          <w:tcPr>
            <w:tcW w:w="1860" w:type="dxa"/>
            <w:vAlign w:val="bottom"/>
          </w:tcPr>
          <w:p>
            <w:pPr>
              <w:ind w:left="1520"/>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20" w:type="dxa"/>
            <w:vAlign w:val="bottom"/>
          </w:tcPr>
          <w:p>
            <w:pPr>
              <w:spacing w:after="0"/>
              <w:rPr>
                <w:sz w:val="17"/>
                <w:szCs w:val="17"/>
                <w:color w:val="auto"/>
              </w:rPr>
            </w:pPr>
          </w:p>
        </w:tc>
        <w:tc>
          <w:tcPr>
            <w:tcW w:w="90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1860" w:type="dxa"/>
            <w:vAlign w:val="bottom"/>
          </w:tcPr>
          <w:p>
            <w:pPr>
              <w:ind w:left="1520"/>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2024, 2023 and 2022</w:t>
            </w:r>
          </w:p>
        </w:tc>
        <w:tc>
          <w:tcPr>
            <w:tcW w:w="1500" w:type="dxa"/>
            <w:vAlign w:val="bottom"/>
          </w:tcPr>
          <w:p>
            <w:pPr>
              <w:spacing w:after="0"/>
              <w:rPr>
                <w:sz w:val="17"/>
                <w:szCs w:val="17"/>
                <w:color w:val="auto"/>
              </w:rPr>
            </w:pPr>
          </w:p>
        </w:tc>
        <w:tc>
          <w:tcPr>
            <w:tcW w:w="1860" w:type="dxa"/>
            <w:vAlign w:val="bottom"/>
          </w:tcPr>
          <w:p>
            <w:pPr>
              <w:ind w:left="1520"/>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20" w:type="dxa"/>
            <w:vAlign w:val="bottom"/>
          </w:tcPr>
          <w:p>
            <w:pPr>
              <w:spacing w:after="0"/>
              <w:rPr>
                <w:sz w:val="17"/>
                <w:szCs w:val="17"/>
                <w:color w:val="auto"/>
              </w:rPr>
            </w:pPr>
          </w:p>
        </w:tc>
        <w:tc>
          <w:tcPr>
            <w:tcW w:w="90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860" w:type="dxa"/>
            <w:vAlign w:val="bottom"/>
          </w:tcPr>
          <w:p>
            <w:pPr>
              <w:ind w:left="1520"/>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20" w:type="dxa"/>
            <w:vAlign w:val="bottom"/>
          </w:tcPr>
          <w:p>
            <w:pPr>
              <w:spacing w:after="0"/>
              <w:rPr>
                <w:sz w:val="17"/>
                <w:szCs w:val="17"/>
                <w:color w:val="auto"/>
              </w:rPr>
            </w:pPr>
          </w:p>
        </w:tc>
        <w:tc>
          <w:tcPr>
            <w:tcW w:w="31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Schedule III</w:t>
            </w:r>
          </w:p>
        </w:tc>
        <w:tc>
          <w:tcPr>
            <w:tcW w:w="5920" w:type="dxa"/>
            <w:vAlign w:val="bottom"/>
            <w:gridSpan w:val="6"/>
          </w:tcPr>
          <w:p>
            <w:pPr>
              <w:spacing w:after="0"/>
              <w:rPr>
                <w:sz w:val="17"/>
                <w:szCs w:val="17"/>
                <w:color w:val="auto"/>
              </w:rPr>
            </w:pPr>
          </w:p>
        </w:tc>
        <w:tc>
          <w:tcPr>
            <w:tcW w:w="1860" w:type="dxa"/>
            <w:vAlign w:val="bottom"/>
          </w:tcPr>
          <w:p>
            <w:pPr>
              <w:ind w:left="1520"/>
              <w:spacing w:after="0" w:line="196" w:lineRule="exact"/>
              <w:rPr>
                <w:sz w:val="20"/>
                <w:szCs w:val="20"/>
                <w:color w:val="auto"/>
              </w:rPr>
            </w:pPr>
            <w:r>
              <w:rPr>
                <w:rFonts w:ascii="Times New Roman" w:cs="Times New Roman" w:eastAsia="Times New Roman" w:hAnsi="Times New Roman"/>
                <w:sz w:val="18"/>
                <w:szCs w:val="18"/>
                <w:color w:val="auto"/>
                <w:w w:val="93"/>
              </w:rPr>
              <w:t>F-39</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13" w:right="6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CoreCivic,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CoreCivic, Inc. and subsidiaries (the Company) as of December 31, 2024 and 2023, the related consolidated statements of operations, stockholders' equity, and cash flows for each of the three years in the period ended December 31, 2024, and the related notes and financial statement schedule listed in the Index at Item 15(2)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21, 2025 expressed an unqualified opinion thereon.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spacing w:after="0" w:line="19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b w:val="1"/>
          <w:bCs w:val="1"/>
          <w:i w:val="1"/>
          <w:iCs w:val="1"/>
          <w:color w:val="auto"/>
        </w:rPr>
        <w:t>Impairment of Idle Facilities</w:t>
      </w:r>
    </w:p>
    <w:p>
      <w:pPr>
        <w:sectPr>
          <w:pgSz w:w="11900" w:h="16838" w:orient="portrait"/>
          <w:cols w:equalWidth="0" w:num="1">
            <w:col w:w="11200"/>
          </w:cols>
          <w:pgMar w:left="340" w:top="1440" w:right="35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2024, the Company’s property and equipment, net of accumulated depreciation, was $2.1 billion, which includes $315.2 million related to nine idle correctional facilities and $3.8 million related to other idle facilities. As discussed in Note 2 and Note 5 to the consolidated financial statements, long-lived assets other than goodwill are reviewed for impairment when circumstances indicate the carrying value of an asset may not be recoverable. The Company estimates undiscounted cash flows for each facility with an impairment indicator, including the idle facilities described above. When the estimated undiscounted cash flows associated with the asset or group of assets are less than their carrying value, an impairment is recognized as the difference between the carrying value of the asset and its fair value.</w:t>
      </w:r>
    </w:p>
    <w:p>
      <w:pPr>
        <w:spacing w:after="0" w:line="192" w:lineRule="exact"/>
        <w:rPr>
          <w:sz w:val="20"/>
          <w:szCs w:val="20"/>
          <w:color w:val="auto"/>
        </w:rPr>
      </w:pPr>
    </w:p>
    <w:p>
      <w:pPr>
        <w:sectPr>
          <w:pgSz w:w="11900" w:h="16838" w:orient="portrait"/>
          <w:cols w:equalWidth="0" w:num="2">
            <w:col w:w="1980" w:space="720"/>
            <w:col w:w="8500"/>
          </w:cols>
          <w:pgMar w:left="340" w:top="1440" w:right="359" w:bottom="1440" w:gutter="0" w:footer="0" w:header="0"/>
          <w:type w:val="continuous"/>
        </w:sectPr>
      </w:pPr>
    </w:p>
    <w:p>
      <w:pPr>
        <w:jc w:val="both"/>
        <w:ind w:left="2700"/>
        <w:spacing w:after="0" w:line="258" w:lineRule="auto"/>
        <w:rPr>
          <w:sz w:val="20"/>
          <w:szCs w:val="20"/>
          <w:color w:val="auto"/>
        </w:rPr>
      </w:pPr>
      <w:r>
        <w:rPr>
          <w:rFonts w:ascii="Times New Roman" w:cs="Times New Roman" w:eastAsia="Times New Roman" w:hAnsi="Times New Roman"/>
          <w:sz w:val="18"/>
          <w:szCs w:val="18"/>
          <w:color w:val="auto"/>
        </w:rPr>
        <w:t>Auditing management’s evaluation of idle facilities for impairment was subjective due to the estimation uncertainty in determining the future undiscounted cash flows of the idle facilities, including whether and when the Company will obtain contracts to utilize these facilities in the future. These assumptions can be affected by expectations about market conditions as well as management’s intent to hold and operate each facility over the term and in the manner assumed in the analysis.</w:t>
      </w:r>
    </w:p>
    <w:p>
      <w:pPr>
        <w:sectPr>
          <w:pgSz w:w="11900" w:h="16838" w:orient="portrait"/>
          <w:cols w:equalWidth="0" w:num="1">
            <w:col w:w="11200"/>
          </w:cols>
          <w:pgMar w:left="340" w:top="1440" w:right="359" w:bottom="1440" w:gutter="0" w:footer="0" w:header="0"/>
          <w:type w:val="continuous"/>
        </w:sectPr>
      </w:pPr>
    </w:p>
    <w:p>
      <w:pPr>
        <w:spacing w:after="0" w:line="18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long-lived asset impairment review process over idle facilities, including controls over management’s review of assumptions supporting the projected utilization of idle facilities and the estimated undiscounted cash flows for each facility.</w:t>
      </w:r>
    </w:p>
    <w:p>
      <w:pPr>
        <w:spacing w:after="0" w:line="180" w:lineRule="exact"/>
        <w:rPr>
          <w:sz w:val="20"/>
          <w:szCs w:val="20"/>
          <w:color w:val="auto"/>
        </w:rPr>
      </w:pPr>
    </w:p>
    <w:p>
      <w:pPr>
        <w:sectPr>
          <w:pgSz w:w="11900" w:h="16838" w:orient="portrait"/>
          <w:cols w:equalWidth="0" w:num="2">
            <w:col w:w="2400" w:space="300"/>
            <w:col w:w="8500"/>
          </w:cols>
          <w:pgMar w:left="340" w:top="1440" w:right="359" w:bottom="1440" w:gutter="0" w:footer="0" w:header="0"/>
          <w:type w:val="continuous"/>
        </w:sectPr>
      </w:pPr>
    </w:p>
    <w:p>
      <w:pPr>
        <w:jc w:val="both"/>
        <w:ind w:left="2700"/>
        <w:spacing w:after="0" w:line="261" w:lineRule="auto"/>
        <w:rPr>
          <w:sz w:val="20"/>
          <w:szCs w:val="20"/>
          <w:color w:val="auto"/>
        </w:rPr>
      </w:pPr>
      <w:r>
        <w:rPr>
          <w:rFonts w:ascii="Times New Roman" w:cs="Times New Roman" w:eastAsia="Times New Roman" w:hAnsi="Times New Roman"/>
          <w:sz w:val="18"/>
          <w:szCs w:val="18"/>
          <w:color w:val="auto"/>
        </w:rPr>
        <w:t>To test the Company’s long-lived asset impairment analysis, we performed audit procedures that included, among others, evaluating evidence supporting the projected utilization of idle facilities and the recoverability of net book values based on anticipated cash flows. We also performed sensitivity analyses to evaluate the impact of changes in assumptions on estimated undiscounted cash flows of idle facilities.</w:t>
      </w:r>
    </w:p>
    <w:p>
      <w:pPr>
        <w:sectPr>
          <w:pgSz w:w="11900" w:h="16838" w:orient="portrait"/>
          <w:cols w:equalWidth="0" w:num="1">
            <w:col w:w="11200"/>
          </w:cols>
          <w:pgMar w:left="340" w:top="1440" w:right="359" w:bottom="1440" w:gutter="0" w:footer="0" w:header="0"/>
          <w:type w:val="continuous"/>
        </w:sect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492125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vMerge w:val="restart"/>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vMerge w:val="restart"/>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107,487</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14,623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60" w:type="dxa"/>
            <w:vAlign w:val="bottom"/>
            <w:gridSpan w:val="2"/>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Accounts receivable, net of credit loss reserve of $4,471 and $6,827,</w:t>
            </w:r>
          </w:p>
        </w:tc>
        <w:tc>
          <w:tcPr>
            <w:tcW w:w="34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288,738</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shd w:val="clear" w:color="auto" w:fill="CFF0FC"/>
          </w:tcPr>
          <w:p>
            <w:pPr>
              <w:spacing w:after="0"/>
              <w:rPr>
                <w:sz w:val="20"/>
                <w:szCs w:val="20"/>
                <w:color w:val="auto"/>
              </w:rPr>
            </w:pPr>
          </w:p>
        </w:tc>
        <w:tc>
          <w:tcPr>
            <w:tcW w:w="120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312,174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38,970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tcBorders>
              <w:top w:val="single" w:sz="8" w:color="CFF0FC"/>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449,818</w:t>
            </w:r>
          </w:p>
        </w:tc>
        <w:tc>
          <w:tcPr>
            <w:tcW w:w="28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474,914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 estate and related assets: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6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$1,905,508</w:t>
            </w:r>
          </w:p>
        </w:tc>
        <w:tc>
          <w:tcPr>
            <w:tcW w:w="34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2,060,024</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and $1,821,015, respectively</w:t>
            </w:r>
          </w:p>
        </w:tc>
        <w:tc>
          <w:tcPr>
            <w:tcW w:w="3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2,114,522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real estate assets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193,105</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4,844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224,100</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2,931,891</w:t>
            </w:r>
          </w:p>
        </w:tc>
        <w:tc>
          <w:tcPr>
            <w:tcW w:w="28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auto"/>
            </w:tcBorders>
            <w:shd w:val="clear" w:color="auto" w:fill="CFF0FC"/>
          </w:tcPr>
          <w:p>
            <w:pPr>
              <w:ind w:left="18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273,724</w:t>
            </w:r>
          </w:p>
        </w:tc>
        <w:tc>
          <w:tcPr>
            <w:tcW w:w="28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12,073</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285,797</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973,073</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1,083,476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12,399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89,207</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78,064</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1,438,540</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1,627,833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60" w:type="dxa"/>
            <w:vAlign w:val="bottom"/>
            <w:gridSpan w:val="2"/>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 $0.01 par value; 50,000 shares authorized; none issued</w:t>
            </w:r>
          </w:p>
        </w:tc>
        <w:tc>
          <w:tcPr>
            <w:tcW w:w="340" w:type="dxa"/>
            <w:vAlign w:val="bottom"/>
            <w:shd w:val="clear" w:color="auto" w:fill="CFF0FC"/>
          </w:tcPr>
          <w:p>
            <w:pPr>
              <w:spacing w:after="0"/>
              <w:rPr>
                <w:sz w:val="17"/>
                <w:szCs w:val="17"/>
                <w:color w:val="auto"/>
              </w:rPr>
            </w:pPr>
          </w:p>
        </w:tc>
        <w:tc>
          <w:tcPr>
            <w:tcW w:w="148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outstanding at December 31, 2024 and 2023</w:t>
            </w:r>
          </w:p>
        </w:tc>
        <w:tc>
          <w:tcPr>
            <w:tcW w:w="340" w:type="dxa"/>
            <w:vAlign w:val="bottom"/>
            <w:shd w:val="clear" w:color="auto" w:fill="CFF0FC"/>
          </w:tcPr>
          <w:p>
            <w:pPr>
              <w:spacing w:after="0"/>
              <w:rPr>
                <w:sz w:val="20"/>
                <w:szCs w:val="20"/>
                <w:color w:val="auto"/>
              </w:rPr>
            </w:pPr>
          </w:p>
        </w:tc>
        <w:tc>
          <w:tcPr>
            <w:tcW w:w="1480" w:type="dxa"/>
            <w:vAlign w:val="bottom"/>
            <w:gridSpan w:val="2"/>
            <w:vMerge w:val="continue"/>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 $0.01 par value; 300,000 shares authorized;</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109,861 and 112,733 shares issued and outstanding</w:t>
            </w:r>
          </w:p>
        </w:tc>
        <w:tc>
          <w:tcPr>
            <w:tcW w:w="34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1,099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at December 31, 2024 and 2023, respectively</w:t>
            </w:r>
          </w:p>
        </w:tc>
        <w:tc>
          <w:tcPr>
            <w:tcW w:w="3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1,732,231</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1,785,286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(239,979 )</w:t>
            </w:r>
          </w:p>
        </w:tc>
        <w:tc>
          <w:tcPr>
            <w:tcW w:w="4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(308,847 )</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1,493,351</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1,477,566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2,931,891</w:t>
            </w:r>
          </w:p>
        </w:tc>
        <w:tc>
          <w:tcPr>
            <w:tcW w:w="28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-3822700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-2853690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-2545715</wp:posOffset>
            </wp:positionV>
            <wp:extent cx="1028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-2262505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-1422400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1,961,646</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1,896,635</w:t>
            </w:r>
          </w:p>
        </w:tc>
        <w:tc>
          <w:tcPr>
            <w:tcW w:w="2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1,845,329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1,493,357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1,462,430</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1,413,792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152,081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136,084</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128,011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127,316</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Shareholder litigation expense</w:t>
            </w: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 impairments</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3,108</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2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1,776,557</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1,728,540</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1,675,690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(67,415 )</w:t>
            </w: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(72,960 )</w:t>
            </w: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(84,974 )</w:t>
            </w:r>
          </w:p>
        </w:tc>
        <w:tc>
          <w:tcPr>
            <w:tcW w:w="0" w:type="dxa"/>
            <w:vAlign w:val="bottom"/>
          </w:tcPr>
          <w:p>
            <w:pPr>
              <w:spacing w:after="0"/>
              <w:rPr>
                <w:sz w:val="1"/>
                <w:szCs w:val="1"/>
                <w:color w:val="auto"/>
              </w:rPr>
            </w:pPr>
          </w:p>
        </w:tc>
      </w:tr>
      <w:tr>
        <w:trPr>
          <w:trHeight w:val="198"/>
        </w:trPr>
        <w:tc>
          <w:tcPr>
            <w:tcW w:w="664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Expenses associated with debt repayments</w:t>
            </w:r>
          </w:p>
        </w:tc>
        <w:tc>
          <w:tcPr>
            <w:tcW w:w="300" w:type="dxa"/>
            <w:vAlign w:val="bottom"/>
            <w:shd w:val="clear" w:color="auto" w:fill="CFF0FC"/>
          </w:tcPr>
          <w:p>
            <w:pPr>
              <w:spacing w:after="0"/>
              <w:rPr>
                <w:sz w:val="17"/>
                <w:szCs w:val="17"/>
                <w:color w:val="auto"/>
              </w:rPr>
            </w:pPr>
          </w:p>
        </w:tc>
        <w:tc>
          <w:tcPr>
            <w:tcW w:w="12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(31,316 )</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and refinancing transactions</w:t>
            </w:r>
          </w:p>
        </w:tc>
        <w:tc>
          <w:tcPr>
            <w:tcW w:w="300" w:type="dxa"/>
            <w:vAlign w:val="bottom"/>
            <w:shd w:val="clear" w:color="auto" w:fill="CFF0FC"/>
          </w:tcPr>
          <w:p>
            <w:pPr>
              <w:spacing w:after="0"/>
              <w:rPr>
                <w:sz w:val="20"/>
                <w:szCs w:val="20"/>
                <w:color w:val="auto"/>
              </w:rPr>
            </w:pPr>
          </w:p>
        </w:tc>
        <w:tc>
          <w:tcPr>
            <w:tcW w:w="1280" w:type="dxa"/>
            <w:vAlign w:val="bottom"/>
            <w:gridSpan w:val="2"/>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(686 )</w:t>
            </w:r>
          </w:p>
        </w:tc>
        <w:tc>
          <w:tcPr>
            <w:tcW w:w="4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(8,077 )</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 of real estate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2,343</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91,963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95,823</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(23,095 )</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(28,233 )</w:t>
            </w:r>
          </w:p>
        </w:tc>
        <w:tc>
          <w:tcPr>
            <w:tcW w:w="4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(42,982 )</w:t>
            </w:r>
          </w:p>
        </w:tc>
        <w:tc>
          <w:tcPr>
            <w:tcW w:w="0" w:type="dxa"/>
            <w:vAlign w:val="bottom"/>
          </w:tcPr>
          <w:p>
            <w:pPr>
              <w:spacing w:after="0"/>
              <w:rPr>
                <w:sz w:val="1"/>
                <w:szCs w:val="1"/>
                <w:color w:val="auto"/>
              </w:rPr>
            </w:pPr>
          </w:p>
        </w:tc>
      </w:tr>
      <w:tr>
        <w:trPr>
          <w:trHeight w:val="209"/>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68,868</w:t>
            </w: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67,590</w:t>
            </w:r>
          </w:p>
        </w:tc>
        <w:tc>
          <w:tcPr>
            <w:tcW w:w="24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122,320</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0.62</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0.59</w:t>
            </w:r>
          </w:p>
        </w:tc>
        <w:tc>
          <w:tcPr>
            <w:tcW w:w="2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0.62</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0.59</w:t>
            </w:r>
          </w:p>
        </w:tc>
        <w:tc>
          <w:tcPr>
            <w:tcW w:w="24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-2588260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-2588260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-2588260</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-1757045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-1757045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-1757045</wp:posOffset>
            </wp:positionV>
            <wp:extent cx="774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-779145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-779145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-779145</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-496570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-496570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-496570</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6"/>
          </w:tcPr>
          <w:p>
            <w:pPr>
              <w:jc w:val="right"/>
              <w:ind w:right="64"/>
              <w:spacing w:after="0" w:line="171" w:lineRule="exact"/>
              <w:rPr>
                <w:sz w:val="20"/>
                <w:szCs w:val="20"/>
                <w:color w:val="auto"/>
              </w:rPr>
            </w:pPr>
            <w:r>
              <w:rPr>
                <w:rFonts w:ascii="Times New Roman" w:cs="Times New Roman" w:eastAsia="Times New Roman" w:hAnsi="Times New Roman"/>
                <w:sz w:val="15"/>
                <w:szCs w:val="15"/>
                <w:b w:val="1"/>
                <w:bCs w:val="1"/>
                <w:color w:val="auto"/>
              </w:rPr>
              <w:t>For the Years Ended 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4"/>
              <w:spacing w:after="0" w:line="156" w:lineRule="exact"/>
              <w:rPr>
                <w:sz w:val="20"/>
                <w:szCs w:val="20"/>
                <w:color w:val="auto"/>
              </w:rPr>
            </w:pPr>
            <w:r>
              <w:rPr>
                <w:rFonts w:ascii="Times New Roman" w:cs="Times New Roman" w:eastAsia="Times New Roman" w:hAnsi="Times New Roman"/>
                <w:sz w:val="15"/>
                <w:szCs w:val="15"/>
                <w:b w:val="1"/>
                <w:bCs w:val="1"/>
                <w:color w:val="auto"/>
              </w:rPr>
              <w:t>2023</w:t>
            </w:r>
          </w:p>
        </w:tc>
        <w:tc>
          <w:tcPr>
            <w:tcW w:w="2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4"/>
              <w:spacing w:after="0" w:line="156" w:lineRule="exact"/>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320" w:type="dxa"/>
            <w:vAlign w:val="bottom"/>
          </w:tcPr>
          <w:p>
            <w:pPr>
              <w:jc w:val="right"/>
              <w:ind w:right="144"/>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68,868</w:t>
            </w:r>
          </w:p>
        </w:tc>
        <w:tc>
          <w:tcPr>
            <w:tcW w:w="260" w:type="dxa"/>
            <w:vAlign w:val="bottom"/>
          </w:tcPr>
          <w:p>
            <w:pPr>
              <w:spacing w:after="0"/>
              <w:rPr>
                <w:sz w:val="14"/>
                <w:szCs w:val="14"/>
                <w:color w:val="auto"/>
              </w:rPr>
            </w:pPr>
          </w:p>
        </w:tc>
        <w:tc>
          <w:tcPr>
            <w:tcW w:w="300" w:type="dxa"/>
            <w:vAlign w:val="bottom"/>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67,590</w:t>
            </w:r>
          </w:p>
        </w:tc>
        <w:tc>
          <w:tcPr>
            <w:tcW w:w="220" w:type="dxa"/>
            <w:vAlign w:val="bottom"/>
          </w:tcPr>
          <w:p>
            <w:pPr>
              <w:spacing w:after="0"/>
              <w:rPr>
                <w:sz w:val="14"/>
                <w:szCs w:val="14"/>
                <w:color w:val="auto"/>
              </w:rPr>
            </w:pPr>
          </w:p>
        </w:tc>
        <w:tc>
          <w:tcPr>
            <w:tcW w:w="380" w:type="dxa"/>
            <w:vAlign w:val="bottom"/>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122,320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640" w:type="dxa"/>
            <w:vAlign w:val="bottom"/>
            <w:shd w:val="clear" w:color="auto" w:fill="CFF0FC"/>
          </w:tcPr>
          <w:p>
            <w:pPr>
              <w:ind w:left="200"/>
              <w:spacing w:after="0" w:line="145" w:lineRule="exact"/>
              <w:rPr>
                <w:sz w:val="20"/>
                <w:szCs w:val="20"/>
                <w:color w:val="auto"/>
              </w:rPr>
            </w:pPr>
            <w:r>
              <w:rPr>
                <w:rFonts w:ascii="Times New Roman" w:cs="Times New Roman" w:eastAsia="Times New Roman" w:hAnsi="Times New Roman"/>
                <w:sz w:val="15"/>
                <w:szCs w:val="15"/>
                <w:color w:val="auto"/>
              </w:rPr>
              <w:t>Adjustments to reconcile net income to net cash provided by</w:t>
            </w: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6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operating activities:</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3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128,011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127,316</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127,906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380"/>
              <w:spacing w:after="0" w:line="162" w:lineRule="exact"/>
              <w:rPr>
                <w:sz w:val="20"/>
                <w:szCs w:val="20"/>
                <w:color w:val="auto"/>
              </w:rPr>
            </w:pPr>
            <w:r>
              <w:rPr>
                <w:rFonts w:ascii="Times New Roman" w:cs="Times New Roman" w:eastAsia="Times New Roman" w:hAnsi="Times New Roman"/>
                <w:sz w:val="15"/>
                <w:szCs w:val="15"/>
                <w:color w:val="auto"/>
              </w:rPr>
              <w:t>Asset impairments</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3,108</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2,710</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4,392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Amortization of debt issuance costs and other non-cash interest</w:t>
            </w:r>
          </w:p>
        </w:tc>
        <w:tc>
          <w:tcPr>
            <w:tcW w:w="3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3,672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4,446</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5,643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640" w:type="dxa"/>
            <w:vAlign w:val="bottom"/>
            <w:shd w:val="clear" w:color="auto" w:fill="CFF0FC"/>
          </w:tcPr>
          <w:p>
            <w:pPr>
              <w:ind w:left="380"/>
              <w:spacing w:after="0" w:line="145" w:lineRule="exact"/>
              <w:rPr>
                <w:sz w:val="20"/>
                <w:szCs w:val="20"/>
                <w:color w:val="auto"/>
              </w:rPr>
            </w:pPr>
            <w:r>
              <w:rPr>
                <w:rFonts w:ascii="Times New Roman" w:cs="Times New Roman" w:eastAsia="Times New Roman" w:hAnsi="Times New Roman"/>
                <w:sz w:val="15"/>
                <w:szCs w:val="15"/>
                <w:color w:val="auto"/>
              </w:rPr>
              <w:t>Expenses associated with debt repayments and refinancing</w:t>
            </w:r>
          </w:p>
        </w:tc>
        <w:tc>
          <w:tcPr>
            <w:tcW w:w="32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31,316</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64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5"/>
                <w:szCs w:val="15"/>
                <w:color w:val="auto"/>
              </w:rPr>
              <w:t>transactions</w:t>
            </w:r>
          </w:p>
        </w:tc>
        <w:tc>
          <w:tcPr>
            <w:tcW w:w="320" w:type="dxa"/>
            <w:vAlign w:val="bottom"/>
            <w:shd w:val="clear" w:color="auto" w:fill="CFF0FC"/>
          </w:tcPr>
          <w:p>
            <w:pPr>
              <w:spacing w:after="0"/>
              <w:rPr>
                <w:sz w:val="15"/>
                <w:szCs w:val="15"/>
                <w:color w:val="auto"/>
              </w:rPr>
            </w:pPr>
          </w:p>
        </w:tc>
        <w:tc>
          <w:tcPr>
            <w:tcW w:w="104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686</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320" w:type="dxa"/>
            <w:vAlign w:val="bottom"/>
          </w:tcPr>
          <w:p>
            <w:pPr>
              <w:spacing w:after="0"/>
              <w:rPr>
                <w:sz w:val="14"/>
                <w:szCs w:val="14"/>
                <w:color w:val="auto"/>
              </w:rPr>
            </w:pPr>
          </w:p>
        </w:tc>
        <w:tc>
          <w:tcPr>
            <w:tcW w:w="1300" w:type="dxa"/>
            <w:vAlign w:val="bottom"/>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b w:val="1"/>
                <w:bCs w:val="1"/>
                <w:color w:val="auto"/>
              </w:rPr>
              <w:t>(7,708 )</w:t>
            </w:r>
          </w:p>
        </w:tc>
        <w:tc>
          <w:tcPr>
            <w:tcW w:w="3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(2,703 )</w:t>
            </w:r>
          </w:p>
        </w:tc>
        <w:tc>
          <w:tcPr>
            <w:tcW w:w="3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11,461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380"/>
              <w:spacing w:after="0" w:line="162" w:lineRule="exact"/>
              <w:rPr>
                <w:sz w:val="20"/>
                <w:szCs w:val="20"/>
                <w:color w:val="auto"/>
              </w:rPr>
            </w:pPr>
            <w:r>
              <w:rPr>
                <w:rFonts w:ascii="Times New Roman" w:cs="Times New Roman" w:eastAsia="Times New Roman" w:hAnsi="Times New Roman"/>
                <w:sz w:val="15"/>
                <w:szCs w:val="15"/>
                <w:color w:val="auto"/>
              </w:rPr>
              <w:t>Gain on sale of assets</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b w:val="1"/>
                <w:bCs w:val="1"/>
                <w:color w:val="auto"/>
              </w:rPr>
              <w:t>(3,262 )</w:t>
            </w: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(798 )</w:t>
            </w:r>
          </w:p>
        </w:tc>
        <w:tc>
          <w:tcPr>
            <w:tcW w:w="3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(87,728 )</w:t>
            </w:r>
          </w:p>
        </w:tc>
        <w:tc>
          <w:tcPr>
            <w:tcW w:w="0" w:type="dxa"/>
            <w:vAlign w:val="bottom"/>
          </w:tcPr>
          <w:p>
            <w:pPr>
              <w:spacing w:after="0"/>
              <w:rPr>
                <w:sz w:val="1"/>
                <w:szCs w:val="1"/>
                <w:color w:val="auto"/>
              </w:rPr>
            </w:pPr>
          </w:p>
        </w:tc>
      </w:tr>
      <w:tr>
        <w:trPr>
          <w:trHeight w:val="162"/>
        </w:trPr>
        <w:tc>
          <w:tcPr>
            <w:tcW w:w="664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Other expenses and non-cash items</w:t>
            </w:r>
          </w:p>
        </w:tc>
        <w:tc>
          <w:tcPr>
            <w:tcW w:w="3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659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6,294</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7,337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380"/>
              <w:spacing w:after="0" w:line="162" w:lineRule="exact"/>
              <w:rPr>
                <w:sz w:val="20"/>
                <w:szCs w:val="20"/>
                <w:color w:val="auto"/>
              </w:rPr>
            </w:pPr>
            <w:r>
              <w:rPr>
                <w:rFonts w:ascii="Times New Roman" w:cs="Times New Roman" w:eastAsia="Times New Roman" w:hAnsi="Times New Roman"/>
                <w:sz w:val="15"/>
                <w:szCs w:val="15"/>
                <w:color w:val="auto"/>
              </w:rPr>
              <w:t>Non-cash revenue and other income</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b w:val="1"/>
                <w:bCs w:val="1"/>
                <w:color w:val="auto"/>
              </w:rPr>
              <w:t>(7,601 )</w:t>
            </w: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(2,783 )</w:t>
            </w:r>
          </w:p>
        </w:tc>
        <w:tc>
          <w:tcPr>
            <w:tcW w:w="3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(3,998 )</w:t>
            </w:r>
          </w:p>
        </w:tc>
        <w:tc>
          <w:tcPr>
            <w:tcW w:w="0" w:type="dxa"/>
            <w:vAlign w:val="bottom"/>
          </w:tcPr>
          <w:p>
            <w:pPr>
              <w:spacing w:after="0"/>
              <w:rPr>
                <w:sz w:val="1"/>
                <w:szCs w:val="1"/>
                <w:color w:val="auto"/>
              </w:rPr>
            </w:pPr>
          </w:p>
        </w:tc>
      </w:tr>
      <w:tr>
        <w:trPr>
          <w:trHeight w:val="162"/>
        </w:trPr>
        <w:tc>
          <w:tcPr>
            <w:tcW w:w="664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Non-cash equity compensation</w:t>
            </w:r>
          </w:p>
        </w:tc>
        <w:tc>
          <w:tcPr>
            <w:tcW w:w="3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25,681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20,760</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17,568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380"/>
              <w:spacing w:after="0" w:line="162" w:lineRule="exact"/>
              <w:rPr>
                <w:sz w:val="20"/>
                <w:szCs w:val="20"/>
                <w:color w:val="auto"/>
              </w:rPr>
            </w:pPr>
            <w:r>
              <w:rPr>
                <w:rFonts w:ascii="Times New Roman" w:cs="Times New Roman" w:eastAsia="Times New Roman" w:hAnsi="Times New Roman"/>
                <w:sz w:val="15"/>
                <w:szCs w:val="15"/>
                <w:color w:val="auto"/>
              </w:rPr>
              <w:t>Changes in assets and liabilities, net:</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560"/>
              <w:spacing w:after="0" w:line="162" w:lineRule="exact"/>
              <w:rPr>
                <w:sz w:val="20"/>
                <w:szCs w:val="20"/>
                <w:color w:val="auto"/>
              </w:rPr>
            </w:pPr>
            <w:r>
              <w:rPr>
                <w:rFonts w:ascii="Times New Roman" w:cs="Times New Roman" w:eastAsia="Times New Roman" w:hAnsi="Times New Roman"/>
                <w:sz w:val="15"/>
                <w:szCs w:val="15"/>
                <w:color w:val="auto"/>
              </w:rPr>
              <w:t>Accounts receivable, prepaid expenses and other assets</w:t>
            </w:r>
          </w:p>
        </w:tc>
        <w:tc>
          <w:tcPr>
            <w:tcW w:w="3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15,022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6,704</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(35,172 )</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560"/>
              <w:spacing w:after="0" w:line="162" w:lineRule="exact"/>
              <w:rPr>
                <w:sz w:val="20"/>
                <w:szCs w:val="20"/>
                <w:color w:val="auto"/>
              </w:rPr>
            </w:pPr>
            <w:r>
              <w:rPr>
                <w:rFonts w:ascii="Times New Roman" w:cs="Times New Roman" w:eastAsia="Times New Roman" w:hAnsi="Times New Roman"/>
                <w:sz w:val="15"/>
                <w:szCs w:val="15"/>
                <w:color w:val="auto"/>
              </w:rPr>
              <w:t>Accounts payable, accrued expenses and other liabilities</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11,387</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1,679</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(24,223 )</w:t>
            </w:r>
          </w:p>
        </w:tc>
        <w:tc>
          <w:tcPr>
            <w:tcW w:w="0" w:type="dxa"/>
            <w:vAlign w:val="bottom"/>
          </w:tcPr>
          <w:p>
            <w:pPr>
              <w:spacing w:after="0"/>
              <w:rPr>
                <w:sz w:val="1"/>
                <w:szCs w:val="1"/>
                <w:color w:val="auto"/>
              </w:rPr>
            </w:pPr>
          </w:p>
        </w:tc>
      </w:tr>
      <w:tr>
        <w:trPr>
          <w:trHeight w:val="155"/>
        </w:trPr>
        <w:tc>
          <w:tcPr>
            <w:tcW w:w="6640" w:type="dxa"/>
            <w:vAlign w:val="bottom"/>
            <w:tcBorders>
              <w:top w:val="single" w:sz="8" w:color="CFF0FC"/>
            </w:tcBorders>
          </w:tcPr>
          <w:p>
            <w:pPr>
              <w:ind w:left="740"/>
              <w:spacing w:after="0" w:line="156"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269,153</w:t>
            </w:r>
          </w:p>
        </w:tc>
        <w:tc>
          <w:tcPr>
            <w:tcW w:w="260" w:type="dxa"/>
            <w:vAlign w:val="bottom"/>
            <w:tcBorders>
              <w:top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231,901</w:t>
            </w:r>
          </w:p>
        </w:tc>
        <w:tc>
          <w:tcPr>
            <w:tcW w:w="220" w:type="dxa"/>
            <w:vAlign w:val="bottom"/>
            <w:tcBorders>
              <w:top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153,583</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Expenditures for facility development and expansions</w:t>
            </w:r>
          </w:p>
        </w:tc>
        <w:tc>
          <w:tcPr>
            <w:tcW w:w="320" w:type="dxa"/>
            <w:vAlign w:val="bottom"/>
          </w:tcPr>
          <w:p>
            <w:pPr>
              <w:spacing w:after="0"/>
              <w:rPr>
                <w:sz w:val="14"/>
                <w:szCs w:val="14"/>
                <w:color w:val="auto"/>
              </w:rPr>
            </w:pPr>
          </w:p>
        </w:tc>
        <w:tc>
          <w:tcPr>
            <w:tcW w:w="1300" w:type="dxa"/>
            <w:vAlign w:val="bottom"/>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b w:val="1"/>
                <w:bCs w:val="1"/>
                <w:color w:val="auto"/>
              </w:rPr>
              <w:t>(8,747 )</w:t>
            </w:r>
          </w:p>
        </w:tc>
        <w:tc>
          <w:tcPr>
            <w:tcW w:w="3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(4,886 )</w:t>
            </w:r>
          </w:p>
        </w:tc>
        <w:tc>
          <w:tcPr>
            <w:tcW w:w="38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(23,119 )</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Expenditures for other capital improvements</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b w:val="1"/>
                <w:bCs w:val="1"/>
                <w:color w:val="auto"/>
              </w:rPr>
              <w:t>(62,424 )</w:t>
            </w: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(65,369 )</w:t>
            </w:r>
          </w:p>
        </w:tc>
        <w:tc>
          <w:tcPr>
            <w:tcW w:w="3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(58,277 )</w:t>
            </w:r>
          </w:p>
        </w:tc>
        <w:tc>
          <w:tcPr>
            <w:tcW w:w="0" w:type="dxa"/>
            <w:vAlign w:val="bottom"/>
          </w:tcPr>
          <w:p>
            <w:pPr>
              <w:spacing w:after="0"/>
              <w:rPr>
                <w:sz w:val="1"/>
                <w:szCs w:val="1"/>
                <w:color w:val="auto"/>
              </w:rPr>
            </w:pPr>
          </w:p>
        </w:tc>
      </w:tr>
      <w:tr>
        <w:trPr>
          <w:trHeight w:val="162"/>
        </w:trPr>
        <w:tc>
          <w:tcPr>
            <w:tcW w:w="6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Net proceeds from sale of assets</w:t>
            </w:r>
          </w:p>
        </w:tc>
        <w:tc>
          <w:tcPr>
            <w:tcW w:w="3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13,738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11,068</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157,680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Other investing activities</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3,609</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313</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(3,246 )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40" w:type="dxa"/>
            <w:vAlign w:val="bottom"/>
          </w:tcPr>
          <w:p>
            <w:pPr>
              <w:ind w:left="740"/>
              <w:spacing w:after="0" w:line="156" w:lineRule="exact"/>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320" w:type="dxa"/>
            <w:vAlign w:val="bottom"/>
          </w:tcPr>
          <w:p>
            <w:pPr>
              <w:spacing w:after="0"/>
              <w:rPr>
                <w:sz w:val="13"/>
                <w:szCs w:val="13"/>
                <w:color w:val="auto"/>
              </w:rPr>
            </w:pPr>
          </w:p>
        </w:tc>
        <w:tc>
          <w:tcPr>
            <w:tcW w:w="1300" w:type="dxa"/>
            <w:vAlign w:val="bottom"/>
            <w:gridSpan w:val="2"/>
          </w:tcPr>
          <w:p>
            <w:pPr>
              <w:jc w:val="right"/>
              <w:ind w:right="124"/>
              <w:spacing w:after="0" w:line="156" w:lineRule="exact"/>
              <w:rPr>
                <w:sz w:val="20"/>
                <w:szCs w:val="20"/>
                <w:color w:val="auto"/>
              </w:rPr>
            </w:pPr>
            <w:r>
              <w:rPr>
                <w:rFonts w:ascii="Times New Roman" w:cs="Times New Roman" w:eastAsia="Times New Roman" w:hAnsi="Times New Roman"/>
                <w:sz w:val="15"/>
                <w:szCs w:val="15"/>
                <w:b w:val="1"/>
                <w:bCs w:val="1"/>
                <w:color w:val="auto"/>
              </w:rPr>
              <w:t>(53,824 )</w:t>
            </w:r>
          </w:p>
        </w:tc>
        <w:tc>
          <w:tcPr>
            <w:tcW w:w="300" w:type="dxa"/>
            <w:vAlign w:val="bottom"/>
          </w:tcPr>
          <w:p>
            <w:pPr>
              <w:spacing w:after="0"/>
              <w:rPr>
                <w:sz w:val="13"/>
                <w:szCs w:val="13"/>
                <w:color w:val="auto"/>
              </w:rPr>
            </w:pPr>
          </w:p>
        </w:tc>
        <w:tc>
          <w:tcPr>
            <w:tcW w:w="124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(58,874 )</w:t>
            </w:r>
          </w:p>
        </w:tc>
        <w:tc>
          <w:tcPr>
            <w:tcW w:w="38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73,038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Proceeds from issuance of debt and borrowings from credit facility</w:t>
            </w:r>
          </w:p>
        </w:tc>
        <w:tc>
          <w:tcPr>
            <w:tcW w:w="32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547,000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250,000</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Scheduled principal repayments</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b w:val="1"/>
                <w:bCs w:val="1"/>
                <w:color w:val="auto"/>
              </w:rPr>
              <w:t>(11,598 )</w:t>
            </w: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(9,895 )</w:t>
            </w:r>
          </w:p>
        </w:tc>
        <w:tc>
          <w:tcPr>
            <w:tcW w:w="3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(15,064 )</w:t>
            </w:r>
          </w:p>
        </w:tc>
        <w:tc>
          <w:tcPr>
            <w:tcW w:w="0" w:type="dxa"/>
            <w:vAlign w:val="bottom"/>
          </w:tcPr>
          <w:p>
            <w:pPr>
              <w:spacing w:after="0"/>
              <w:rPr>
                <w:sz w:val="1"/>
                <w:szCs w:val="1"/>
                <w:color w:val="auto"/>
              </w:rPr>
            </w:pPr>
          </w:p>
        </w:tc>
      </w:tr>
      <w:tr>
        <w:trPr>
          <w:trHeight w:val="162"/>
        </w:trPr>
        <w:tc>
          <w:tcPr>
            <w:tcW w:w="6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Principal repayments of credit facility</w:t>
            </w:r>
          </w:p>
        </w:tc>
        <w:tc>
          <w:tcPr>
            <w:tcW w:w="320" w:type="dxa"/>
            <w:vAlign w:val="bottom"/>
          </w:tcPr>
          <w:p>
            <w:pPr>
              <w:spacing w:after="0"/>
              <w:rPr>
                <w:sz w:val="14"/>
                <w:szCs w:val="14"/>
                <w:color w:val="auto"/>
              </w:rPr>
            </w:pPr>
          </w:p>
        </w:tc>
        <w:tc>
          <w:tcPr>
            <w:tcW w:w="1300" w:type="dxa"/>
            <w:vAlign w:val="bottom"/>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b w:val="1"/>
                <w:bCs w:val="1"/>
                <w:color w:val="auto"/>
              </w:rPr>
              <w:t>(47,000 )</w:t>
            </w:r>
          </w:p>
        </w:tc>
        <w:tc>
          <w:tcPr>
            <w:tcW w:w="3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(125,000 )</w:t>
            </w:r>
          </w:p>
        </w:tc>
        <w:tc>
          <w:tcPr>
            <w:tcW w:w="380" w:type="dxa"/>
            <w:vAlign w:val="bottom"/>
          </w:tcPr>
          <w:p>
            <w:pPr>
              <w:spacing w:after="0"/>
              <w:rPr>
                <w:sz w:val="14"/>
                <w:szCs w:val="14"/>
                <w:color w:val="auto"/>
              </w:rPr>
            </w:pPr>
          </w:p>
        </w:tc>
        <w:tc>
          <w:tcPr>
            <w:tcW w:w="10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Other repayments of debt</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b w:val="1"/>
                <w:bCs w:val="1"/>
                <w:color w:val="auto"/>
              </w:rPr>
              <w:t>(597,713 )</w:t>
            </w: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(272,936 )</w:t>
            </w:r>
          </w:p>
        </w:tc>
        <w:tc>
          <w:tcPr>
            <w:tcW w:w="3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(372,346 )</w:t>
            </w:r>
          </w:p>
        </w:tc>
        <w:tc>
          <w:tcPr>
            <w:tcW w:w="0" w:type="dxa"/>
            <w:vAlign w:val="bottom"/>
          </w:tcPr>
          <w:p>
            <w:pPr>
              <w:spacing w:after="0"/>
              <w:rPr>
                <w:sz w:val="1"/>
                <w:szCs w:val="1"/>
                <w:color w:val="auto"/>
              </w:rPr>
            </w:pPr>
          </w:p>
        </w:tc>
      </w:tr>
      <w:tr>
        <w:trPr>
          <w:trHeight w:val="145"/>
        </w:trPr>
        <w:tc>
          <w:tcPr>
            <w:tcW w:w="6640" w:type="dxa"/>
            <w:vAlign w:val="bottom"/>
          </w:tcPr>
          <w:p>
            <w:pPr>
              <w:ind w:left="200"/>
              <w:spacing w:after="0" w:line="145" w:lineRule="exact"/>
              <w:rPr>
                <w:sz w:val="20"/>
                <w:szCs w:val="20"/>
                <w:color w:val="auto"/>
              </w:rPr>
            </w:pPr>
            <w:r>
              <w:rPr>
                <w:rFonts w:ascii="Times New Roman" w:cs="Times New Roman" w:eastAsia="Times New Roman" w:hAnsi="Times New Roman"/>
                <w:sz w:val="15"/>
                <w:szCs w:val="15"/>
                <w:color w:val="auto"/>
              </w:rPr>
              <w:t>Payment of debt defeasance, issuance and other refinancing and</w:t>
            </w:r>
          </w:p>
        </w:tc>
        <w:tc>
          <w:tcPr>
            <w:tcW w:w="320" w:type="dxa"/>
            <w:vAlign w:val="bottom"/>
          </w:tcPr>
          <w:p>
            <w:pPr>
              <w:spacing w:after="0"/>
              <w:rPr>
                <w:sz w:val="12"/>
                <w:szCs w:val="12"/>
                <w:color w:val="auto"/>
              </w:rPr>
            </w:pPr>
          </w:p>
        </w:tc>
        <w:tc>
          <w:tcPr>
            <w:tcW w:w="1300" w:type="dxa"/>
            <w:vAlign w:val="bottom"/>
            <w:gridSpan w:val="2"/>
            <w:vMerge w:val="restart"/>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(34,944 )</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6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related costs</w:t>
            </w:r>
          </w:p>
        </w:tc>
        <w:tc>
          <w:tcPr>
            <w:tcW w:w="3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(4,632 )</w:t>
            </w:r>
          </w:p>
        </w:tc>
        <w:tc>
          <w:tcPr>
            <w:tcW w:w="38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(6,402 )</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Payment of lease obligations for financing leases</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b w:val="1"/>
                <w:bCs w:val="1"/>
                <w:color w:val="auto"/>
              </w:rPr>
              <w:t>(613 )</w:t>
            </w: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(595 )</w:t>
            </w:r>
          </w:p>
        </w:tc>
        <w:tc>
          <w:tcPr>
            <w:tcW w:w="3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(578 )</w:t>
            </w:r>
          </w:p>
        </w:tc>
        <w:tc>
          <w:tcPr>
            <w:tcW w:w="0" w:type="dxa"/>
            <w:vAlign w:val="bottom"/>
          </w:tcPr>
          <w:p>
            <w:pPr>
              <w:spacing w:after="0"/>
              <w:rPr>
                <w:sz w:val="1"/>
                <w:szCs w:val="1"/>
                <w:color w:val="auto"/>
              </w:rPr>
            </w:pPr>
          </w:p>
        </w:tc>
      </w:tr>
      <w:tr>
        <w:trPr>
          <w:trHeight w:val="162"/>
        </w:trPr>
        <w:tc>
          <w:tcPr>
            <w:tcW w:w="66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Purchase and retirement of common stock</w:t>
            </w:r>
          </w:p>
        </w:tc>
        <w:tc>
          <w:tcPr>
            <w:tcW w:w="320" w:type="dxa"/>
            <w:vAlign w:val="bottom"/>
          </w:tcPr>
          <w:p>
            <w:pPr>
              <w:spacing w:after="0"/>
              <w:rPr>
                <w:sz w:val="14"/>
                <w:szCs w:val="14"/>
                <w:color w:val="auto"/>
              </w:rPr>
            </w:pPr>
          </w:p>
        </w:tc>
        <w:tc>
          <w:tcPr>
            <w:tcW w:w="1300" w:type="dxa"/>
            <w:vAlign w:val="bottom"/>
            <w:gridSpan w:val="2"/>
          </w:tcPr>
          <w:p>
            <w:pPr>
              <w:jc w:val="right"/>
              <w:ind w:right="124"/>
              <w:spacing w:after="0" w:line="162" w:lineRule="exact"/>
              <w:rPr>
                <w:sz w:val="20"/>
                <w:szCs w:val="20"/>
                <w:color w:val="auto"/>
              </w:rPr>
            </w:pPr>
            <w:r>
              <w:rPr>
                <w:rFonts w:ascii="Times New Roman" w:cs="Times New Roman" w:eastAsia="Times New Roman" w:hAnsi="Times New Roman"/>
                <w:sz w:val="15"/>
                <w:szCs w:val="15"/>
                <w:b w:val="1"/>
                <w:bCs w:val="1"/>
                <w:color w:val="auto"/>
              </w:rPr>
              <w:t>(77,171 )</w:t>
            </w:r>
          </w:p>
        </w:tc>
        <w:tc>
          <w:tcPr>
            <w:tcW w:w="30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(43,047 )</w:t>
            </w:r>
          </w:p>
        </w:tc>
        <w:tc>
          <w:tcPr>
            <w:tcW w:w="38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(79,887 )</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Dividends paid on restricted stock units</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b w:val="1"/>
                <w:bCs w:val="1"/>
                <w:color w:val="auto"/>
              </w:rPr>
              <w:t>(136 )</w:t>
            </w:r>
          </w:p>
        </w:tc>
        <w:tc>
          <w:tcPr>
            <w:tcW w:w="3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(131 )</w:t>
            </w:r>
          </w:p>
        </w:tc>
        <w:tc>
          <w:tcPr>
            <w:tcW w:w="3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(886 )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40" w:type="dxa"/>
            <w:vAlign w:val="bottom"/>
          </w:tcPr>
          <w:p>
            <w:pPr>
              <w:ind w:left="740"/>
              <w:spacing w:after="0" w:line="156"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320" w:type="dxa"/>
            <w:vAlign w:val="bottom"/>
          </w:tcPr>
          <w:p>
            <w:pPr>
              <w:spacing w:after="0"/>
              <w:rPr>
                <w:sz w:val="13"/>
                <w:szCs w:val="13"/>
                <w:color w:val="auto"/>
              </w:rPr>
            </w:pPr>
          </w:p>
        </w:tc>
        <w:tc>
          <w:tcPr>
            <w:tcW w:w="1300" w:type="dxa"/>
            <w:vAlign w:val="bottom"/>
            <w:gridSpan w:val="2"/>
          </w:tcPr>
          <w:p>
            <w:pPr>
              <w:jc w:val="right"/>
              <w:ind w:right="124"/>
              <w:spacing w:after="0" w:line="156" w:lineRule="exact"/>
              <w:rPr>
                <w:sz w:val="20"/>
                <w:szCs w:val="20"/>
                <w:color w:val="auto"/>
              </w:rPr>
            </w:pPr>
            <w:r>
              <w:rPr>
                <w:rFonts w:ascii="Times New Roman" w:cs="Times New Roman" w:eastAsia="Times New Roman" w:hAnsi="Times New Roman"/>
                <w:sz w:val="15"/>
                <w:szCs w:val="15"/>
                <w:b w:val="1"/>
                <w:bCs w:val="1"/>
                <w:color w:val="auto"/>
              </w:rPr>
              <w:t>(222,175 )</w:t>
            </w:r>
          </w:p>
        </w:tc>
        <w:tc>
          <w:tcPr>
            <w:tcW w:w="300" w:type="dxa"/>
            <w:vAlign w:val="bottom"/>
          </w:tcPr>
          <w:p>
            <w:pPr>
              <w:spacing w:after="0"/>
              <w:rPr>
                <w:sz w:val="13"/>
                <w:szCs w:val="13"/>
                <w:color w:val="auto"/>
              </w:rPr>
            </w:pPr>
          </w:p>
        </w:tc>
        <w:tc>
          <w:tcPr>
            <w:tcW w:w="124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(206,236 )</w:t>
            </w:r>
          </w:p>
        </w:tc>
        <w:tc>
          <w:tcPr>
            <w:tcW w:w="380" w:type="dxa"/>
            <w:vAlign w:val="bottom"/>
          </w:tcPr>
          <w:p>
            <w:pPr>
              <w:spacing w:after="0"/>
              <w:rPr>
                <w:sz w:val="13"/>
                <w:szCs w:val="13"/>
                <w:color w:val="auto"/>
              </w:rPr>
            </w:pPr>
          </w:p>
        </w:tc>
        <w:tc>
          <w:tcPr>
            <w:tcW w:w="106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(375,163 )</w:t>
            </w:r>
          </w:p>
        </w:tc>
        <w:tc>
          <w:tcPr>
            <w:tcW w:w="0" w:type="dxa"/>
            <w:vAlign w:val="bottom"/>
          </w:tcPr>
          <w:p>
            <w:pPr>
              <w:spacing w:after="0"/>
              <w:rPr>
                <w:sz w:val="1"/>
                <w:szCs w:val="1"/>
                <w:color w:val="auto"/>
              </w:rPr>
            </w:pPr>
          </w:p>
        </w:tc>
      </w:tr>
      <w:tr>
        <w:trPr>
          <w:trHeight w:val="134"/>
        </w:trPr>
        <w:tc>
          <w:tcPr>
            <w:tcW w:w="6640" w:type="dxa"/>
            <w:vAlign w:val="bottom"/>
            <w:shd w:val="clear" w:color="auto" w:fill="CFF0FC"/>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NET DECREASE IN CASH, CASH EQUIVALENTS</w:t>
            </w:r>
          </w:p>
        </w:tc>
        <w:tc>
          <w:tcPr>
            <w:tcW w:w="32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b w:val="1"/>
                <w:bCs w:val="1"/>
                <w:color w:val="auto"/>
              </w:rPr>
              <w:t>AND RESTRICTED CASH</w:t>
            </w:r>
          </w:p>
        </w:tc>
        <w:tc>
          <w:tcPr>
            <w:tcW w:w="3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(6,846 )</w:t>
            </w: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(33,209 )</w:t>
            </w:r>
          </w:p>
        </w:tc>
        <w:tc>
          <w:tcPr>
            <w:tcW w:w="3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(148,542 )</w:t>
            </w:r>
          </w:p>
        </w:tc>
        <w:tc>
          <w:tcPr>
            <w:tcW w:w="0" w:type="dxa"/>
            <w:vAlign w:val="bottom"/>
          </w:tcPr>
          <w:p>
            <w:pPr>
              <w:spacing w:after="0"/>
              <w:rPr>
                <w:sz w:val="1"/>
                <w:szCs w:val="1"/>
                <w:color w:val="auto"/>
              </w:rPr>
            </w:pPr>
          </w:p>
        </w:tc>
      </w:tr>
      <w:tr>
        <w:trPr>
          <w:trHeight w:val="141"/>
        </w:trPr>
        <w:tc>
          <w:tcPr>
            <w:tcW w:w="6640" w:type="dxa"/>
            <w:vAlign w:val="bottom"/>
          </w:tcPr>
          <w:p>
            <w:pPr>
              <w:ind w:left="20"/>
              <w:spacing w:after="0" w:line="141"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w:t>
            </w:r>
          </w:p>
        </w:tc>
        <w:tc>
          <w:tcPr>
            <w:tcW w:w="3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128,956</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162,165</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310,707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640" w:type="dxa"/>
            <w:vAlign w:val="bottom"/>
          </w:tcPr>
          <w:p>
            <w:pPr>
              <w:ind w:left="260"/>
              <w:spacing w:after="0" w:line="170" w:lineRule="exact"/>
              <w:rPr>
                <w:sz w:val="20"/>
                <w:szCs w:val="20"/>
                <w:color w:val="auto"/>
              </w:rPr>
            </w:pPr>
            <w:r>
              <w:rPr>
                <w:rFonts w:ascii="Times New Roman" w:cs="Times New Roman" w:eastAsia="Times New Roman" w:hAnsi="Times New Roman"/>
                <w:sz w:val="15"/>
                <w:szCs w:val="15"/>
                <w:b w:val="1"/>
                <w:bCs w:val="1"/>
                <w:color w:val="auto"/>
              </w:rPr>
              <w:t>beginning of period</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640" w:type="dxa"/>
            <w:vAlign w:val="bottom"/>
            <w:shd w:val="clear" w:color="auto" w:fill="CFF0FC"/>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w:t>
            </w:r>
          </w:p>
        </w:tc>
        <w:tc>
          <w:tcPr>
            <w:tcW w:w="320" w:type="dxa"/>
            <w:vAlign w:val="bottom"/>
            <w:vMerge w:val="restart"/>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122,110</w:t>
            </w:r>
          </w:p>
        </w:tc>
        <w:tc>
          <w:tcPr>
            <w:tcW w:w="260" w:type="dxa"/>
            <w:vAlign w:val="bottom"/>
            <w:shd w:val="clear" w:color="auto" w:fill="CFF0FC"/>
          </w:tcPr>
          <w:p>
            <w:pPr>
              <w:spacing w:after="0"/>
              <w:rPr>
                <w:sz w:val="11"/>
                <w:szCs w:val="11"/>
                <w:color w:val="auto"/>
              </w:rPr>
            </w:pPr>
          </w:p>
        </w:tc>
        <w:tc>
          <w:tcPr>
            <w:tcW w:w="300" w:type="dxa"/>
            <w:vAlign w:val="bottom"/>
            <w:vMerge w:val="restart"/>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128,956</w:t>
            </w:r>
          </w:p>
        </w:tc>
        <w:tc>
          <w:tcPr>
            <w:tcW w:w="220" w:type="dxa"/>
            <w:vAlign w:val="bottom"/>
            <w:shd w:val="clear" w:color="auto" w:fill="CFF0FC"/>
          </w:tcPr>
          <w:p>
            <w:pPr>
              <w:spacing w:after="0"/>
              <w:rPr>
                <w:sz w:val="11"/>
                <w:szCs w:val="11"/>
                <w:color w:val="auto"/>
              </w:rPr>
            </w:pPr>
          </w:p>
        </w:tc>
        <w:tc>
          <w:tcPr>
            <w:tcW w:w="380" w:type="dxa"/>
            <w:vAlign w:val="bottom"/>
            <w:vMerge w:val="restart"/>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162,165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640" w:type="dxa"/>
            <w:vAlign w:val="bottom"/>
            <w:tcBorders>
              <w:bottom w:val="single" w:sz="8" w:color="CFF0FC"/>
            </w:tcBorders>
            <w:shd w:val="clear" w:color="auto" w:fill="CFF0FC"/>
          </w:tcPr>
          <w:p>
            <w:pPr>
              <w:ind w:left="260"/>
              <w:spacing w:after="0" w:line="136" w:lineRule="exact"/>
              <w:rPr>
                <w:sz w:val="20"/>
                <w:szCs w:val="20"/>
                <w:color w:val="auto"/>
              </w:rPr>
            </w:pPr>
            <w:r>
              <w:rPr>
                <w:rFonts w:ascii="Times New Roman" w:cs="Times New Roman" w:eastAsia="Times New Roman" w:hAnsi="Times New Roman"/>
                <w:sz w:val="15"/>
                <w:szCs w:val="15"/>
                <w:b w:val="1"/>
                <w:bCs w:val="1"/>
                <w:color w:val="auto"/>
              </w:rPr>
              <w:t>end of period</w:t>
            </w:r>
          </w:p>
        </w:tc>
        <w:tc>
          <w:tcPr>
            <w:tcW w:w="320" w:type="dxa"/>
            <w:vAlign w:val="bottom"/>
            <w:tcBorders>
              <w:bottom w:val="single" w:sz="8" w:color="auto"/>
            </w:tcBorders>
            <w:vMerge w:val="continue"/>
            <w:shd w:val="clear" w:color="auto" w:fill="CFF0FC"/>
          </w:tcPr>
          <w:p>
            <w:pPr>
              <w:spacing w:after="0"/>
              <w:rPr>
                <w:sz w:val="15"/>
                <w:szCs w:val="15"/>
                <w:color w:val="auto"/>
              </w:rPr>
            </w:pPr>
          </w:p>
        </w:tc>
        <w:tc>
          <w:tcPr>
            <w:tcW w:w="104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vMerge w:val="continue"/>
            <w:shd w:val="clear" w:color="auto" w:fill="CFF0FC"/>
          </w:tcPr>
          <w:p>
            <w:pPr>
              <w:spacing w:after="0"/>
              <w:rPr>
                <w:sz w:val="15"/>
                <w:szCs w:val="15"/>
                <w:color w:val="auto"/>
              </w:rPr>
            </w:pPr>
          </w:p>
        </w:tc>
        <w:tc>
          <w:tcPr>
            <w:tcW w:w="102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vMerge w:val="continue"/>
            <w:shd w:val="clear" w:color="auto" w:fill="CFF0FC"/>
          </w:tcPr>
          <w:p>
            <w:pPr>
              <w:spacing w:after="0"/>
              <w:rPr>
                <w:sz w:val="15"/>
                <w:szCs w:val="15"/>
                <w:color w:val="auto"/>
              </w:rPr>
            </w:pPr>
          </w:p>
        </w:tc>
        <w:tc>
          <w:tcPr>
            <w:tcW w:w="96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640" w:type="dxa"/>
            <w:vAlign w:val="bottom"/>
          </w:tcPr>
          <w:p>
            <w:pPr>
              <w:ind w:left="20"/>
              <w:spacing w:after="0" w:line="143" w:lineRule="exact"/>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640" w:type="dxa"/>
            <w:vAlign w:val="bottom"/>
            <w:shd w:val="clear" w:color="auto" w:fill="CFF0FC"/>
          </w:tcPr>
          <w:p>
            <w:pPr>
              <w:ind w:left="220"/>
              <w:spacing w:after="0" w:line="145" w:lineRule="exact"/>
              <w:rPr>
                <w:sz w:val="20"/>
                <w:szCs w:val="20"/>
                <w:color w:val="auto"/>
              </w:rPr>
            </w:pPr>
            <w:r>
              <w:rPr>
                <w:rFonts w:ascii="Times New Roman" w:cs="Times New Roman" w:eastAsia="Times New Roman" w:hAnsi="Times New Roman"/>
                <w:sz w:val="15"/>
                <w:szCs w:val="15"/>
                <w:color w:val="auto"/>
              </w:rPr>
              <w:t>Net establishment (lease modification) of right of use assets and lease</w:t>
            </w:r>
          </w:p>
        </w:tc>
        <w:tc>
          <w:tcPr>
            <w:tcW w:w="320" w:type="dxa"/>
            <w:vAlign w:val="bottom"/>
            <w:vMerge w:val="restart"/>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(56,804</w:t>
            </w:r>
          </w:p>
        </w:tc>
        <w:tc>
          <w:tcPr>
            <w:tcW w:w="260" w:type="dxa"/>
            <w:vAlign w:val="bottom"/>
            <w:vMerge w:val="restart"/>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300" w:type="dxa"/>
            <w:vAlign w:val="bottom"/>
            <w:vMerge w:val="restart"/>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2,551</w:t>
            </w:r>
          </w:p>
        </w:tc>
        <w:tc>
          <w:tcPr>
            <w:tcW w:w="22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640" w:type="dxa"/>
            <w:vAlign w:val="bottom"/>
            <w:tcBorders>
              <w:bottom w:val="single" w:sz="8" w:color="CFF0FC"/>
            </w:tcBorders>
            <w:shd w:val="clear" w:color="auto" w:fill="CFF0FC"/>
          </w:tcPr>
          <w:p>
            <w:pPr>
              <w:ind w:left="400"/>
              <w:spacing w:after="0" w:line="133" w:lineRule="exact"/>
              <w:rPr>
                <w:sz w:val="20"/>
                <w:szCs w:val="20"/>
                <w:color w:val="auto"/>
              </w:rPr>
            </w:pPr>
            <w:r>
              <w:rPr>
                <w:rFonts w:ascii="Times New Roman" w:cs="Times New Roman" w:eastAsia="Times New Roman" w:hAnsi="Times New Roman"/>
                <w:sz w:val="15"/>
                <w:szCs w:val="15"/>
                <w:color w:val="auto"/>
              </w:rPr>
              <w:t>liabilities</w:t>
            </w:r>
          </w:p>
        </w:tc>
        <w:tc>
          <w:tcPr>
            <w:tcW w:w="320" w:type="dxa"/>
            <w:vAlign w:val="bottom"/>
            <w:tcBorders>
              <w:bottom w:val="single" w:sz="8" w:color="auto"/>
            </w:tcBorders>
            <w:vMerge w:val="continue"/>
            <w:shd w:val="clear" w:color="auto" w:fill="CFF0FC"/>
          </w:tcPr>
          <w:p>
            <w:pPr>
              <w:spacing w:after="0"/>
              <w:rPr>
                <w:sz w:val="15"/>
                <w:szCs w:val="15"/>
                <w:color w:val="auto"/>
              </w:rPr>
            </w:pPr>
          </w:p>
        </w:tc>
        <w:tc>
          <w:tcPr>
            <w:tcW w:w="104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vMerge w:val="continue"/>
            <w:shd w:val="clear" w:color="auto" w:fill="CFF0FC"/>
          </w:tcPr>
          <w:p>
            <w:pPr>
              <w:spacing w:after="0"/>
              <w:rPr>
                <w:sz w:val="15"/>
                <w:szCs w:val="15"/>
                <w:color w:val="auto"/>
              </w:rPr>
            </w:pPr>
          </w:p>
        </w:tc>
        <w:tc>
          <w:tcPr>
            <w:tcW w:w="300" w:type="dxa"/>
            <w:vAlign w:val="bottom"/>
            <w:tcBorders>
              <w:bottom w:val="single" w:sz="8" w:color="auto"/>
            </w:tcBorders>
            <w:vMerge w:val="continue"/>
            <w:shd w:val="clear" w:color="auto" w:fill="CFF0FC"/>
          </w:tcPr>
          <w:p>
            <w:pPr>
              <w:spacing w:after="0"/>
              <w:rPr>
                <w:sz w:val="15"/>
                <w:szCs w:val="15"/>
                <w:color w:val="auto"/>
              </w:rPr>
            </w:pPr>
          </w:p>
        </w:tc>
        <w:tc>
          <w:tcPr>
            <w:tcW w:w="102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vMerge w:val="continue"/>
            <w:shd w:val="clear" w:color="auto" w:fill="CFF0FC"/>
          </w:tcPr>
          <w:p>
            <w:pPr>
              <w:spacing w:after="0"/>
              <w:rPr>
                <w:sz w:val="15"/>
                <w:szCs w:val="15"/>
                <w:color w:val="auto"/>
              </w:rPr>
            </w:pPr>
          </w:p>
        </w:tc>
        <w:tc>
          <w:tcPr>
            <w:tcW w:w="96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640" w:type="dxa"/>
            <w:vAlign w:val="bottom"/>
          </w:tcPr>
          <w:p>
            <w:pPr>
              <w:ind w:left="20"/>
              <w:spacing w:after="0" w:line="143" w:lineRule="exact"/>
              <w:rPr>
                <w:sz w:val="20"/>
                <w:szCs w:val="20"/>
                <w:color w:val="auto"/>
              </w:rPr>
            </w:pPr>
            <w:r>
              <w:rPr>
                <w:rFonts w:ascii="Times New Roman" w:cs="Times New Roman" w:eastAsia="Times New Roman" w:hAnsi="Times New Roman"/>
                <w:sz w:val="15"/>
                <w:szCs w:val="15"/>
                <w:b w:val="1"/>
                <w:bCs w:val="1"/>
                <w:color w:val="auto"/>
              </w:rPr>
              <w:t>SUPPLEMENTAL DISCLOSURES OF CASH FLOW INFORMATION:</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Cash paid during the period for:</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380"/>
              <w:spacing w:after="0" w:line="162" w:lineRule="exact"/>
              <w:rPr>
                <w:sz w:val="20"/>
                <w:szCs w:val="20"/>
                <w:color w:val="auto"/>
              </w:rPr>
            </w:pPr>
            <w:r>
              <w:rPr>
                <w:rFonts w:ascii="Times New Roman" w:cs="Times New Roman" w:eastAsia="Times New Roman" w:hAnsi="Times New Roman"/>
                <w:sz w:val="15"/>
                <w:szCs w:val="15"/>
                <w:color w:val="auto"/>
              </w:rPr>
              <w:t>Interest (net of amounts capitalized of $1.0 million in 2022)</w:t>
            </w:r>
          </w:p>
        </w:tc>
        <w:tc>
          <w:tcPr>
            <w:tcW w:w="320" w:type="dxa"/>
            <w:vAlign w:val="bottom"/>
            <w:tcBorders>
              <w:bottom w:val="single" w:sz="8" w:color="auto"/>
            </w:tcBorders>
          </w:tcPr>
          <w:p>
            <w:pPr>
              <w:jc w:val="right"/>
              <w:ind w:right="144"/>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77,725</w:t>
            </w:r>
          </w:p>
        </w:tc>
        <w:tc>
          <w:tcPr>
            <w:tcW w:w="260" w:type="dxa"/>
            <w:vAlign w:val="bottom"/>
          </w:tcPr>
          <w:p>
            <w:pPr>
              <w:spacing w:after="0"/>
              <w:rPr>
                <w:sz w:val="14"/>
                <w:szCs w:val="14"/>
                <w:color w:val="auto"/>
              </w:rPr>
            </w:pPr>
          </w:p>
        </w:tc>
        <w:tc>
          <w:tcPr>
            <w:tcW w:w="300" w:type="dxa"/>
            <w:vAlign w:val="bottom"/>
            <w:tcBorders>
              <w:bottom w:val="single" w:sz="8" w:color="auto"/>
            </w:tcBorders>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81,765</w:t>
            </w:r>
          </w:p>
        </w:tc>
        <w:tc>
          <w:tcPr>
            <w:tcW w:w="220" w:type="dxa"/>
            <w:vAlign w:val="bottom"/>
          </w:tcPr>
          <w:p>
            <w:pPr>
              <w:spacing w:after="0"/>
              <w:rPr>
                <w:sz w:val="14"/>
                <w:szCs w:val="14"/>
                <w:color w:val="auto"/>
              </w:rPr>
            </w:pPr>
          </w:p>
        </w:tc>
        <w:tc>
          <w:tcPr>
            <w:tcW w:w="380" w:type="dxa"/>
            <w:vAlign w:val="bottom"/>
            <w:tcBorders>
              <w:bottom w:val="single" w:sz="8" w:color="auto"/>
            </w:tcBorders>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90,815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FF0FC"/>
            </w:tcBorders>
            <w:shd w:val="clear" w:color="auto" w:fill="CFF0FC"/>
          </w:tcPr>
          <w:p>
            <w:pPr>
              <w:ind w:left="380"/>
              <w:spacing w:after="0" w:line="143" w:lineRule="exact"/>
              <w:rPr>
                <w:sz w:val="20"/>
                <w:szCs w:val="20"/>
                <w:color w:val="auto"/>
              </w:rPr>
            </w:pPr>
            <w:r>
              <w:rPr>
                <w:rFonts w:ascii="Times New Roman" w:cs="Times New Roman" w:eastAsia="Times New Roman" w:hAnsi="Times New Roman"/>
                <w:sz w:val="15"/>
                <w:szCs w:val="15"/>
                <w:color w:val="auto"/>
              </w:rPr>
              <w:t>Income taxes paid</w:t>
            </w:r>
          </w:p>
        </w:tc>
        <w:tc>
          <w:tcPr>
            <w:tcW w:w="320" w:type="dxa"/>
            <w:vAlign w:val="bottom"/>
            <w:tcBorders>
              <w:bottom w:val="single" w:sz="8" w:color="auto"/>
            </w:tcBorders>
            <w:shd w:val="clear" w:color="auto" w:fill="CFF0FC"/>
          </w:tcPr>
          <w:p>
            <w:pPr>
              <w:jc w:val="right"/>
              <w:ind w:right="144"/>
              <w:spacing w:after="0" w:line="143" w:lineRule="exact"/>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b w:val="1"/>
                <w:bCs w:val="1"/>
                <w:color w:val="auto"/>
              </w:rPr>
              <w:t>37,108</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25,888</w:t>
            </w:r>
          </w:p>
        </w:tc>
        <w:tc>
          <w:tcPr>
            <w:tcW w:w="2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ind w:right="204"/>
              <w:spacing w:after="0" w:line="143"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28,286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-3291205</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-3291205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-2656840</wp:posOffset>
            </wp:positionV>
            <wp:extent cx="774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-2656840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-1508125</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-1508125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-796290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-779145</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-796290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-779145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-488315</wp:posOffset>
            </wp:positionV>
            <wp:extent cx="774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-471170</wp:posOffset>
            </wp:positionV>
            <wp:extent cx="774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-488315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-471170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90"/>
        </w:trPr>
        <w:tc>
          <w:tcPr>
            <w:tcW w:w="5140" w:type="dxa"/>
            <w:vAlign w:val="bottom"/>
          </w:tcPr>
          <w:p>
            <w:pPr>
              <w:spacing w:after="0"/>
              <w:rPr>
                <w:sz w:val="24"/>
                <w:szCs w:val="24"/>
                <w:color w:val="auto"/>
              </w:rPr>
            </w:pPr>
          </w:p>
        </w:tc>
        <w:tc>
          <w:tcPr>
            <w:tcW w:w="2500" w:type="dxa"/>
            <w:vAlign w:val="bottom"/>
            <w:gridSpan w:val="5"/>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4"/>
                <w:szCs w:val="24"/>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7"/>
        </w:trPr>
        <w:tc>
          <w:tcPr>
            <w:tcW w:w="514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w:t>
            </w:r>
          </w:p>
        </w:tc>
        <w:tc>
          <w:tcPr>
            <w:tcW w:w="114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Stockholder</w:t>
            </w:r>
          </w:p>
        </w:tc>
      </w:tr>
      <w:tr>
        <w:trPr>
          <w:trHeight w:val="216"/>
        </w:trPr>
        <w:tc>
          <w:tcPr>
            <w:tcW w:w="5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b w:val="1"/>
                <w:bCs w:val="1"/>
                <w:color w:val="auto"/>
              </w:rPr>
              <w:t>Par</w:t>
            </w: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18"/>
                <w:szCs w:val="18"/>
                <w:color w:val="auto"/>
              </w:rPr>
            </w:pPr>
          </w:p>
        </w:tc>
        <w:tc>
          <w:tcPr>
            <w:tcW w:w="106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6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w:t>
            </w:r>
          </w:p>
        </w:tc>
      </w:tr>
      <w:tr>
        <w:trPr>
          <w:trHeight w:val="238"/>
        </w:trPr>
        <w:tc>
          <w:tcPr>
            <w:tcW w:w="514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04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80" w:type="dxa"/>
            <w:vAlign w:val="bottom"/>
          </w:tcPr>
          <w:p>
            <w:pPr>
              <w:spacing w:after="0"/>
              <w:rPr>
                <w:sz w:val="20"/>
                <w:szCs w:val="20"/>
                <w:color w:val="auto"/>
              </w:rPr>
            </w:pPr>
          </w:p>
        </w:tc>
        <w:tc>
          <w:tcPr>
            <w:tcW w:w="106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120,285</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1,869,955</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(498,690</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1,372,468</w:t>
            </w:r>
          </w:p>
        </w:tc>
        <w:tc>
          <w:tcPr>
            <w:tcW w:w="120" w:type="dxa"/>
            <w:vAlign w:val="bottom"/>
          </w:tcPr>
          <w:p>
            <w:pPr>
              <w:spacing w:after="0"/>
              <w:rPr>
                <w:sz w:val="18"/>
                <w:szCs w:val="18"/>
                <w:color w:val="auto"/>
              </w:rPr>
            </w:pPr>
          </w:p>
        </w:tc>
      </w:tr>
      <w:tr>
        <w:trPr>
          <w:trHeight w:val="216"/>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122,320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122,320</w:t>
            </w:r>
          </w:p>
        </w:tc>
        <w:tc>
          <w:tcPr>
            <w:tcW w:w="120" w:type="dxa"/>
            <w:vAlign w:val="bottom"/>
            <w:shd w:val="clear" w:color="auto" w:fill="CFF0FC"/>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common stock</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(7,141 )</w:t>
            </w:r>
          </w:p>
        </w:tc>
        <w:tc>
          <w:tcPr>
            <w:tcW w:w="200" w:type="dxa"/>
            <w:vAlign w:val="bottom"/>
          </w:tcPr>
          <w:p>
            <w:pPr>
              <w:spacing w:after="0"/>
              <w:rPr>
                <w:sz w:val="18"/>
                <w:szCs w:val="18"/>
                <w:color w:val="auto"/>
              </w:rPr>
            </w:pPr>
          </w:p>
        </w:tc>
        <w:tc>
          <w:tcPr>
            <w:tcW w:w="10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(71 )</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(79,816 )</w:t>
            </w:r>
          </w:p>
        </w:tc>
        <w:tc>
          <w:tcPr>
            <w:tcW w:w="18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(79,887 )</w:t>
            </w:r>
          </w:p>
        </w:tc>
      </w:tr>
      <w:tr>
        <w:trPr>
          <w:trHeight w:val="216"/>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on RSUs</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(61 )</w:t>
            </w: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r>
      <w:tr>
        <w:trPr>
          <w:trHeight w:val="198"/>
        </w:trPr>
        <w:tc>
          <w:tcPr>
            <w:tcW w:w="5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Restricted stock compensation, net</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forfeitures</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120" w:type="dxa"/>
            <w:vAlign w:val="bottom"/>
          </w:tcPr>
          <w:p>
            <w:pPr>
              <w:spacing w:after="0"/>
              <w:rPr>
                <w:sz w:val="20"/>
                <w:szCs w:val="20"/>
                <w:color w:val="auto"/>
              </w:rPr>
            </w:pPr>
          </w:p>
        </w:tc>
      </w:tr>
      <w:tr>
        <w:trPr>
          <w:trHeight w:val="216"/>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grants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(18 )</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114,988</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1,807,689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(376,431 )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1,432,408</w:t>
            </w:r>
          </w:p>
        </w:tc>
        <w:tc>
          <w:tcPr>
            <w:tcW w:w="120" w:type="dxa"/>
            <w:vAlign w:val="bottom"/>
          </w:tcPr>
          <w:p>
            <w:pPr>
              <w:spacing w:after="0"/>
              <w:rPr>
                <w:sz w:val="18"/>
                <w:szCs w:val="18"/>
                <w:color w:val="auto"/>
              </w:rPr>
            </w:pPr>
          </w:p>
        </w:tc>
      </w:tr>
      <w:tr>
        <w:trPr>
          <w:trHeight w:val="20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67,590</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67,590</w:t>
            </w:r>
          </w:p>
        </w:tc>
        <w:tc>
          <w:tcPr>
            <w:tcW w:w="120" w:type="dxa"/>
            <w:vAlign w:val="bottom"/>
            <w:shd w:val="clear" w:color="auto" w:fill="CFF0FC"/>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common stock</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(3,936 )</w:t>
            </w:r>
          </w:p>
        </w:tc>
        <w:tc>
          <w:tcPr>
            <w:tcW w:w="200" w:type="dxa"/>
            <w:vAlign w:val="bottom"/>
          </w:tcPr>
          <w:p>
            <w:pPr>
              <w:spacing w:after="0"/>
              <w:rPr>
                <w:sz w:val="18"/>
                <w:szCs w:val="18"/>
                <w:color w:val="auto"/>
              </w:rPr>
            </w:pPr>
          </w:p>
        </w:tc>
        <w:tc>
          <w:tcPr>
            <w:tcW w:w="10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(40 )</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(43,146 )</w:t>
            </w:r>
          </w:p>
        </w:tc>
        <w:tc>
          <w:tcPr>
            <w:tcW w:w="18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(43,186 )</w:t>
            </w:r>
          </w:p>
        </w:tc>
      </w:tr>
      <w:tr>
        <w:trPr>
          <w:trHeight w:val="216"/>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on RSUs</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198"/>
        </w:trPr>
        <w:tc>
          <w:tcPr>
            <w:tcW w:w="5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Restricted stock compensation, net</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forfeitures</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20,760</w:t>
            </w:r>
          </w:p>
        </w:tc>
        <w:tc>
          <w:tcPr>
            <w:tcW w:w="120" w:type="dxa"/>
            <w:vAlign w:val="bottom"/>
          </w:tcPr>
          <w:p>
            <w:pPr>
              <w:spacing w:after="0"/>
              <w:rPr>
                <w:sz w:val="20"/>
                <w:szCs w:val="20"/>
                <w:color w:val="auto"/>
              </w:rPr>
            </w:pPr>
          </w:p>
        </w:tc>
      </w:tr>
      <w:tr>
        <w:trPr>
          <w:trHeight w:val="216"/>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grants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112,733</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1,785,286</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(308,847 )</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1,477,566</w:t>
            </w:r>
          </w:p>
        </w:tc>
        <w:tc>
          <w:tcPr>
            <w:tcW w:w="120" w:type="dxa"/>
            <w:vAlign w:val="bottom"/>
          </w:tcPr>
          <w:p>
            <w:pPr>
              <w:spacing w:after="0"/>
              <w:rPr>
                <w:sz w:val="18"/>
                <w:szCs w:val="18"/>
                <w:color w:val="auto"/>
              </w:rPr>
            </w:pPr>
          </w:p>
        </w:tc>
      </w:tr>
      <w:tr>
        <w:trPr>
          <w:trHeight w:val="21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68,868</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68,868</w:t>
            </w:r>
          </w:p>
        </w:tc>
        <w:tc>
          <w:tcPr>
            <w:tcW w:w="120" w:type="dxa"/>
            <w:vAlign w:val="bottom"/>
            <w:shd w:val="clear" w:color="auto" w:fill="CFF0FC"/>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common stock</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(5,111 )</w:t>
            </w:r>
          </w:p>
        </w:tc>
        <w:tc>
          <w:tcPr>
            <w:tcW w:w="200" w:type="dxa"/>
            <w:vAlign w:val="bottom"/>
          </w:tcPr>
          <w:p>
            <w:pPr>
              <w:spacing w:after="0"/>
              <w:rPr>
                <w:sz w:val="18"/>
                <w:szCs w:val="18"/>
                <w:color w:val="auto"/>
              </w:rPr>
            </w:pPr>
          </w:p>
        </w:tc>
        <w:tc>
          <w:tcPr>
            <w:tcW w:w="10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(50 )</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(78,714 )</w:t>
            </w:r>
          </w:p>
        </w:tc>
        <w:tc>
          <w:tcPr>
            <w:tcW w:w="18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(78,764 )</w:t>
            </w:r>
          </w:p>
        </w:tc>
      </w:tr>
      <w:tr>
        <w:trPr>
          <w:trHeight w:val="198"/>
        </w:trPr>
        <w:tc>
          <w:tcPr>
            <w:tcW w:w="51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Restricted stock compensation, net</w:t>
            </w: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of forfeitures</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25,681</w:t>
            </w:r>
          </w:p>
        </w:tc>
        <w:tc>
          <w:tcPr>
            <w:tcW w:w="120" w:type="dxa"/>
            <w:vAlign w:val="bottom"/>
            <w:shd w:val="clear" w:color="auto" w:fill="CFF0FC"/>
          </w:tcPr>
          <w:p>
            <w:pPr>
              <w:spacing w:after="0"/>
              <w:rPr>
                <w:sz w:val="20"/>
                <w:szCs w:val="20"/>
                <w:color w:val="auto"/>
              </w:rPr>
            </w:pP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grants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(22 )</w:t>
            </w:r>
          </w:p>
        </w:tc>
        <w:tc>
          <w:tcPr>
            <w:tcW w:w="18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109,861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1,732,231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(239,979 )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1,493,351</w:t>
            </w:r>
          </w:p>
        </w:tc>
        <w:tc>
          <w:tcPr>
            <w:tcW w:w="120" w:type="dxa"/>
            <w:vAlign w:val="bottom"/>
            <w:shd w:val="clear" w:color="auto" w:fill="CFF0FC"/>
          </w:tcPr>
          <w:p>
            <w:pPr>
              <w:spacing w:after="0"/>
              <w:rPr>
                <w:sz w:val="19"/>
                <w:szCs w:val="19"/>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-1988185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-1988185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-1988185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-1988185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-1988185</wp:posOffset>
            </wp:positionV>
            <wp:extent cx="77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-1010920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-1010920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-1010920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-1010920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374"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OPERATIONS</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Inc. (together with its subsidiaries, the "Company" or "CoreCivic") is the nation's largest owner of partnership correctional, detention, and residential reentry facilities and one of the largest prison operators in the United States ("U.S."). Through three segments, CoreCivic Safety, CoreCivic Community, and CoreCivic Properties, the Company provides a broad range of solutions to government partners that serve the public good through corrections and detention management, a network of residential reentry centers to help address America's recidivism crisis, and government real estate solutions. As of December 31, 2024, through its CoreCivic Safety segment, the Company operated 42 correctional and detention facilities, 38 of which the Company owned or controlled via a long-term lease, with a total design capacity of approximately 62,000 beds. Through its CoreCivic Community segment, the Company operated 21 residential reentry centers, which it owned or controlled via a long-term lease, with a total design capacity of approximately 4,000 beds. In addition, through its CoreCivic Properties segment, the Company owned 6 properties, with a total design capacity of approximately 10,000 beds.</w:t>
      </w:r>
    </w:p>
    <w:p>
      <w:pPr>
        <w:spacing w:after="0" w:line="188" w:lineRule="exact"/>
        <w:rPr>
          <w:rFonts w:ascii="Times New Roman" w:cs="Times New Roman" w:eastAsia="Times New Roman" w:hAnsi="Times New Roman"/>
          <w:sz w:val="18"/>
          <w:szCs w:val="18"/>
          <w:b w:val="1"/>
          <w:bCs w:val="1"/>
          <w:color w:val="auto"/>
        </w:rPr>
      </w:pPr>
    </w:p>
    <w:p>
      <w:pPr>
        <w:jc w:val="both"/>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providing fundamental residential services, CoreCivic's correctional, detention, and reentry facilities offer a variety of rehabilitation and educational programs, including basic education, faith-based services, life skills and employment training, and substance abuse treatment. These services are intended to help reduce recidivism and to prepare offenders for their successful reentry into society upon their release. CoreCivic also provides or makes available to offenders certain health care (including medical, dental, and mental health services), food services, and work and recreational programs.</w:t>
      </w:r>
    </w:p>
    <w:p>
      <w:pPr>
        <w:spacing w:after="0" w:line="179" w:lineRule="exact"/>
        <w:rPr>
          <w:rFonts w:ascii="Times New Roman" w:cs="Times New Roman" w:eastAsia="Times New Roman" w:hAnsi="Times New Roman"/>
          <w:sz w:val="18"/>
          <w:szCs w:val="18"/>
          <w:b w:val="1"/>
          <w:bCs w:val="1"/>
          <w:color w:val="auto"/>
        </w:rPr>
      </w:pPr>
    </w:p>
    <w:p>
      <w:pPr>
        <w:ind w:left="520" w:right="6020" w:hanging="512"/>
        <w:spacing w:after="0" w:line="378" w:lineRule="auto"/>
        <w:tabs>
          <w:tab w:leader="none" w:pos="5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are prepared in accordance with U.S. generally accepted accounting principles and include the accounts of CoreCivic on a consolidated basis with its wholly-owned subsidiaries. All intercompany balances and transactions have been eliminated in consolidation.</w:t>
      </w:r>
    </w:p>
    <w:p>
      <w:pPr>
        <w:spacing w:after="0" w:line="17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considers all liquid deposits and investments with a maturity of three months or less at the time of purchase to be cash equivalents.</w:t>
      </w:r>
    </w:p>
    <w:p>
      <w:pPr>
        <w:spacing w:after="0" w:line="2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Cash</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cash at December 31, 2024 and 2023 included deposit accounts that are restricted in use totaling $14.6 million and $7.1 million, respectively, and related primarily to the Lansing Correctional Facility to ensure the timely payment of certain operating expenses, capital expenditures and debt service, as further discussed in Note 9. The restricted cash accounts are required under the terms of the indebtedness securing such property. Restricted cash also includes inmate trust funds used for commissary transactions pursuant to customer contracts. As of December 31, 2024 and 2023, cash and cash equivalents of $107.5 million and $121.8 million, respectively, and restricted cash of $14.6 million and $7.1 million, respectively, on our consolidated balance sheets were combined to total cash, cash equivalents, and restricted cash amounts of $122.1 million and $128.9 million shown in the consolidated statements of cash flows.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Credit Loss Reserve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and 2023, accounts receivable of $288.7 million and $312.2 million, respectively, were net of credit loss reserve totaling $4.5 million and $6.8 million, respectively. Accounts receivable consist primarily of amounts due from federal, state, and local government agencies for the utilization of CoreCivic's properties, including amounts due for operating and managing the Company's correctional, detention, and residential reentry facilities, as well as its electronic monitoring and case management services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are stated at estimated net realizable value. CoreCivic recognizes reserves for credit losses to ensure receivables are not overstated due to uncollectibility. Credit loss reserves are maintained for customers using an expected loss model based on a variety of factors, including the nature of the accounts receivable, risks of loss, length of time receivables are past due, and historical experience. If circumstances related to customers change, estimates of the recoverability of receivables would be further adjusted.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and equipment are carried at cost. Assets acquired by CoreCivic in conjunction with acquisitions are recorded at estimated fair market value at the time of purchase. Betterments, renewals and significant repairs that extend the life of an asset are capitalized; other repair and maintenance costs are expensed. Interest is capitalized to the asset to which it relates in connection with the construction or expansion of real estate properties. Construction costs directly associated with the development of a property are capitalized as part of the cost of the development project. Such costs are written-off to expense whenever a project is abandoned. The cost and accumulated depreciation applicable to assets retired are removed from the accounts and the gain or loss on disposition is recognized in income. Depreciation is computed over the estimated useful lives of depreciable assets using the straight-line method. Useful lives for property and equipment are as follows:</w:t>
      </w:r>
    </w:p>
    <w:p>
      <w:pPr>
        <w:spacing w:after="0" w:line="9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20 years</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50 years</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10 years</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fixtures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real estate assets are accounted for in accordance with Accounting Standards Codification ("ASC") 853, "Service Concession Arrangements". ASC 853 stipulates that the facilities subject to the standard may not be accounted for as a lease, nor should the infrastructure used in the service concession arrangement be recognized as property and equipment by the operating entity. Instead, the contracts should be accounted for under the applicable revenue standards. The Company owns four facilities that are accounted for as service concession arrangements.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facilities which CoreCivic constructed for the public entity, two separate and distinct performance obligations exist. Service revenue is recognized as provided. All revenues and costs related to the construction of the facilities were recognized upon adoption of ASC 606, “Revenue from Contracts with Customers” (“ASC 606”), in 2018. Revenue recognized related to the construction of the facilities for which cash has not yet been received is recorded as a contract asset and is amortized and evaluated for impairment on an on-going basis. For facilities contributed to a service contract, the cost of the facility is accounted for as costs to fulfill the service contract and the cost is recognized over the term of the service contract. The costs related to contract assets and costs to fulfill the service contracts are recoverable if the contract is terminated or not renewed due to the existence of residual interest options.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assets represent the cost of all infrastructure to be transferred to the public entity grantors should the grantors exercise their residual interest. The costs related to the facilities constructed for a governmental entity were deferred as an other real estate asset, and the deferred costs were amortized in proportion to revenue recognized over the term of the related services arrangement. The costs related to the facilities that were constructed before entering into the service concession arrangement were amortized in proportion to revenue recognized over the term of the related service contract as an investment in the service contract.</w:t>
      </w:r>
    </w:p>
    <w:p>
      <w:pPr>
        <w:spacing w:after="0" w:line="39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08" w:name="page109"/>
    <w:bookmarkEnd w:id="10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Impairment of Long-Lived Assets Other Than Goodwill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Long-lived assets other than goodwill are reviewed for impairment when circumstances indicate the carrying value of an asset may not be recoverable. The Company estimates undiscounted cash flows for each asset or asset group (i.e., facility) with an impairment indicator. An impairment is recognized when the estimated undiscounted cash flows associated with the asset or group of assets are less than their carrying value. If impairment exists, an adjustment is made to write the asset down to its fair value, and a loss is recorded as the difference between the carrying value and fair value. Fair values are determined based on quoted market values, comparable sales data, discounted cash flows or internal and external appraisals, as applicable.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represents the cost in excess of the fair value of net assets of businesses acquired and goodwill is tested for impairment at least annually. Goodwill was $4.8 million as of December 31, 2024 and 2023, all of which was related to the Company's CoreCivic Safety segment. CoreCivic performs its impairment tests during the fourth quarter in connection with its annual budgeting process, and whenever circumstances indicate the carrying value of goodwill may not be recoverable. CoreCivic performs a qualitative assessment to determine whether the existence of events or circumstances leads to a determination that it is more likely than not that the fair value of a reporting unit is less than its carrying amount. If, after assessing the totality of events or circumstances, the Company determines it is more likely than not that the fair value of a reporting unit is less than its carrying amount, then the Company performs a quantitative impairment test. The Company will record an impairment charge based on the excess of a reporting unit’s carrying amount over its fair value. There were no goodwill impairments recorded during the periods presented.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Affiliates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in affiliates that are equal to or less than 50%-owned over which CoreCivic can exercise significant influence are accounted for using the equity method of accounting. Investments under the equity method are recorded at cost and subsequently adjusted for contributions, distributions, and net income attributable to the Company's ownership based on the governing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Debt issuance costs, excluding those costs incurred related to CoreCivic's revolving credit facility, are presented as a direct deduction from the face amount of the related liability on the consolidated balance sheets. Debt issuance costs related to the Company's revolving credit facility are included in other assets on the consolidated balance sheets. Generally, debt issuance costs are capitalized and amortized into interest expense using the interest method, or on a straight-line basis over the term of the related debt, if not materially different than the interest method. Certain debt issuance costs incurred in connection with debt refinancings are charged to expense in accordance with ASC 470-50, "Modifications and Extinguishments".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09" w:name="page110"/>
    <w:bookmarkEnd w:id="10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CoreCivic Safety and CoreCivic Community, revenue is recognized over time when control of the promised service is transferred to CoreCivic's customers, in an amount that reflects consideration CoreCivic expects to be entitled for those services which is typically in the form of a fixed rate. These services are considered to be a single performance obligation and are generally satisfied in one to thirty days depending on the performance obligation. CoreCivic maintains contracts with certain governmental entities to manage their facilities for fixed per diem rates. CoreCivic also maintains contracts with various federal, state, and local governmental entities for the housing of offenders in company-owned facilities at fixed per diem rates or monthly fixed rates. These contracts usually contain expiration dates with renewal options ranging from annual to multi-year renewals. Most of these contracts have current terms that require renewal every two to five years. Additionally, most facility management contracts contain clauses that allow the government agency to terminate a contract without cause and are generally subject to legislative appropriations. CoreCivic generally expects to renew these contracts for periods consistent with the remaining renewal options allowed by the contracts or other reasonable extensions; however, no assurance can be given that such renewals will be obtained. Fixed monthly rate revenue is recorded in the month earned, and fixed per diem revenue, including revenue under those contracts that include guaranteed minimum populations, is recorded based on the per diem rate multiplied by the number of offenders housed or guaranteed during the respective period.</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government agencies also have the authority to audit and investigate CoreCivic's contracts with them. If the agency determines that CoreCivic has improperly allocated costs to a specific contract or otherwise was unable to perform certain contractual services, CoreCivic may not be reimbursed for those costs and could be required to refund the amount of any such costs that have been reimbursed, or to pay liquidated damages. In these instances, the amounts that are required to be returned to the customer are considered to be variable consideration and are classified as reductions to revenue.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CoreCivic Properties, lease revenue is recognized in accordance with ASC 842, "Leases". In accordance with ASC 842, minimum lease revenue is recognized on a straight-line basis over the term of the related lease. Lease incentives are recognized as a reduction to lease revenue on a straight-line basis over the term of the related lease. Lease revenue associated with expense reimbursements from tenants is recognized in the period that the related expenses are incurred based upon the tenant lease provision.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 consists primarily of revenues associated with the Company's electronic monitoring and case management services, as well as ancillary revenues associated with operating correctional, detention and residential reentry facilities in our CoreCivic Safety and CoreCivic Community segments. Other revenue is also generated from prisoner transportation services for governmental agencies. Revenue is recorded at a point in time when goods are provided or over time when services are provided.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Self-Funded Insurance and Litigation Reserves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CoreCivic is self-insured for employee health, workers' compensation, automobile liability claims, and general liability claims. As such, CoreCivic's insurance expense is largely dependent on claims experience and CoreCivic's ability to control its claims experience. CoreCivic accrues the estimated liability for employee health insurance based on its history of claims experience and time lag between the incident date and the date the cost is paid by CoreCivic. CoreCivic accrues the estimated liability for workers' compensation claims based on an actuarially determined liability using a combination of actuarial methods used to project ultimate losses, and the Company's automobile insurance claims based on estimated development factors on claims incurred. The liability for employee health, workers' compensation, and automobile insurance includes estimates for both claims incurred and for claims incurred but not reported.</w:t>
      </w:r>
    </w:p>
    <w:p>
      <w:pPr>
        <w:spacing w:after="0" w:line="200" w:lineRule="exact"/>
        <w:rPr>
          <w:sz w:val="20"/>
          <w:szCs w:val="20"/>
          <w:color w:val="auto"/>
        </w:rPr>
      </w:pPr>
    </w:p>
    <w:p>
      <w:pPr>
        <w:spacing w:after="0" w:line="20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10" w:name="page111"/>
    <w:bookmarkEnd w:id="110"/>
    <w:p>
      <w:pPr>
        <w:spacing w:after="0" w:line="86"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CoreCivic records its best estimate of the probable costs for the resolution of certain claims and legal proceedings in which it is involved, if estimable. In addition, the Company is subject to current and potential future claims and legal proceedings for which little or no accrual has been reflected because the Company's current assessment of the potential exposure is nominal, or because the Company cannot reasonably estimate the amount of loss or range of loss, if any, that may result. These estimates have been developed in consultation with CoreCivic's General Counsel's office and, as appropriate, outside counsel handling these matters, and are based upon an analysis of potential results, assuming a combination of litigation and settlement strategies. These estimates could change in the future.</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provisions of ASC 740, "Income Taxes". ASC 740 generally requires CoreCivic to record deferred income taxes for the tax effect of differences between book and tax bases of its assets and liabilities. Deferred income taxes reflect the available net operating losses and the net tax effect of temporary differences between the carrying amounts of assets and liabilities for financial reporting purposes and the amounts used for income tax purposes using enacted tax rates in effect for the year in which the differences are expected to reverse. The effect of a change in tax rates on deferred tax assets and liabilities is recognized in the consolidated statement of operations in the period that includes the enactment date. Realization of the future tax benefits related to deferred tax assets is dependent on many factors, including CoreCivic's past earnings history, expected future earnings, the character and jurisdiction of such earnings, unsettled circumstances that, if unfavorably resolved, would adversely affect utilization of its deferred tax assets, carryback and carryforward periods, and tax strategies that could potentially enhance the likelihood of realization of a deferred tax asset.</w:t>
      </w:r>
    </w:p>
    <w:p>
      <w:pPr>
        <w:spacing w:after="0" w:line="188"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CoreCivic's deferred tax assets and liabilities are classified as non-current on the consolidated balance sheets. See Note 11 for further discussion of the significant components of CoreCivic's deferred tax assets and liabilities.</w:t>
      </w:r>
    </w:p>
    <w:p>
      <w:pPr>
        <w:spacing w:after="0" w:line="162"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Income tax contingencies are accounted for under the provisions of ASC 740. ASC 740 prescribes a recognition threshold and measurement attribute for the financial statement recognition and measurement of a tax position taken or expected to be taken in a tax return. The guidance prescribed in ASC 740 establishes a recognition threshold of more likely than not that a tax position will be sustained upon examination. The measurement attribute requires that a tax position be measured at the largest amount of benefit that is greater than 50% likely of being realized upon ultimate settlement.</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To meet the reporting requirements of ASC 825, "Financial Instruments", regarding fair value of financial instruments, CoreCivic calculates the estimated fair value of financial instruments using market interest rates, quoted market prices of similar instruments, or discounted cash flow techniques with observable Level 1 inputs for publicly traded debt and Level 2 inputs for all other financial instruments, as defined in ASC 820, "Fair Value Measurement". At December 31, 2024 and 2023, there were no material differences between the carrying amounts and the estimated fair values of CoreCivic's financial instruments, other than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87"/>
        </w:trPr>
        <w:tc>
          <w:tcPr>
            <w:tcW w:w="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680"/>
              <w:spacing w:after="0" w:line="188" w:lineRule="exact"/>
              <w:rPr>
                <w:sz w:val="20"/>
                <w:szCs w:val="20"/>
                <w:color w:val="auto"/>
              </w:rPr>
            </w:pPr>
            <w:r>
              <w:rPr>
                <w:rFonts w:ascii="Times New Roman" w:cs="Times New Roman" w:eastAsia="Times New Roman" w:hAnsi="Times New Roman"/>
                <w:sz w:val="18"/>
                <w:szCs w:val="18"/>
                <w:color w:val="auto"/>
                <w:w w:val="99"/>
              </w:rPr>
              <w:t>Carrying</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8"/>
        </w:trPr>
        <w:tc>
          <w:tcPr>
            <w:tcW w:w="5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Amount</w:t>
            </w: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(997,380 )</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(1,005,425 )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(1,106,691 )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(1,090,326 )</w:t>
            </w:r>
          </w:p>
        </w:tc>
        <w:tc>
          <w:tcPr>
            <w:tcW w:w="560" w:type="dxa"/>
            <w:vAlign w:val="bottom"/>
          </w:tcPr>
          <w:p>
            <w:pPr>
              <w:spacing w:after="0"/>
              <w:rPr>
                <w:sz w:val="18"/>
                <w:szCs w:val="18"/>
                <w:color w:val="auto"/>
              </w:rPr>
            </w:pPr>
          </w:p>
        </w:tc>
      </w:tr>
      <w:tr>
        <w:trPr>
          <w:trHeight w:val="864"/>
        </w:trPr>
        <w:tc>
          <w:tcPr>
            <w:tcW w:w="5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F-12</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Preparation of Financial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and those differences could be material.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CoreCivic's credit risks relate primarily to cash and cash equivalents, restricted cash, and accounts receivable. Cash and cash equivalents and restricted cash are primarily held in bank accounts and overnight investments. CoreCivic maintains deposits of cash in excess of federally insured limits with certain financial institutions. CoreCivic's accounts receivable represents amounts due primarily from governmental agencies. CoreCivic's financial instruments are subject to the possibility of loss in carrying value as a result of either the failure of other parties to perform according to their contractual obligations or changes in market prices that make the instruments less valuable.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CoreCivic derives its revenues primarily from amounts earned under federal, state, and local government contracts. For each of the years ended December 31, 2024, 2023, and 2022, federal correctional and detention authorities represented 51%, 52%, and 54%, respectively, of CoreCivic's total revenue. Federal correctional and detention authorities consist primarily of U.S. Immigration and Customs Enforcement ("ICE") and the United States Marshals Service ("USMS"). ICE accounted for 29%, 30%, and 29% of total revenue for 2024, 2023, and 2022, respectively. The USMS accounted for 21%, 21%, and 22% of total revenue for 2024, 2023, and 2022, respectively. State revenues from contracts at correctional, detention, and residential reentry facilities that CoreCivic operates represented 40%, 39%, and 36% of total revenue during the years ended December 31, 2024, 2023, and 2022, respectively. The state of Tennessee generated 10% of CoreCivic's total revenue in 2024, 2023 and 2022, all in the Company's CoreCivic Safety segment, with no other state customer generating 10% or more of our total revenue in 2024, 2023, or 2022. Although the revenue generated from each of these agencies is derived from numerous management contracts and various types of properties (i.e., correctional, detention, and reentry) the loss or substantial reduction in value of one or more of such contracts could have a material impact on CoreCivic's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CoreCivic accounts for restricted stock-based compensation under the recognition and measurement principles of ASC 718, "Compensation-Stock Compensation". CoreCivic amortizes the fair market value as of the grant date of restricted stock unit ("RSU") awards over the vesting period using the straight-line method. The fair market value of performance-based restricted stock units is amortized over the vesting period as long as CoreCivic considers it probable that it will meet the performance criteria. To the extent performance-based RSUs are expected to increase or decrease based on revised estimates of performance, the related expense is adjusted accordingly. If achievement of the performance criteria becomes improbable, an adjustment is made to reverse the expense previously recognized. The Company estimates the number of awards expected to be forfeited and adjusts the estimate when it is likely to change.</w:t>
      </w:r>
    </w:p>
    <w:p>
      <w:pPr>
        <w:spacing w:after="0" w:line="200" w:lineRule="exact"/>
        <w:rPr>
          <w:sz w:val="20"/>
          <w:szCs w:val="20"/>
          <w:color w:val="auto"/>
        </w:rPr>
      </w:pPr>
    </w:p>
    <w:p>
      <w:pPr>
        <w:spacing w:after="0" w:line="20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12" w:name="page113"/>
    <w:bookmarkEnd w:id="11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Leases are accounted for under the provisions of Accounting Standards Update ("ASU") 2016-02, "Leases (Topic 842)" and ASU 2018-11, "Targeted Improvements – Leases (Topic 842)", cumulatively "ASC 842". For finance leases and operating leases, CoreCivic recognizes on the balance sheet a liability to make lease payments and a right-of-use ("ROU") asset representing its right to use the underlying asset for the lease term, with each initially measured at the present value of the lease payments. The Company also applies the "short-term lease exception" permitted by ASC 842 for all classes of underlying assets. With the exception of the South Texas Family Residential Center lease, as further described in Note 4, the Company accounts for each separate lease component of a contract and its associated non-lease components as a single lease component. All rental payments associated with the South Texas Family Residential Center lease were classified as operating expenses.</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 those operating leases that contain renewal options, the Company includes the renewal period in the lease terms, and the related payments are reflected in the ROU asset and lease liability, when it is reasonably certain that a renewal option will be exercised. The ROU asset is included in other assets on the consolidated balance sheets, while the current portion of the lease liability is included in accounts payable and accrued expenses, and the long-term portion of the liability is included in other liabilities on the consolidated balance sheets. Because CoreCivic does not generally have access to the interest rates implicit in its leases, the Company utilizes its incremental borrowing rate, based upon the terms and tenure of each base lease, as the discount rate when calculating the present value of future minimum lease payments for each lease arrangement.</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leases where the Company is the lessor, the Company applies the practical expedient provided by ASC 842 to not separate non-lease components from the associated lease component if certain criteria are met for each class of underlying assets. Lease components are elements of an arrangement that provide the customer with the right to use an identified asset. Non-lease components are distinct elements of a contract that are not related to securing the use of the leased asset and revenue is recognized in accordance with ASC 606. The Company considers common area maintenance ("CAM") and service income associated with tenant work orders to be non-lease components because they represent delivery of a separate service but are not considered a cost of securing the identified asset. In the case of the Company's business, the identified asset would be the leased real estate. The Company has concluded that the timing and pattern of transfer for non-lease components and the associated lease component are the same. The Company has also determined that the predominant component is the lease component and as such its leases qualify as operating leases. The Company accounts for and presents the lease component and the non-lease component as a single component in revenue.</w:t>
      </w:r>
    </w:p>
    <w:p>
      <w:pPr>
        <w:spacing w:after="0" w:line="200" w:lineRule="exact"/>
        <w:rPr>
          <w:sz w:val="20"/>
          <w:szCs w:val="20"/>
          <w:color w:val="auto"/>
        </w:rPr>
      </w:pPr>
    </w:p>
    <w:p>
      <w:pPr>
        <w:spacing w:after="0" w:line="20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13" w:name="page114"/>
    <w:bookmarkEnd w:id="11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No 2023-07, "Improvements to Reportable Segment Disclosures (Topic 280)" ("ASU 2023-07"). ASU 2023-07 updates reportable segment disclosure requirements by including disclosures of significant reportable segment expenses that are regularly provided to the Chief Operating Decision Maker ("CODM") and included within each reported measure of a segment's profit or loss. ASU 2023-07 also requires disclosure of the title and position of the individual identified as the CODM and an explanation of how the CODM uses the reported measures of a segment's profit or loss in assessing segment performance and deciding how to allocate resources. CoreCivic adopted ASU 2023-07 for the year ended December 31, 2024, and has applied the new standard retrospectively for all periods presented. See Note 15, Segment Reporting.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(Topic 740)" ("ASU 2023-09"). ASU 2023-09 requires disaggregated information about a reporting entity's effective tax rate reconciliation as well as additional information on income taxes paid. ASU 2023-09 is effective on a prospective basis for annual periods beginning after December 15, 2024. Early adoption is also permitted for annual financial statements that have not yet been issued or made available for issuance. ASU 2023-09 will result in the required additional disclosures being included in the Company's consolidated financial statements, once adopted. The Company is currently evaluating the impact of adopting ASU 2023-09 and expects to adopt it for the year ending December 31, 2025, including any additional required disclosures.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2024, the Securities and Exchange Commission ("SEC") adopted final rules designed to enhance public company disclosures related to the risks and impacts of climate-related matters (the "Climate Disclosure Rules"). The Climate Disclosure Rules include disclosures relating to climate-related risks and risk management as well as the board and management's governance of such risks. In addition, the Climate Disclosure Rules include requirements to disclose, in the audited consolidated financial statements, the financial effects of severe weather events and other natural conditions meeting certain thresholds, as well as carbon offsets and renewable energy credits. Larger registrants, including CoreCivic, will also be required to disclose information about greenhouse gas emissions, which will be subject to a phased-in assurance requirement. On April 4, 2024, the SEC issued an order staying the Climate Disclosure Rules as it faces certain legal challenges regarding implementation of such rules. The disclosure requirements will be effective for our annual reporting periods beginning with the fiscal year ending December 31, 2025, subject to any delay which may result from the current stay issued by the SEC. The Company is currently assessing the impact of these rules, if implemented, on the Company's consolidated financial statements.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(including its Emerging Issues Task Force), the American Institute of Certified Public Accountants and the SEC applicable to financial statements beginning January 1, 2024 or later did not, or are not expected to, have a material effect on the Company's results of operations or financial position.</w:t>
      </w:r>
    </w:p>
    <w:p>
      <w:pPr>
        <w:spacing w:after="0" w:line="39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14" w:name="page115"/>
    <w:bookmarkEnd w:id="114"/>
    <w:p>
      <w:pPr>
        <w:spacing w:after="0" w:line="190"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REAL ESTATE AND RELATED ASSETS</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2024, CoreCivic owned or controlled via long-term leases 65 correctional, detention, and residential reentry real estate properties, including 6 correctional properties in the Company's CoreCivic Properties segment. At December 31, 2024, CoreCivic also managed four correctional and detention facilities owned by governmental agencies.</w:t>
      </w:r>
    </w:p>
    <w:p>
      <w:pPr>
        <w:spacing w:after="0" w:line="17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at cost, consists of the following (in thousands):</w:t>
      </w:r>
    </w:p>
    <w:p>
      <w:pPr>
        <w:spacing w:after="0" w:line="221" w:lineRule="exact"/>
        <w:rPr>
          <w:sz w:val="20"/>
          <w:szCs w:val="20"/>
          <w:color w:val="auto"/>
        </w:rPr>
      </w:pPr>
    </w:p>
    <w:tbl>
      <w:tblPr>
        <w:tblLayout w:type="fixed"/>
        <w:tblInd w:w="124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240,050</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237,505</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3,210,239</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3,193,948</w:t>
            </w: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478,134</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465,337</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fixtures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37,109</w:t>
            </w:r>
          </w:p>
        </w:tc>
        <w:tc>
          <w:tcPr>
            <w:tcW w:w="2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38,747</w:t>
            </w:r>
          </w:p>
        </w:tc>
        <w:tc>
          <w:tcPr>
            <w:tcW w:w="100" w:type="dxa"/>
            <w:vAlign w:val="bottom"/>
          </w:tcPr>
          <w:p>
            <w:pPr>
              <w:spacing w:after="0"/>
              <w:rPr>
                <w:sz w:val="18"/>
                <w:szCs w:val="18"/>
                <w:color w:val="auto"/>
              </w:rPr>
            </w:pPr>
          </w:p>
        </w:tc>
      </w:tr>
      <w:tr>
        <w:trPr>
          <w:trHeight w:val="210"/>
        </w:trPr>
        <w:tc>
          <w:tcPr>
            <w:tcW w:w="5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3,965,532</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3,935,537</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(1,905,508 )</w:t>
            </w:r>
          </w:p>
        </w:tc>
        <w:tc>
          <w:tcPr>
            <w:tcW w:w="7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(1,821,015 )</w:t>
            </w:r>
          </w:p>
        </w:tc>
      </w:tr>
      <w:tr>
        <w:trPr>
          <w:trHeight w:val="249"/>
        </w:trPr>
        <w:tc>
          <w:tcPr>
            <w:tcW w:w="50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2,060,024</w:t>
            </w: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2,114,522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-25400</wp:posOffset>
            </wp:positionV>
            <wp:extent cx="596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596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$127.6 million, $126.8 million, and $126.7 million for the years ended December 31, 2024, 2023, and 2022, respectively.</w:t>
      </w:r>
    </w:p>
    <w:p>
      <w:pPr>
        <w:spacing w:after="0" w:line="225"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Nine of the facilities owned by CoreCivic are subject to options that allow various governmental agencies to purchase those facilities. Certain of these options to purchase are based on a depreciated book value while others are based on a fair market value calculation. Four of the facilities that are subject to options are accounted for in accordance with ASC 853 and are recorded in other real estate assets on the consolidated balance sheets, as further described in Note 2. As of December 31, 2024 and 2023, CoreCivic had $193.1 million and $201.6 million, respectively, in other real estate assets, including $132.5 million and $134.8 million, respectively, accounted for as a contract cost and $60.6 million and $66.8 million, respectively, accounted for as costs of fulfilling the related service contract.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90" w:lineRule="exact"/>
        <w:rPr>
          <w:sz w:val="20"/>
          <w:szCs w:val="20"/>
          <w:color w:val="auto"/>
        </w:rPr>
      </w:pPr>
    </w:p>
    <w:p>
      <w:pPr>
        <w:ind w:left="520" w:right="10040" w:hanging="512"/>
        <w:spacing w:after="0" w:line="400" w:lineRule="auto"/>
        <w:tabs>
          <w:tab w:leader="none" w:pos="52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 Lessee</w:t>
      </w:r>
    </w:p>
    <w:p>
      <w:pPr>
        <w:jc w:val="both"/>
        <w:ind w:left="52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further described in Note 2, CoreCivic accounts for leases in accordance with ASC 842. CoreCivic leases land and buildings from third-party lessors for multiple properties under operating leases that expire over varying dates through 2032. The ROU asset related to these leases amounted to $42.4 million and $119.8 million at December 31, 2024 and 2023, respectively, while the current portion of the lease liability amounted to $3.3 million and $25.9 million and the long-term portion of the liability amounted to $17.7 million and $70.9 million at December 31, 2024 and 2023, respectively. As of December 31, 2024, the weighted-average lease term of the operating leases was 5.7 years, and the weighted average discount rate associated with the operating leases was 5.5%.</w:t>
      </w:r>
    </w:p>
    <w:p>
      <w:pPr>
        <w:spacing w:after="0" w:line="178" w:lineRule="exact"/>
        <w:rPr>
          <w:rFonts w:ascii="Times New Roman" w:cs="Times New Roman" w:eastAsia="Times New Roman" w:hAnsi="Times New Roman"/>
          <w:sz w:val="17"/>
          <w:szCs w:val="17"/>
          <w:b w:val="1"/>
          <w:bCs w:val="1"/>
          <w:color w:val="auto"/>
        </w:rPr>
      </w:pPr>
    </w:p>
    <w:p>
      <w:pPr>
        <w:jc w:val="both"/>
        <w:ind w:left="52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further described in Note 10, the Company received notification from ICE of its intent to terminate an inter-governmental service agreement ("IGSA") for services at the 2,400-bed South Texas Family Residential Center ("STFRC") effective August 9, 2024. CoreCivic leased the STFRC and the site upon which it was constructed from a third-party lessor. CoreCivic's lease agreement with the third-party lessor was over a base period concurrent with the IGSA with ICE, which was amended in September 2020 to extend the term of the agreement through September 2026. The extended lease agreement provided CoreCivic with the ability to terminate the lease with a notification period of at least 60 days if ICE terminated the extended IGSA. Upon being notified by ICE of its intent to terminate the IGSA at the STFRC, CoreCivic provided notice to the third-party lessor of its intent to terminate the lease agreement effective August 9, 2024. In accordance with ASC 842, in the second quarter of 2024, CoreCivic remeasured the lease liability and recorded a corresponding adjustment of $57.0 million to the associated ROU asset to reflect the reduction to the lease term. Given the lease termination, as of December 31, 2024, there were no balances remaining associated with a ROU asset or lease liability for the STFRC site.</w:t>
      </w:r>
    </w:p>
    <w:p>
      <w:pPr>
        <w:spacing w:after="0" w:line="194"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expense incurred for all operating leases, inclusive of short-term and variable leases, but exclusive of the non-lease food services component of the STFRC lease, was $20.9 million, $34.2 million, and $34.2 million for the years ended December 31, 2024, 2023, and 2022, respectively. The cash payments for operating leases are reflected as cash flows from operating activities on the accompanying consolidated statements of cash flows and cash payments for financing leases are reflected as cash flows from financing activities. Future minimum lease payments as of December 31, 2024 for the Company's operating lease liabilities are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shd w:val="clear" w:color="auto" w:fill="CFF0FC"/>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shd w:val="clear" w:color="auto" w:fill="CFF0FC"/>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shd w:val="clear" w:color="auto" w:fill="CFF0FC"/>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2260" w:type="dxa"/>
            <w:vAlign w:val="bottom"/>
          </w:tcPr>
          <w:p>
            <w:pPr>
              <w:spacing w:after="0"/>
              <w:rPr>
                <w:sz w:val="18"/>
                <w:szCs w:val="18"/>
                <w:color w:val="auto"/>
              </w:rPr>
            </w:pPr>
          </w:p>
        </w:tc>
        <w:tc>
          <w:tcPr>
            <w:tcW w:w="5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24,597</w:t>
            </w:r>
          </w:p>
        </w:tc>
        <w:tc>
          <w:tcPr>
            <w:tcW w:w="100" w:type="dxa"/>
            <w:vAlign w:val="bottom"/>
            <w:shd w:val="clear" w:color="auto" w:fill="CFF0FC"/>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(3,613 )</w:t>
            </w:r>
          </w:p>
        </w:tc>
        <w:tc>
          <w:tcPr>
            <w:tcW w:w="2240" w:type="dxa"/>
            <w:vAlign w:val="bottom"/>
          </w:tcPr>
          <w:p>
            <w:pPr>
              <w:spacing w:after="0"/>
              <w:rPr>
                <w:sz w:val="18"/>
                <w:szCs w:val="18"/>
                <w:color w:val="auto"/>
              </w:rPr>
            </w:pPr>
          </w:p>
        </w:tc>
      </w:tr>
      <w:tr>
        <w:trPr>
          <w:trHeight w:val="250"/>
        </w:trPr>
        <w:tc>
          <w:tcPr>
            <w:tcW w:w="2260" w:type="dxa"/>
            <w:vAlign w:val="bottom"/>
          </w:tcPr>
          <w:p>
            <w:pPr>
              <w:spacing w:after="0"/>
              <w:rPr>
                <w:sz w:val="21"/>
                <w:szCs w:val="21"/>
                <w:color w:val="auto"/>
              </w:rPr>
            </w:pPr>
          </w:p>
        </w:tc>
        <w:tc>
          <w:tcPr>
            <w:tcW w:w="54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present value of minimum lease payments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20,984</w:t>
            </w:r>
          </w:p>
        </w:tc>
        <w:tc>
          <w:tcPr>
            <w:tcW w:w="100" w:type="dxa"/>
            <w:vAlign w:val="bottom"/>
            <w:tcBorders>
              <w:bottom w:val="single" w:sz="8" w:color="CFF0FC"/>
            </w:tcBorders>
            <w:shd w:val="clear" w:color="auto" w:fill="CFF0FC"/>
          </w:tcPr>
          <w:p>
            <w:pPr>
              <w:spacing w:after="0"/>
              <w:rPr>
                <w:sz w:val="21"/>
                <w:szCs w:val="21"/>
                <w:color w:val="auto"/>
              </w:rPr>
            </w:pPr>
          </w:p>
        </w:tc>
        <w:tc>
          <w:tcPr>
            <w:tcW w:w="2240" w:type="dxa"/>
            <w:vAlign w:val="bottom"/>
          </w:tcPr>
          <w:p>
            <w:pPr>
              <w:spacing w:after="0"/>
              <w:rPr>
                <w:sz w:val="21"/>
                <w:szCs w:val="21"/>
                <w:color w:val="auto"/>
              </w:rPr>
            </w:pPr>
          </w:p>
        </w:tc>
      </w:tr>
      <w:tr>
        <w:trPr>
          <w:trHeight w:val="845"/>
        </w:trPr>
        <w:tc>
          <w:tcPr>
            <w:tcW w:w="2260" w:type="dxa"/>
            <w:vAlign w:val="bottom"/>
          </w:tcPr>
          <w:p>
            <w:pPr>
              <w:spacing w:after="0"/>
              <w:rPr>
                <w:sz w:val="24"/>
                <w:szCs w:val="24"/>
                <w:color w:val="auto"/>
              </w:rPr>
            </w:pPr>
          </w:p>
        </w:tc>
        <w:tc>
          <w:tcPr>
            <w:tcW w:w="546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F-17</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-1070610</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-1053465</wp:posOffset>
            </wp:positionV>
            <wp:extent cx="603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00" w:lineRule="exact"/>
        <w:rPr>
          <w:sz w:val="20"/>
          <w:szCs w:val="20"/>
          <w:color w:val="auto"/>
        </w:rPr>
      </w:pP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Lessor</w:t>
      </w:r>
    </w:p>
    <w:p>
      <w:pPr>
        <w:spacing w:after="0" w:line="121"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Through its CoreCivic Properties segment, as of December 31, 2024, the Company owned $239.9 million in property and equipment at six properties, four of which are currently leased to government agencies under operating and finance leases that expire over varying dates through 2040 and some of which contain renewal options. In accordance with ASC 842, minimum lease revenue is recognized on a straight-line basis over the term of the related lease. Lease incentives are recognized as a reduction to lease revenue on a straight-line basis over the term of the related lease. Lease revenue associated with expense reimbursements from tenants is recognized in the period that the related expenses are incurred based upon the tenant lease provision. Future minimum lease payments to be received from third-party lessees as of December 31, 2024 for the Company's operating leases are as follows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38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15,962</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8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16,174</w:t>
            </w: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8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15,615</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8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11,950</w:t>
            </w: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8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8,308</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2,279</w:t>
            </w:r>
          </w:p>
        </w:tc>
      </w:tr>
    </w:tbl>
    <w:p>
      <w:pPr>
        <w:spacing w:after="0" w:line="200" w:lineRule="exact"/>
        <w:rPr>
          <w:sz w:val="20"/>
          <w:szCs w:val="20"/>
          <w:color w:val="auto"/>
        </w:rPr>
      </w:pPr>
    </w:p>
    <w:p>
      <w:pPr>
        <w:spacing w:after="0" w:line="2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Financing Leasing Transactions</w:t>
      </w:r>
    </w:p>
    <w:p>
      <w:pPr>
        <w:spacing w:after="0" w:line="121"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On January 24, 2018, CoreCivic entered into a 20-year lease agreement with the Kansas Department of Corrections ("KDOC") for a 2,432-bed correctional facility to be constructed by the Company in Lansing, Kansas. The new facility, reported in the Company's CoreCivic Properties segment, replaced the Lansing Correctional Facility, Kansas' largest correctional complex for adult male inmates, originally constructed in 1863. CoreCivic will be responsible for facility maintenance throughout the 20-year term of the lease, at which time ownership will revert to the state of Kansas. Construction of the facility commenced in the first quarter of 2018, and construction was completed in January 2020, at which time the lease commenced. CoreCivic accounts for the lease with the KDOC partially as a financing receivable under ASC 842, with the remaining portion of the lease payments attributable to maintenance services and capital expenditures as revenue streams under ASC 606. As of December 31, 2024 and 2023, the financing receivable was $135.3 million and $139.0 million, respectively, included in Other Assets on the consolidated balance sheets. For the years ended December 31, 2024, 2023 and 2022, the Lansing Correctional Facility generated $2.7 million, $2.6 million, and $2.5 million, respectively, of revenue associated with the non-lease services components of the arrangement, and $8.3 million, $8.5 million, and $8.7 million of interest income, respectively. Future minimum lease payments to be received from the third-party lessee as of December 31, 2024 for the Company's finance lease is as follows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16,484</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17,130</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17,801</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199,956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7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 to be received</w:t>
            </w: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285,637</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5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(75,890 )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73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Less amount representing maintenance services</w:t>
            </w:r>
          </w:p>
        </w:tc>
        <w:tc>
          <w:tcPr>
            <w:tcW w:w="520" w:type="dxa"/>
            <w:vAlign w:val="bottom"/>
            <w:shd w:val="clear" w:color="auto" w:fill="CFF0FC"/>
          </w:tcPr>
          <w:p>
            <w:pPr>
              <w:spacing w:after="0"/>
              <w:rPr>
                <w:sz w:val="17"/>
                <w:szCs w:val="17"/>
                <w:color w:val="auto"/>
              </w:rPr>
            </w:pPr>
          </w:p>
        </w:tc>
        <w:tc>
          <w:tcPr>
            <w:tcW w:w="11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(74,420 )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7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and capital expenditures</w:t>
            </w:r>
          </w:p>
        </w:tc>
        <w:tc>
          <w:tcPr>
            <w:tcW w:w="520" w:type="dxa"/>
            <w:vAlign w:val="bottom"/>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73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present value of minimum lease payments to be received</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135,327</w:t>
            </w:r>
          </w:p>
        </w:tc>
        <w:tc>
          <w:tcPr>
            <w:tcW w:w="100" w:type="dxa"/>
            <w:vAlign w:val="bottom"/>
            <w:tcBorders>
              <w:top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340" w:type="dxa"/>
            <w:vAlign w:val="bottom"/>
            <w:vMerge w:val="restart"/>
          </w:tcPr>
          <w:p>
            <w:pPr>
              <w:ind w:left="4320"/>
              <w:spacing w:after="0"/>
              <w:rPr>
                <w:sz w:val="20"/>
                <w:szCs w:val="20"/>
                <w:color w:val="auto"/>
              </w:rPr>
            </w:pPr>
            <w:r>
              <w:rPr>
                <w:rFonts w:ascii="Times New Roman" w:cs="Times New Roman" w:eastAsia="Times New Roman" w:hAnsi="Times New Roman"/>
                <w:sz w:val="18"/>
                <w:szCs w:val="18"/>
                <w:color w:val="auto"/>
              </w:rPr>
              <w:t>F-18</w:t>
            </w: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140" w:type="dxa"/>
            <w:vAlign w:val="bottom"/>
          </w:tcPr>
          <w:p>
            <w:pPr>
              <w:spacing w:after="0"/>
              <w:rPr>
                <w:sz w:val="24"/>
                <w:szCs w:val="24"/>
                <w:color w:val="auto"/>
              </w:rPr>
            </w:pPr>
          </w:p>
        </w:tc>
        <w:tc>
          <w:tcPr>
            <w:tcW w:w="73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-1216660</wp:posOffset>
            </wp:positionV>
            <wp:extent cx="596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98" w:lineRule="exact"/>
        <w:rPr>
          <w:sz w:val="20"/>
          <w:szCs w:val="20"/>
          <w:color w:val="auto"/>
        </w:rPr>
      </w:pPr>
    </w:p>
    <w:p>
      <w:pPr>
        <w:ind w:left="520" w:right="7820" w:hanging="512"/>
        <w:spacing w:after="0" w:line="377" w:lineRule="auto"/>
        <w:tabs>
          <w:tab w:leader="none" w:pos="5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REAL ESTATE TRANSACTIONS Assets Held For Sale and Dispositions</w:t>
      </w:r>
    </w:p>
    <w:p>
      <w:pPr>
        <w:spacing w:after="0" w:line="1" w:lineRule="exact"/>
        <w:rPr>
          <w:rFonts w:ascii="Times New Roman" w:cs="Times New Roman" w:eastAsia="Times New Roman" w:hAnsi="Times New Roman"/>
          <w:sz w:val="18"/>
          <w:szCs w:val="18"/>
          <w:b w:val="1"/>
          <w:bCs w:val="1"/>
          <w:color w:val="auto"/>
        </w:rPr>
      </w:pPr>
    </w:p>
    <w:p>
      <w:pPr>
        <w:jc w:val="both"/>
        <w:ind w:left="5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2024, CoreCivic completed the sale of an idled 390-bed facility in Oklahoma that was reported in its CoreCivic Community segment. The sale generated net sales proceeds of $3.4 million, resulting in a gain on sale of $1.2 million reported in the third quarter of 2024. In January 2024, CoreCivic completed the sale of a facility in Colorado that was also reported in its CoreCivic Community segment. The sale generated net sales proceeds of $8.0 million, resulting in a gain on sale of $0.5 million reported in the first quarter of 2024. The facility was classified as held for sale as of December 31, 2023. CoreCivic continued to operate the facility through the expiration of the related management contract in June 2024. In addition, during 2024, CoreCivic completed the sales of two unused parcels of land in Texas. The sales generated net sales proceeds of $1.9 million, resulting in an aggregate gain on sale of $1.6 million.</w:t>
      </w:r>
    </w:p>
    <w:p>
      <w:pPr>
        <w:spacing w:after="0" w:line="188"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incurred an asset impairment charge of $3.1 million in the third quarter of 2024 associated with property and equipment at the STFRC based on a cash flow method for determining fair value. See Notes 4 and 10 for further detail regarding the terminations of the IGSA and lease agreement associated with the STFRC, which was reported in the Company's CoreCivic Safety segment.</w:t>
      </w:r>
    </w:p>
    <w:p>
      <w:pPr>
        <w:spacing w:after="0" w:line="175"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2023, CoreCivic completed the sales of three community corrections facilities leased to government agencies that were reported in CoreCivic's Properties segment and one vacant parcel of land. The sales of these four assets generated aggregate net sales proceeds of $10.8 million, resulting in an aggregate net gain on sale of $0.8 million after transaction costs.</w:t>
      </w:r>
    </w:p>
    <w:p>
      <w:pPr>
        <w:spacing w:after="0" w:line="175" w:lineRule="exact"/>
        <w:rPr>
          <w:rFonts w:ascii="Times New Roman" w:cs="Times New Roman" w:eastAsia="Times New Roman" w:hAnsi="Times New Roman"/>
          <w:sz w:val="18"/>
          <w:szCs w:val="18"/>
          <w:b w:val="1"/>
          <w:bCs w:val="1"/>
          <w:color w:val="auto"/>
        </w:rPr>
      </w:pPr>
    </w:p>
    <w:p>
      <w:pPr>
        <w:jc w:val="both"/>
        <w:ind w:left="5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25, 2022, CoreCivic entered into a Purchase and Sale Agreement with the Georgia Building Authority for the sale of CoreCivic's McRae Correctional Facility located in McRae, Georgia, and reported in CoreCivic's Safety segment, for a gross sales price of $130.0 million. The sale of the McRae facility was completed on August 9, 2022. The sale generated net proceeds of $129.7 million, resulting in a gain on sale of $77.5 million after transaction costs, which was reported in the third quarter of 2022. CoreCivic had a management contract with the Bureau of Prisons ("BOP") at the McRae facility, which expired on November 30, 2022 and was not renewed. In connection with the sale, CoreCivic and the Georgia Building Authority entered into an agreement to lease the McRae Correctional Facility to CoreCivic through November 30, 2022 to allow the Company to fulfill its obligations to the BOP.</w:t>
      </w:r>
    </w:p>
    <w:p>
      <w:pPr>
        <w:spacing w:after="0" w:line="188" w:lineRule="exact"/>
        <w:rPr>
          <w:rFonts w:ascii="Times New Roman" w:cs="Times New Roman" w:eastAsia="Times New Roman" w:hAnsi="Times New Roman"/>
          <w:sz w:val="18"/>
          <w:szCs w:val="18"/>
          <w:b w:val="1"/>
          <w:bCs w:val="1"/>
          <w:color w:val="auto"/>
        </w:rPr>
      </w:pPr>
    </w:p>
    <w:p>
      <w:pPr>
        <w:jc w:val="both"/>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during 2022, CoreCivic completed the sales of three residential reentry centers in Oklahoma and Colorado and reported in CoreCivic's Community segment, two community corrections facilities leased to government agencies in California and reported in CoreCivic's Properties segment, and two undeveloped parcels of land. The sales of these seven properties generated aggregate net sales proceeds of $27.3 million, resulting in an aggregate net gain on sale of $9.9 million after transaction costs. Pursuant to the agreement to sell the Oklahoma property, in the third quarter of 2022, CoreCivic recognized an impairment charge of $3.5 million associated with the facility, based on its fair value less costs to sell.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Idle Facilities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CoreCivic had nine idle correctional facilities that are currently available and being actively marketed as solutions to meet the needs of potential customers. The following table summarizes each of the idled facilities and their respective net carrying values, excluding equipment and other assets that could generally be transferred and used at other facilities CoreCivic owns without significant cost (dollars in thousands):</w:t>
      </w:r>
    </w:p>
    <w:p>
      <w:pPr>
        <w:spacing w:after="0" w:line="16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Net Carrying Values at</w:t>
            </w: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3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40" w:type="dxa"/>
            <w:vAlign w:val="bottom"/>
            <w:vMerge w:val="restart"/>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Prairie Correctional Facility</w:t>
            </w:r>
          </w:p>
        </w:tc>
        <w:tc>
          <w:tcPr>
            <w:tcW w:w="43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12,390</w:t>
            </w:r>
          </w:p>
        </w:tc>
        <w:tc>
          <w:tcPr>
            <w:tcW w:w="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Huerfano County Correctional Center</w:t>
            </w: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13,625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Diamondback Correctional Facility</w:t>
            </w:r>
          </w:p>
        </w:tc>
        <w:tc>
          <w:tcPr>
            <w:tcW w:w="3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36,644</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Marion Adjustment Center</w:t>
            </w: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9,811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Kit Carson Correctional Center</w:t>
            </w:r>
          </w:p>
        </w:tc>
        <w:tc>
          <w:tcPr>
            <w:tcW w:w="3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46,279</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West Tennessee Detention Facility</w:t>
            </w: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17,632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Midwest Regional Reception Center</w:t>
            </w:r>
          </w:p>
        </w:tc>
        <w:tc>
          <w:tcPr>
            <w:tcW w:w="3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48,115</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North Fork Correctional Facility</w:t>
            </w: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57,444</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California City Correctional Center</w:t>
            </w:r>
          </w:p>
        </w:tc>
        <w:tc>
          <w:tcPr>
            <w:tcW w:w="38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73,232</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4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315,172</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5332730</wp:posOffset>
            </wp:positionH>
            <wp:positionV relativeFrom="paragraph">
              <wp:posOffset>-170815</wp:posOffset>
            </wp:positionV>
            <wp:extent cx="596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-170815</wp:posOffset>
            </wp:positionV>
            <wp:extent cx="60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Effective March 31, 2024, the Company's lease agreement with California Department of Corrections and Rehabilitation was terminated and the California City Correctional Center became idled. As of December 31, 2024, CoreCivic also had one idled non-core facility in its Safety segment containing 240 beds with a net book value of $2.7 million, and an idled facility in its Community segment, containing 60 beds with a net book value of $1.1 million.</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CoreCivic incurred aggregate operating expenses at these idled facilities of approximately $17.4 million, $12.2 million, and $9.4 million during the period they were idle for the years ended December 31, 2024, 2023, and 2022, respectively. The amount for 2022 excludes $3.5 million of operating expenses incurred at the West Tennessee Detention Facility and the Midwest Regional Reception Center during the three months ended March 31, 2022. The West Tennessee facility was idled upon the expiration of a USMS contract on September 30, 2021, and the Midwest Regional Reception Center was idled upon the expiration of a USMS contract on December 31, 2021. CoreCivic retained a certain staffing level at both facilities through the first three months of 2022 in order to quickly respond in the event the Company was able to enter into new contracts with government agencies promptly following the contract expirations. The Company also continued to incur expenses related to transportation services provided by staff at the Midwest Regional Reception Center during the first three months of 2022.</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estimated undiscounted cash flows for each facility with an impairment indicator. The Company's estimated undiscounted cash flows reflected the Company’s most recent expectations around potential utilization and/or sale of the facilities and projected cash flows based on historical cash flows, cash flows of comparable facilities, and recent contract negotiations for utilization, as applicable. The Company concluded that the estimated undiscounted cash flows exceeded carrying values for each facility as of December 31, 2024 and 2023.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CoreCivic evaluates, on a quarterly basis, market developments for the potential utilization of each of its idle facilities in order to identify events that may cause CoreCivic to reconsider its assumptions with respect to the recoverability of book values as compared to undiscounted cash flows. CoreCivic considers the cancellation of a contract in its Safety or Community segment or an expiration and non-renewal of a lease agreement in its CoreCivic Properties segment as indicators of impairment and tests each of the idled facilities for impairment when it is notified by the respective customers or tenants that they would no longer be utilizing such facility.</w:t>
      </w:r>
    </w:p>
    <w:p>
      <w:pPr>
        <w:spacing w:after="0" w:line="39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19" w:name="page120"/>
    <w:bookmarkEnd w:id="119"/>
    <w:p>
      <w:pPr>
        <w:spacing w:after="0" w:line="190"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AFFILIATE</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has a 50% ownership interest in Agecroft Prison Management Ltd. ("APM"), an entity holding the management contract for a correctional facility, HM Prison Forest Bank, under a 25-year prison management contract with an agency of the United Kingdom government. CoreCivic has determined that its joint venture investment in APM represents a variable interest entity ("VIE") in accordance with ASC 810, "Consolidation" of which CoreCivic is not the primary beneficiary. The Forest Bank facility, located in Salford, England, which was sold in April 2001, was previously constructed and owned by a wholly-owned subsidiary of CoreCivic. All gains and losses under the joint venture are accounted for using the equity method of accounting. During 2000, CoreCivic extended a working capital loan to APM, which has an outstanding balance of $2.8 million as of December 31, 2024 and is reported in prepaid expenses and other current assets on the accompanying consolidated balance sheets. This note was repaid in the first quarter of 2025.</w:t>
      </w:r>
    </w:p>
    <w:p>
      <w:pPr>
        <w:spacing w:after="0" w:line="191"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years ended December 31, 2024 and 2023, equity in earnings of the joint venture was $2.3 million and $325,000, respectively. For the year ended December 31, 2022, equity in losses of the joint venture was $124,000. The equity in earnings and losses of the joint venture is included in other income (expense) in the consolidated statements of operations.</w:t>
      </w:r>
    </w:p>
    <w:p>
      <w:pPr>
        <w:spacing w:after="0" w:line="171"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assets consist of the following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9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Intangible assets, less accumulated amortization</w:t>
            </w:r>
          </w:p>
        </w:tc>
        <w:tc>
          <w:tcPr>
            <w:tcW w:w="32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6,719</w:t>
            </w: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of $2,761 and $2,307, respectively</w:t>
            </w:r>
          </w:p>
        </w:tc>
        <w:tc>
          <w:tcPr>
            <w:tcW w:w="320" w:type="dxa"/>
            <w:vAlign w:val="bottom"/>
            <w:vMerge w:val="continue"/>
            <w:shd w:val="clear" w:color="auto" w:fill="CFF0FC"/>
          </w:tcPr>
          <w:p>
            <w:pPr>
              <w:spacing w:after="0"/>
              <w:rPr>
                <w:sz w:val="20"/>
                <w:szCs w:val="20"/>
                <w:color w:val="auto"/>
              </w:rPr>
            </w:pPr>
          </w:p>
        </w:tc>
        <w:tc>
          <w:tcPr>
            <w:tcW w:w="1100" w:type="dxa"/>
            <w:vAlign w:val="bottom"/>
            <w:vMerge w:val="continue"/>
            <w:shd w:val="clear" w:color="auto" w:fill="CFF0FC"/>
          </w:tcPr>
          <w:p>
            <w:pPr>
              <w:spacing w:after="0"/>
              <w:rPr>
                <w:sz w:val="20"/>
                <w:szCs w:val="20"/>
                <w:color w:val="auto"/>
              </w:rPr>
            </w:pPr>
          </w:p>
        </w:tc>
        <w:tc>
          <w:tcPr>
            <w:tcW w:w="72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Financing receivable - Kansas lease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135,327</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ROU lease assets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42,399</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Debt issuance costs for revolving credit facility,</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amortization of $962 and</w:t>
            </w: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2,762</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$180, respectively</w:t>
            </w:r>
          </w:p>
        </w:tc>
        <w:tc>
          <w:tcPr>
            <w:tcW w:w="32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9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Cash equivalents and cash surrender value of life</w:t>
            </w:r>
          </w:p>
        </w:tc>
        <w:tc>
          <w:tcPr>
            <w:tcW w:w="320" w:type="dxa"/>
            <w:vAlign w:val="bottom"/>
            <w:shd w:val="clear" w:color="auto" w:fill="CFF0FC"/>
          </w:tcPr>
          <w:p>
            <w:pPr>
              <w:spacing w:after="0"/>
              <w:rPr>
                <w:sz w:val="17"/>
                <w:szCs w:val="17"/>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16,720</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insurance held in rabbi trust</w:t>
            </w:r>
          </w:p>
        </w:tc>
        <w:tc>
          <w:tcPr>
            <w:tcW w:w="320" w:type="dxa"/>
            <w:vAlign w:val="bottom"/>
            <w:shd w:val="clear" w:color="auto" w:fill="CFF0FC"/>
          </w:tcPr>
          <w:p>
            <w:pPr>
              <w:spacing w:after="0"/>
              <w:rPr>
                <w:sz w:val="20"/>
                <w:szCs w:val="20"/>
                <w:color w:val="auto"/>
              </w:rPr>
            </w:pPr>
          </w:p>
        </w:tc>
        <w:tc>
          <w:tcPr>
            <w:tcW w:w="110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Straight-line rent receivable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receivable</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16,129</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2,813</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9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224,100</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309,558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-25400</wp:posOffset>
            </wp:positionV>
            <wp:extent cx="603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03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72"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gross carrying amount of intangible assets amounted to $9.5 million at December 31, 2024 and 2023. Amortization expense related to intangible assets was $0.5 million, $0.5 million, and $1.3 million for 2024, 2023, and 2022, respectively, and was reported as depreciation and amortization in the accompanying consolidated statements of operations for the respective periods.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the estimated amortization expense related to intangible assets for each of the next five years is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780" w:type="dxa"/>
            <w:vAlign w:val="bottom"/>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w w:val="94"/>
              </w:rPr>
              <w:t>2025</w:t>
            </w:r>
          </w:p>
        </w:tc>
        <w:tc>
          <w:tcPr>
            <w:tcW w:w="418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454</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78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94"/>
              </w:rPr>
              <w:t>2026</w:t>
            </w:r>
          </w:p>
        </w:tc>
        <w:tc>
          <w:tcPr>
            <w:tcW w:w="418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454</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780" w:type="dxa"/>
            <w:vAlign w:val="bottom"/>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w w:val="94"/>
              </w:rPr>
              <w:t>2027</w:t>
            </w:r>
          </w:p>
        </w:tc>
        <w:tc>
          <w:tcPr>
            <w:tcW w:w="4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454</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78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94"/>
              </w:rPr>
              <w:t>2028</w:t>
            </w:r>
          </w:p>
        </w:tc>
        <w:tc>
          <w:tcPr>
            <w:tcW w:w="418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454</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780" w:type="dxa"/>
            <w:vAlign w:val="bottom"/>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w w:val="94"/>
              </w:rPr>
              <w:t>2029</w:t>
            </w:r>
          </w:p>
        </w:tc>
        <w:tc>
          <w:tcPr>
            <w:tcW w:w="4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454</w:t>
            </w:r>
          </w:p>
        </w:tc>
        <w:tc>
          <w:tcPr>
            <w:tcW w:w="2240" w:type="dxa"/>
            <w:vAlign w:val="bottom"/>
          </w:tcPr>
          <w:p>
            <w:pPr>
              <w:spacing w:after="0"/>
              <w:rPr>
                <w:sz w:val="18"/>
                <w:szCs w:val="18"/>
                <w:color w:val="auto"/>
              </w:rPr>
            </w:pPr>
          </w:p>
        </w:tc>
      </w:tr>
      <w:tr>
        <w:trPr>
          <w:trHeight w:val="864"/>
        </w:trPr>
        <w:tc>
          <w:tcPr>
            <w:tcW w:w="2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18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F-21</w:t>
            </w:r>
          </w:p>
        </w:tc>
        <w:tc>
          <w:tcPr>
            <w:tcW w:w="7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82" w:lineRule="exact"/>
        <w:rPr>
          <w:sz w:val="20"/>
          <w:szCs w:val="20"/>
          <w:color w:val="auto"/>
        </w:rPr>
      </w:pPr>
    </w:p>
    <w:p>
      <w:pPr>
        <w:ind w:left="520" w:right="3380" w:hanging="512"/>
        <w:spacing w:after="0" w:line="412" w:lineRule="auto"/>
        <w:tabs>
          <w:tab w:leader="none" w:pos="5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ACCOUNTS PAYABLE, ACCRUED EXPENSES AND OTHER LONG-TERM LIABILITIES </w:t>
      </w:r>
      <w:r>
        <w:rPr>
          <w:rFonts w:ascii="Times New Roman" w:cs="Times New Roman" w:eastAsia="Times New Roman" w:hAnsi="Times New Roman"/>
          <w:sz w:val="18"/>
          <w:szCs w:val="18"/>
          <w:color w:val="auto"/>
        </w:rPr>
        <w:t>Accounts payable and accrued expenses consist of the following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2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72,866</w:t>
            </w:r>
          </w:p>
        </w:tc>
        <w:tc>
          <w:tcPr>
            <w:tcW w:w="3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72,020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76,707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60,918</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Commissary and related resident payables</w:t>
            </w:r>
          </w:p>
        </w:tc>
        <w:tc>
          <w:tcPr>
            <w:tcW w:w="1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33,379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26,010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1,943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4,619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workers' compensation and auto liability</w:t>
            </w:r>
          </w:p>
        </w:tc>
        <w:tc>
          <w:tcPr>
            <w:tcW w:w="1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9,384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9,223</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litigation</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7,406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7,756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medical insurance</w:t>
            </w:r>
          </w:p>
        </w:tc>
        <w:tc>
          <w:tcPr>
            <w:tcW w:w="1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7,188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6,640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property taxes</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26,689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25,914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12,319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14,399</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3,253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34,353</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12,233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13,117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payable</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2,044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10,098</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8,844</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273,724</w:t>
            </w:r>
          </w:p>
        </w:tc>
        <w:tc>
          <w:tcPr>
            <w:tcW w:w="3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285,857</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 of the following (in thousands):</w:t>
            </w: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360" w:type="dxa"/>
            <w:vAlign w:val="bottom"/>
            <w:gridSpan w:val="3"/>
            <w:vMerge w:val="continue"/>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contract liability</w:t>
            </w:r>
          </w:p>
        </w:tc>
        <w:tc>
          <w:tcPr>
            <w:tcW w:w="16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3,482</w:t>
            </w:r>
          </w:p>
        </w:tc>
        <w:tc>
          <w:tcPr>
            <w:tcW w:w="52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8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Accrued workers' compensation</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34,765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deferred compensation</w:t>
            </w:r>
          </w:p>
        </w:tc>
        <w:tc>
          <w:tcPr>
            <w:tcW w:w="1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15,347</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14,026</w:t>
            </w:r>
          </w:p>
        </w:tc>
        <w:tc>
          <w:tcPr>
            <w:tcW w:w="8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Lease financing obligation</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6,739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17,731</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70,935</w:t>
            </w:r>
          </w:p>
        </w:tc>
        <w:tc>
          <w:tcPr>
            <w:tcW w:w="8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78,064</w:t>
            </w:r>
          </w:p>
        </w:tc>
        <w:tc>
          <w:tcPr>
            <w:tcW w:w="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131,673</w:t>
            </w: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74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F-22</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-3051175</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-3051175</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-1071245</wp:posOffset>
            </wp:positionV>
            <wp:extent cx="514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-1053465</wp:posOffset>
            </wp:positionV>
            <wp:extent cx="514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-1071245</wp:posOffset>
            </wp:positionV>
            <wp:extent cx="514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-1053465</wp:posOffset>
            </wp:positionV>
            <wp:extent cx="5143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7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7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Debt outstanding consists of the following (in thousands):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3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Revolving Credit Facility maturing October 2028.</w:t>
            </w: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payable periodically at variable interest rates.</w:t>
            </w:r>
          </w:p>
        </w:tc>
        <w:tc>
          <w:tcPr>
            <w:tcW w:w="2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maturing October 2028. Interest payable periodically</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variable interest rates. The rate at December 31, 2024 and 2023</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was 7.2% and 8.7%, respectively. Unamortized debt issuance costs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amounted to $1.1 million and $1.5 million at December 31, 2024</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2023, respectively.</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118,750</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4.75% Senior Notes maturing October 2027. Unamortized debt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issuance costs amounted to $1.1 million and $1.5 million at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December 31, 2024 and 2023, respectively.</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238,468</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243,068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8.25% Senior Notes maturing April 2026. Unamortized debt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amounted to $5.8 million at December 31, 2023.</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8.25% Senior Notes were redeemed on April 15, 2024,</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further described below.</w:t>
            </w:r>
          </w:p>
        </w:tc>
        <w:tc>
          <w:tcPr>
            <w:tcW w:w="2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8.25% Senior Notes maturing April 2029. Unamortized debt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issuance costs amounted to $7.5 million at December 31, 2024.</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500,000</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4.43% Lansing Correctional Center Non-Recourse Mortgage Note</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maturing January 2040. Unamortized debt issuance costs amounted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$2.5 million and $2.6 million at December 31, 2024</w:t>
            </w:r>
          </w:p>
        </w:tc>
        <w:tc>
          <w:tcPr>
            <w:tcW w:w="2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140,162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145,510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2023, respectively.</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997,380</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1,106,691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(12,234 )</w:t>
            </w:r>
          </w:p>
        </w:tc>
        <w:tc>
          <w:tcPr>
            <w:tcW w:w="4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(12,052 )</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unamortized original issue premium</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(12,073 )</w:t>
            </w:r>
          </w:p>
        </w:tc>
        <w:tc>
          <w:tcPr>
            <w:tcW w:w="4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(11,597 )</w:t>
            </w: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Borders>
              <w:top w:val="single" w:sz="8" w:color="auto"/>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973,073</w:t>
            </w: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1,083,476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-25400</wp:posOffset>
            </wp:positionV>
            <wp:extent cx="6032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03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6"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Bank Credit Facility. </w:t>
      </w:r>
      <w:r>
        <w:rPr>
          <w:rFonts w:ascii="Times New Roman" w:cs="Times New Roman" w:eastAsia="Times New Roman" w:hAnsi="Times New Roman"/>
          <w:sz w:val="18"/>
          <w:szCs w:val="18"/>
          <w:color w:val="auto"/>
        </w:rPr>
        <w:t>On October 11, 2023, CoreCivic entered into a Fourth Amended and Restated Credit Agreement (referred to herein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Credit Facility") in an aggregate principal amount of $400.0 million, consisting of a $125.0 million term loan (the "Term Loan") and a revolving credit facility with a borrowing capacity of $275.0 million (the "Revolving Credit Facility"). The Bank Credit Facility has a maturity of October 2028. The Bank Credit Facility includes an option to increase the availability under the Revolving Credit Facility and to request additional term loans from the lenders in an aggregate amount not to exceed the greater of (a) $200.0 million and (b) 50% of consolidated EBITDA for the most recently ended four-quarter period, subject to, among other things, the receipt of commitments for the increased amount. At CoreCivic's option, interest on outstanding borrowings under the Bank Credit Facility is based on either a base rate plus a margin ranging from 1.75% to 3.5% based upon the Company’s then-current total leverage ratio, or at Term SOFR (as defined in the Bank Credit Facility), which is a forward-looking term rate based on the Secured Overnight Financing Rate ("SOFR") plus a margin ranging from 2.75% to 4.5% based on the Company’s then-current total leverage ratio. The Revolving Credit Facility includes a $25.0 million sublimit for swing line loans that enables CoreCivic to borrow at the base rate plus the applicable margin from the Administrative Agent (as defined in the Bank Credit Facility) on same-day notice.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the Company's total leverage ratio, as of December 31, 2024, interest on loans under the Bank Credit Facility, was at a base rate plus a margin of 1.75% or at the Term SOFR plus a margin of 2.75%, and a commitment fee equal to 0.35% of the unfunded balance of the Revolving Credit Facility. The Revolving Credit Facility also has a $100.0 million sublimit for the issuance of standby letters of credit. As of December 31, 2024, CoreCivic had no borrowings outstanding under the Revolving Credit Facility. As of December 31, 2024, CoreCivic had $18.0 million in letters of credit outstanding, resulting in $257.0 million available under the Revolving Credit Facility. The Term Loan, which had an outstanding principal balance of $118.8 million as of December 31, 2024, requires scheduled quarterly principal payments through October 2028, and is pre-payable without penalty.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Bank Credit Facility requires CoreCivic to meet certain financial covenants, including, without limitation, a total leverage ratio of not more than 4.50 to 1.00, a secured leverage ratio of not more than 2.50 to 1.00, and a fixed charge coverage ratio of not less than 1.75 to 1.00. As of December 31, 2024, CoreCivic was in compliance with all such covenants. The Bank Credit Facility is secured by a pledge of all of the capital stock (or other ownership interests) of CoreCivic's domestic restricted subsidiaries, 65% of the capital stock (or other ownership interests) of CoreCivic's "first-tier" foreign subsidiaries, all of the accounts receivable of the Company and its domestic restricted subsidiaries, and substantially all of the deposit accounts of the Company and its domestic restricted subsidiaries. In the event that (a) the consolidated total leverage equals or exceeds 4.25 to 1.00 or (b) the Company incurs certain debt above a specified threshold, each known as a "springing lien" event, certain intangible assets and unencumbered real estate assets that meet a 50% loan-to-value requirement are required to be added as collateral. In addition, the Bank Credit Facility contains certain covenants that, among other things, limit the incurrence of additional indebtedness, payment of dividends and other customary restricted payments, permitted investments, transactions with affiliates, asset sales, mergers and consolidations, liquidations, prepayments and modifications of other indebtedness, liens and other encumbrances and other matters customarily restricted in such agreements, and in each case subject to customary carveouts. The Bank Credit Facility is subject to cross-default provisions with respect to the terms of certain of CoreCivic's other material indebtedness and is subject to acceleration upon the occurrence of a change of control.</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Interest on the $238.5 million remaining aggregate principal amount of CoreCivic's 4.75% senior unsecured notes issued in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with an original principal amount of $250.0 million (the "4.75% Senior Notes") accrues at the stated rate and is payable in April and October of each year. The 4.75% Senior Notes are scheduled to mature on October 15, 2027. During 2024 and 2023, the Company purchased $4.6 million and $6.9 million, respectively, principal amount of the 4.75% Senior Notes through open market purchases, reducing the outstanding balance of the 4.75% Senior Notes to $238.5 million as of December 31, 2024. Interest on the aggregate principal amount of CoreCivic's 8.25% senior unsecured notes issued in April and September 2021, with an original principal amount of $675.0 million (the "Old 8.25% Senior Notes"), accrued at the stated rate and was payable in April and October of each year. The Old 8.25% Senior Notes were scheduled to mature on April 15, 2026. During 2022 and 2023, the Company purchased $81.9 million principal amount of the Old 8.25% Senior Notes through open market purchases reducing the outstanding balance of the Old 8.25% Senior Notes to $593.1 million as of December 31, 2023.</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4, 2024, the Company commenced a cash tender offer (the "Tender Offer") for any and all of the $593.1 million outstanding principal amount of its outstanding Old 8.25% Senior Notes. As a result of the Tender Offer, $494.3 million aggregate principal amount of the Old 8.25% Senior Notes, or approximately 83.3% of the aggregate principal amount of the Old 8.25% Senior Notes outstanding, had been validly tendered and not validly withdrawn. The Company accepted for purchase and paid for all of the Old 8.25% Senior Notes that were validly tendered and not validly withdrawn. Holders of the Old 8.25% Senior Notes who validly tendered received in cash $1,043.75 per $1,000 principal amount of the Old 8.25% Senior Notes validly tendered, plus accrued and unpaid interest from the October 15, 2023 interest payment date for the Old 8.25% Senior Notes up to, but not including, the settlement date, March 12, 2024. On March 15, 2024, the Company announced that it delivered an irrevocable notice to the holders of all CoreCivic's Old 8.25% Senior Notes that had not been validly tendered or had been validly withdrawn in the Tender Offer, that CoreCivic had elected to redeem in full the Old 8.25% Senior Notes that remained outstanding on April 15, 2024. The remaining principal amount of the outstanding Old 8.25% Senior Notes, which amounted to $98.8 million, was redeemed on April 15, 2024, at a redemption price equal to 104.125% of the principal amount of the outstanding Old 8.25% Senior Notes, plus accrued and unpaid interest on such Old 8.25% Senior Notes to, but not including, April 15, 2024.</w:t>
      </w:r>
    </w:p>
    <w:p>
      <w:pPr>
        <w:spacing w:after="0" w:line="200" w:lineRule="exact"/>
        <w:rPr>
          <w:sz w:val="20"/>
          <w:szCs w:val="20"/>
          <w:color w:val="auto"/>
        </w:rPr>
      </w:pPr>
    </w:p>
    <w:p>
      <w:pPr>
        <w:spacing w:after="0" w:line="20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23" w:name="page124"/>
    <w:bookmarkEnd w:id="123"/>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Tender Offer, on March 12, 2024, the Company completed an underwritten registered public offering of $500.0 million aggregate principal amount of 8.25% senior unsecured notes due 2029 (the "New 8.25% Senior Notes"), which are guaranteed by all the Company's subsidiaries that guarantee the Bank Credit Facility, the 4.75% Senior Notes, and the Old 8.25% Senior Notes (until their repayment and satisfaction on April 15, 2024). The New 8.25% Senior Notes were offered pursuant to CoreCivic's shelf registration statement on Form S-3, which became effective upon filing with the SEC on March 4, 2024. The net proceeds from the issuance of the New 8.25% Senior Notes totaled approximately $490.3 million, after deducting underwriting discounts and offering expenses. The Company used the net proceeds from the offering of the New 8.25% Senior Notes, together with borrowings under the Revolving Credit Facility and cash on hand, to fund the Tender Offer, and to redeem the remaining outstanding balance of the Old 8.25% Senior Notes on April 15, 2024. CoreCivic recorded charges totaling $31.3 million during the first and second quarters of 2024 associated with the Tender Offer and redemption of the Old 8.25% Senior Notes, including the non-cash write-off of unamortized loan issuance costs and original issue premium.</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4.75% Senior Notes and the New 8.25% Senior Notes (collectively, the "Senior Notes") are senior unsecured obligations of the Company and are guaranteed by all of the Company's existing and future subsidiaries that guarantee the Bank Credit Facility. CoreCivic may redeem all or part of the 4.75% Senior Notes at any time prior to three months before their maturity date at a "make-whole" redemption price, plus accrued and unpaid interest thereon to, but not including, the redemption date. Thereafter, the 4.75% Senior Notes are redeemable at CoreCivic's option, in whole or in part, at a redemption price equal to 100% of the aggregate principal amount of the notes to be redeemed plus accrued and unpaid interest thereon to, but not including, the redemption date. The Company may redeem all or part of the New 8.25% Senior Notes at any time prior to April 15, 2026, in whole or in part, at a "make-whole" redemption price, plus accrued and unpaid interest thereon to, but not including, the redemption date. Thereafter, the New 8.25% Senior Notes are redeemable at CoreCivic's option, in whole or in part, at a redemption price expressed as a percentage of the principal amount thereof, which percentage is 104.125% beginning on April 15, 2026, 102.063% beginning on April 15, 2027, and 100% beginning on April 15, 2028, plus, in each such case, accrued and unpaid interest thereon to, but not including, the redemption date.</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indentures governing the Senior Notes contain certain customary covenants that, subject to certain exceptions and qualifications, restrict CoreCivic's ability to, among other things, create or permit to exist certain liens and consolidate, merge or transfer all or substantially all of CoreCivic's assets. In addition, if CoreCivic experiences specific kinds of changes in control, CoreCivic must offer to repurchase all or any portion of the Senior Notes. The offer price for the Senior Notes in connection with a change in control would be 101% of the aggregate principal amount of the notes repurchased plus accrued and unpaid interest, if any, on the notes repurchased to the date of purchase. The indenture related to the New 8.25% Senior Notes additionally limits CoreCivic's ability to incur indebtedness, make restricted payments and investments and prepay certain indebtedness. The Senior Notes are also subject to cross-default provisions with certain of CoreCivic's other indebtedness, which includes the Bank Credit Facility.</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Lansing Correctional Facility Non-Recourse Mortgage Note. </w:t>
      </w:r>
      <w:r>
        <w:rPr>
          <w:rFonts w:ascii="Times New Roman" w:cs="Times New Roman" w:eastAsia="Times New Roman" w:hAnsi="Times New Roman"/>
          <w:sz w:val="18"/>
          <w:szCs w:val="18"/>
          <w:color w:val="auto"/>
        </w:rPr>
        <w:t>On April 20, 2018, CoreCivic of Kansas, LLC (the "Issuer"), a wholly-owned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unrestricted subsidiary of the Company, priced $159.5 million in aggregate principal amount of non-recourse senior secured notes of the Issuer (the "Kansas Notes"), in a private placement pursuant to Section 4(a)(2) of the Securities Act of 1933, as amended. The Kansas Notes have a yield to maturity of 4.43% and are scheduled to mature in January 2040, 20 years following completion of the project, which occurred in January 2020. Principal and interest on the Kansas Notes are payable in quarterly payments, which began in July 2020 and continue until maturity. CoreCivic may redeem all or part of the Kansas Notes at any time upon written notice of not less than 30 days and not more than 60 days prior to the date fixed for such prepayment, with a "make-whole" amount, together with interest on the Kansas Notes accrued to, but not including, the redemption date. Because the Issuer has been designated as an unrestricted subsidiary of the Company under terms of the Bank Credit Facility, the issuance and service of the Kansas Notes, and the revenues and expenses associated with the facility lease, do not impact the financial covenants associated with the Bank Credit Facility. As of December 31, 2024, the outstanding balance of the Kansas Notes was $140.2 million.</w:t>
      </w:r>
    </w:p>
    <w:p>
      <w:pPr>
        <w:spacing w:after="0" w:line="200" w:lineRule="exact"/>
        <w:rPr>
          <w:sz w:val="20"/>
          <w:szCs w:val="20"/>
          <w:color w:val="auto"/>
        </w:rPr>
      </w:pPr>
    </w:p>
    <w:p>
      <w:pPr>
        <w:spacing w:after="0" w:line="20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24" w:name="page125"/>
    <w:bookmarkEnd w:id="124"/>
    <w:p>
      <w:pPr>
        <w:spacing w:after="0" w:line="192" w:lineRule="exact"/>
        <w:rPr>
          <w:sz w:val="20"/>
          <w:szCs w:val="20"/>
          <w:color w:val="auto"/>
        </w:rPr>
      </w:pPr>
    </w:p>
    <w:p>
      <w:pPr>
        <w:jc w:val="both"/>
        <w:ind w:left="51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Guarantees and Covenants. </w:t>
      </w:r>
      <w:r>
        <w:rPr>
          <w:rFonts w:ascii="Times New Roman" w:cs="Times New Roman" w:eastAsia="Times New Roman" w:hAnsi="Times New Roman"/>
          <w:sz w:val="18"/>
          <w:szCs w:val="18"/>
          <w:color w:val="auto"/>
        </w:rPr>
        <w:t>All of the restricted domestic subsidiaries of CoreCivic (as the parent corporation) have provided full and unconditional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guarantees of the Senior Notes. All of CoreCivic's subsidiaries guaranteeing the Senior Notes are 100% owned subsidiaries of CoreCivic; and the subsidiary guarantees are full and unconditional and are joint and several obligations of the guarantors.</w:t>
      </w:r>
    </w:p>
    <w:p>
      <w:pPr>
        <w:spacing w:after="0" w:line="175" w:lineRule="exact"/>
        <w:rPr>
          <w:sz w:val="20"/>
          <w:szCs w:val="20"/>
          <w:color w:val="auto"/>
        </w:rPr>
      </w:pPr>
    </w:p>
    <w:p>
      <w:pPr>
        <w:jc w:val="both"/>
        <w:ind w:left="512"/>
        <w:spacing w:after="0" w:line="282" w:lineRule="auto"/>
        <w:rPr>
          <w:sz w:val="20"/>
          <w:szCs w:val="20"/>
          <w:color w:val="auto"/>
        </w:rPr>
      </w:pPr>
      <w:r>
        <w:rPr>
          <w:rFonts w:ascii="Times New Roman" w:cs="Times New Roman" w:eastAsia="Times New Roman" w:hAnsi="Times New Roman"/>
          <w:sz w:val="18"/>
          <w:szCs w:val="18"/>
          <w:color w:val="auto"/>
        </w:rPr>
        <w:t>As of December 31, 2024, neither CoreCivic nor any of its subsidiary guarantors had any material or significant restrictions on CoreCivic's ability to obtain funds from its subsidiaries by dividend or loan or to transfer assets from such subsidiaries.</w:t>
      </w:r>
    </w:p>
    <w:p>
      <w:pPr>
        <w:spacing w:after="0" w:line="266"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color w:val="auto"/>
        </w:rPr>
        <w:t>Other Debt Transactions</w:t>
      </w:r>
    </w:p>
    <w:p>
      <w:pPr>
        <w:spacing w:after="0" w:line="119" w:lineRule="exact"/>
        <w:rPr>
          <w:sz w:val="20"/>
          <w:szCs w:val="20"/>
          <w:color w:val="auto"/>
        </w:rPr>
      </w:pPr>
    </w:p>
    <w:p>
      <w:pPr>
        <w:jc w:val="both"/>
        <w:ind w:left="51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At December 31, 2024 and 2023, CoreCivic had $18.0 million and $17.9 million, respectively, in outstanding letters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letters of credit were issued primarily to secure CoreCivic's workers' compensation and general liability insurance policies, performance bonds, and for a debt service reserve requirement under terms of the Kansas Notes.</w:t>
      </w:r>
    </w:p>
    <w:p>
      <w:pPr>
        <w:spacing w:after="0" w:line="279"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color w:val="auto"/>
        </w:rPr>
        <w:t>Debt Maturities</w:t>
      </w:r>
    </w:p>
    <w:p>
      <w:pPr>
        <w:spacing w:after="0" w:line="121"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Scheduled principal payments as of December 31, 2024 for the next five years and thereafter were as follows (in thousands):</w:t>
      </w:r>
    </w:p>
    <w:p>
      <w:pPr>
        <w:spacing w:after="0" w:line="243" w:lineRule="exact"/>
        <w:rPr>
          <w:sz w:val="20"/>
          <w:szCs w:val="20"/>
          <w:color w:val="auto"/>
        </w:rPr>
      </w:pPr>
    </w:p>
    <w:tbl>
      <w:tblPr>
        <w:tblLayout w:type="fixed"/>
        <w:tblInd w:w="2252" w:type="dxa"/>
        <w:tblCellMar>
          <w:top w:w="0" w:type="dxa"/>
          <w:left w:w="0" w:type="dxa"/>
          <w:bottom w:w="0" w:type="dxa"/>
          <w:right w:w="0" w:type="dxa"/>
        </w:tblCellMar>
      </w:tblP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12,073</w:t>
            </w:r>
          </w:p>
        </w:tc>
        <w:tc>
          <w:tcPr>
            <w:tcW w:w="8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15,701</w:t>
            </w:r>
          </w:p>
        </w:tc>
        <w:tc>
          <w:tcPr>
            <w:tcW w:w="8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257,823</w:t>
            </w:r>
          </w:p>
        </w:tc>
        <w:tc>
          <w:tcPr>
            <w:tcW w:w="8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97,995</w:t>
            </w:r>
          </w:p>
        </w:tc>
        <w:tc>
          <w:tcPr>
            <w:tcW w:w="8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507,985</w:t>
            </w:r>
          </w:p>
        </w:tc>
        <w:tc>
          <w:tcPr>
            <w:tcW w:w="8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105,803</w:t>
            </w:r>
          </w:p>
        </w:tc>
        <w:tc>
          <w:tcPr>
            <w:tcW w:w="80" w:type="dxa"/>
            <w:vAlign w:val="bottom"/>
          </w:tcPr>
          <w:p>
            <w:pPr>
              <w:spacing w:after="0"/>
              <w:rPr>
                <w:sz w:val="18"/>
                <w:szCs w:val="18"/>
                <w:color w:val="auto"/>
              </w:rPr>
            </w:pPr>
          </w:p>
        </w:tc>
      </w:tr>
      <w:tr>
        <w:trPr>
          <w:trHeight w:val="250"/>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997,380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5657850</wp:posOffset>
            </wp:positionH>
            <wp:positionV relativeFrom="paragraph">
              <wp:posOffset>-24765</wp:posOffset>
            </wp:positionV>
            <wp:extent cx="514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5657850</wp:posOffset>
            </wp:positionH>
            <wp:positionV relativeFrom="paragraph">
              <wp:posOffset>-8255</wp:posOffset>
            </wp:positionV>
            <wp:extent cx="514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2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color w:val="auto"/>
        </w:rPr>
        <w:t>Cross-Default Provisions</w:t>
      </w:r>
    </w:p>
    <w:p>
      <w:pPr>
        <w:spacing w:after="0" w:line="121" w:lineRule="exact"/>
        <w:rPr>
          <w:sz w:val="20"/>
          <w:szCs w:val="20"/>
          <w:color w:val="auto"/>
        </w:rPr>
      </w:pPr>
    </w:p>
    <w:p>
      <w:pPr>
        <w:jc w:val="both"/>
        <w:ind w:left="512"/>
        <w:spacing w:after="0" w:line="261" w:lineRule="auto"/>
        <w:rPr>
          <w:sz w:val="20"/>
          <w:szCs w:val="20"/>
          <w:color w:val="auto"/>
        </w:rPr>
      </w:pPr>
      <w:r>
        <w:rPr>
          <w:rFonts w:ascii="Times New Roman" w:cs="Times New Roman" w:eastAsia="Times New Roman" w:hAnsi="Times New Roman"/>
          <w:sz w:val="18"/>
          <w:szCs w:val="18"/>
          <w:color w:val="auto"/>
        </w:rPr>
        <w:t>The provisions of CoreCivic's debt agreements relating to the Bank Credit Facility and the Senior Notes contain certain cross-default provisions. Any events of default under the Bank Credit Facility that result in the lenders' actual acceleration of amounts outstanding thereunder also result in an event of default under the Senior Notes. Additionally, any events of default under the Senior Notes that give rise to the ability of the holders of such indebtedness to exercise their acceleration rights also result in an event of default under the Bank Credit Facility.</w:t>
      </w:r>
    </w:p>
    <w:p>
      <w:pPr>
        <w:spacing w:after="0" w:line="180" w:lineRule="exact"/>
        <w:rPr>
          <w:sz w:val="20"/>
          <w:szCs w:val="20"/>
          <w:color w:val="auto"/>
        </w:rPr>
      </w:pPr>
    </w:p>
    <w:p>
      <w:pPr>
        <w:jc w:val="both"/>
        <w:ind w:left="512"/>
        <w:spacing w:after="0" w:line="261" w:lineRule="auto"/>
        <w:rPr>
          <w:sz w:val="20"/>
          <w:szCs w:val="20"/>
          <w:color w:val="auto"/>
        </w:rPr>
      </w:pPr>
      <w:r>
        <w:rPr>
          <w:rFonts w:ascii="Times New Roman" w:cs="Times New Roman" w:eastAsia="Times New Roman" w:hAnsi="Times New Roman"/>
          <w:sz w:val="18"/>
          <w:szCs w:val="18"/>
          <w:color w:val="auto"/>
        </w:rPr>
        <w:t>If CoreCivic were to be in default under the Bank Credit Facility, and if the lenders under the Bank Credit Facility elected to exercise their rights to accelerate CoreCivic's obligations under the Bank Credit Facility, such events could result in the acceleration of all or a portion of CoreCivic's Senior Notes, which would have a material impact on CoreCivic's liquidity and financial position. CoreCivic does not have sufficient working capital to satisfy its debt obligations in the event of an acceleration of all or a substantial portion of CoreCivic's outstanding indebtedness.</w:t>
      </w:r>
    </w:p>
    <w:p>
      <w:pPr>
        <w:spacing w:after="0" w:line="176" w:lineRule="exact"/>
        <w:rPr>
          <w:sz w:val="20"/>
          <w:szCs w:val="20"/>
          <w:color w:val="auto"/>
        </w:rPr>
      </w:pPr>
    </w:p>
    <w:p>
      <w:pPr>
        <w:ind w:left="512" w:hanging="512"/>
        <w:spacing w:after="0"/>
        <w:tabs>
          <w:tab w:leader="none" w:pos="51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REVENUE</w:t>
      </w:r>
    </w:p>
    <w:p>
      <w:pPr>
        <w:spacing w:after="0" w:line="121" w:lineRule="exact"/>
        <w:rPr>
          <w:rFonts w:ascii="Times New Roman" w:cs="Times New Roman" w:eastAsia="Times New Roman" w:hAnsi="Times New Roman"/>
          <w:sz w:val="18"/>
          <w:szCs w:val="18"/>
          <w:b w:val="1"/>
          <w:bCs w:val="1"/>
          <w:color w:val="auto"/>
        </w:rPr>
      </w:pPr>
    </w:p>
    <w:p>
      <w:pPr>
        <w:jc w:val="both"/>
        <w:ind w:left="51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10, 2024, the Company received notification from ICE of its intent to terminate an IGSA for services at the 2,400-bed STFRC effective August 9, 2024. The IGSA originated in 2014, was extended in 2016, and was extended again in 2020 from September 2021 through September 2026. ICE's termination rights, which permitted ICE to terminate the agreement for convenience or non-appropriation of funds, without penalty, by providing CoreCivic with at least a 60-day notice, were unchanged under the previous IGSA.</w:t>
      </w: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25" w:name="page126"/>
    <w:bookmarkEnd w:id="125"/>
    <w:p>
      <w:pPr>
        <w:spacing w:after="0" w:line="194"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Under the fixed monthly payment schedule of the original IGSA, ICE agreed to pay CoreCivic $70.0 million in two $35.0 million installments during the fourth quarter of 2014, and graduated fixed monthly payments over the remaining months of the contract. During the year ended December 31, 2024 and 2023, CoreCivic recognized $100.7 million and $156.1 million, respectively, in revenue under the amended IGSA, with the unrecognized balance of the fixed monthly payments at December 31, 2023 of $7.3 million reported in deferred revenue. At December 31, 2023, the current portion of deferred revenue was reflected within accounts payable and accrued expenses while the long-term portion was reflected as deferred revenue on the accompanying consolidated balance sheets. CoreCivic recognized the $7.3 million of deferred revenue remaining at December 31, 2023 during the year ended December 31, 2024, with $5.7 million of the amount recognized upon termination of the IGSA in the third quarter of 2024 when no further service obligation existed.</w:t>
      </w:r>
    </w:p>
    <w:p>
      <w:pPr>
        <w:spacing w:after="0" w:line="192"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In addition to deferred revenue associated with STFRC, the Company has other contracts that required up-front payments from customers resulting in deferred revenue balances over the expected contract terms. As of December 31, 2024 and 2023, the current portion of deferred revenue amounting to $12.2 million and $13.1 million, respectively, was reported in accounts payable and accrued expenses and the long-term portion of deferred revenue was $12.4 million and $18.3 million, respectively, on the accompanying consolidated balance sheets.</w:t>
      </w:r>
    </w:p>
    <w:p>
      <w:pPr>
        <w:spacing w:after="0" w:line="176"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recorded an income tax expense of $23.1 million, $28.2 million, and $43.0 million for the years ended December 31, 2024, 2023 and 2022, respectively. Income tax expense is comprised of the following components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gridSpan w:val="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12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income tax expense</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26,621</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25,037</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4,182</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30,803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income tax expense (benefit)</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(7,100 )</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(2,156 )</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(608 )</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(547 )</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62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(7,708 )</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(2,703 )</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23,095</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42,982</w:t>
            </w:r>
          </w:p>
        </w:tc>
        <w:tc>
          <w:tcPr>
            <w:tcW w:w="10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845"/>
        </w:trPr>
        <w:tc>
          <w:tcPr>
            <w:tcW w:w="1140" w:type="dxa"/>
            <w:vAlign w:val="bottom"/>
          </w:tcPr>
          <w:p>
            <w:pPr>
              <w:spacing w:after="0"/>
              <w:rPr>
                <w:sz w:val="24"/>
                <w:szCs w:val="24"/>
                <w:color w:val="auto"/>
              </w:rPr>
            </w:pPr>
          </w:p>
        </w:tc>
        <w:tc>
          <w:tcPr>
            <w:tcW w:w="3620" w:type="dxa"/>
            <w:vAlign w:val="bottom"/>
            <w:tcBorders>
              <w:top w:val="single" w:sz="8" w:color="CFF0FC"/>
            </w:tcBorders>
          </w:tcPr>
          <w:p>
            <w:pPr>
              <w:spacing w:after="0"/>
              <w:rPr>
                <w:sz w:val="24"/>
                <w:szCs w:val="24"/>
                <w:color w:val="auto"/>
              </w:rPr>
            </w:pPr>
          </w:p>
        </w:tc>
        <w:tc>
          <w:tcPr>
            <w:tcW w:w="1600" w:type="dxa"/>
            <w:vAlign w:val="bottom"/>
            <w:tcBorders>
              <w:top w:val="single" w:sz="8" w:color="CFF0FC"/>
            </w:tcBorders>
          </w:tcPr>
          <w:p>
            <w:pPr>
              <w:ind w:left="700"/>
              <w:spacing w:after="0"/>
              <w:rPr>
                <w:sz w:val="20"/>
                <w:szCs w:val="20"/>
                <w:color w:val="auto"/>
              </w:rPr>
            </w:pPr>
            <w:r>
              <w:rPr>
                <w:rFonts w:ascii="Times New Roman" w:cs="Times New Roman" w:eastAsia="Times New Roman" w:hAnsi="Times New Roman"/>
                <w:sz w:val="18"/>
                <w:szCs w:val="18"/>
                <w:color w:val="auto"/>
              </w:rPr>
              <w:t>F-27</w:t>
            </w: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-1927860</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-1927860</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-1927860</wp:posOffset>
            </wp:positionV>
            <wp:extent cx="596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-1362075</wp:posOffset>
            </wp:positionV>
            <wp:extent cx="603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-1362075</wp:posOffset>
            </wp:positionV>
            <wp:extent cx="603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-1362075</wp:posOffset>
            </wp:positionV>
            <wp:extent cx="596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-1070610</wp:posOffset>
            </wp:positionV>
            <wp:extent cx="603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-1053465</wp:posOffset>
            </wp:positionV>
            <wp:extent cx="603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-1070610</wp:posOffset>
            </wp:positionV>
            <wp:extent cx="603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-1053465</wp:posOffset>
            </wp:positionV>
            <wp:extent cx="6032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-1070610</wp:posOffset>
            </wp:positionV>
            <wp:extent cx="596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-1053465</wp:posOffset>
            </wp:positionV>
            <wp:extent cx="596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CoreCivic's deferred tax assets and liabilities as of December 31, 2024 and 2023, are as follows (in thousands):</w:t>
      </w:r>
    </w:p>
    <w:p>
      <w:pPr>
        <w:spacing w:after="0" w:line="221" w:lineRule="exact"/>
        <w:rPr>
          <w:sz w:val="20"/>
          <w:szCs w:val="20"/>
          <w:color w:val="auto"/>
        </w:rPr>
      </w:pPr>
    </w:p>
    <w:tbl>
      <w:tblPr>
        <w:tblLayout w:type="fixed"/>
        <w:tblInd w:w="62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deferred tax assets:</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reserves and liabilities not yet deductible for tax</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22,458</w:t>
            </w:r>
          </w:p>
        </w:tc>
        <w:tc>
          <w:tcPr>
            <w:tcW w:w="3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compensation not yet deductible for tax</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14,252</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Accrued workers compensation liabilities not</w:t>
            </w:r>
          </w:p>
        </w:tc>
        <w:tc>
          <w:tcPr>
            <w:tcW w:w="2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11,126</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yet deductible for tax</w:t>
            </w:r>
          </w:p>
        </w:tc>
        <w:tc>
          <w:tcPr>
            <w:tcW w:w="28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8,296</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ROU lease assets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5,887</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Losses and tax credit carryforwards</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1,367</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6,882</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7,522</w:t>
            </w:r>
          </w:p>
        </w:tc>
        <w:tc>
          <w:tcPr>
            <w:tcW w:w="3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noncurrent deferred tax assets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77,790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(1,066 )</w:t>
            </w:r>
          </w:p>
        </w:tc>
        <w:tc>
          <w:tcPr>
            <w:tcW w:w="4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(848 )</w:t>
            </w:r>
          </w:p>
        </w:tc>
        <w:tc>
          <w:tcPr>
            <w:tcW w:w="0" w:type="dxa"/>
            <w:vAlign w:val="bottom"/>
          </w:tcPr>
          <w:p>
            <w:pPr>
              <w:spacing w:after="0"/>
              <w:rPr>
                <w:sz w:val="1"/>
                <w:szCs w:val="1"/>
                <w:color w:val="auto"/>
              </w:rPr>
            </w:pPr>
          </w:p>
        </w:tc>
      </w:tr>
      <w:tr>
        <w:trPr>
          <w:trHeight w:val="209"/>
        </w:trPr>
        <w:tc>
          <w:tcPr>
            <w:tcW w:w="5920" w:type="dxa"/>
            <w:vAlign w:val="bottom"/>
            <w:tcBorders>
              <w:top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noncurrent deferred tax assets</w:t>
            </w: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76,724</w:t>
            </w:r>
          </w:p>
        </w:tc>
        <w:tc>
          <w:tcPr>
            <w:tcW w:w="32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90,040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deferred tax liabilities:</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(150,481 )</w:t>
            </w:r>
          </w:p>
        </w:tc>
        <w:tc>
          <w:tcPr>
            <w:tcW w:w="4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(151,918 )</w:t>
            </w: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(5,290 )</w:t>
            </w:r>
          </w:p>
        </w:tc>
        <w:tc>
          <w:tcPr>
            <w:tcW w:w="4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(24,721 )</w:t>
            </w:r>
          </w:p>
        </w:tc>
        <w:tc>
          <w:tcPr>
            <w:tcW w:w="0" w:type="dxa"/>
            <w:vAlign w:val="bottom"/>
          </w:tcPr>
          <w:p>
            <w:pPr>
              <w:spacing w:after="0"/>
              <w:rPr>
                <w:sz w:val="1"/>
                <w:szCs w:val="1"/>
                <w:color w:val="auto"/>
              </w:rPr>
            </w:pPr>
          </w:p>
        </w:tc>
      </w:tr>
      <w:tr>
        <w:trPr>
          <w:trHeight w:val="216"/>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liabilities</w:t>
            </w:r>
          </w:p>
        </w:tc>
        <w:tc>
          <w:tcPr>
            <w:tcW w:w="2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(7,411 )</w:t>
            </w:r>
          </w:p>
        </w:tc>
        <w:tc>
          <w:tcPr>
            <w:tcW w:w="4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(7,860 )</w:t>
            </w: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(2,749 )</w:t>
            </w:r>
          </w:p>
        </w:tc>
        <w:tc>
          <w:tcPr>
            <w:tcW w:w="4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(2,456 )</w:t>
            </w:r>
          </w:p>
        </w:tc>
        <w:tc>
          <w:tcPr>
            <w:tcW w:w="0" w:type="dxa"/>
            <w:vAlign w:val="bottom"/>
          </w:tcPr>
          <w:p>
            <w:pPr>
              <w:spacing w:after="0"/>
              <w:rPr>
                <w:sz w:val="1"/>
                <w:szCs w:val="1"/>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noncurrent deferred tax liabilities</w:t>
            </w:r>
          </w:p>
        </w:tc>
        <w:tc>
          <w:tcPr>
            <w:tcW w:w="2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(165,931 )</w:t>
            </w:r>
          </w:p>
        </w:tc>
        <w:tc>
          <w:tcPr>
            <w:tcW w:w="4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(186,955 )</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total noncurrent deferred tax liabilities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(89,207 )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(96,915 )</w:t>
            </w:r>
          </w:p>
        </w:tc>
        <w:tc>
          <w:tcPr>
            <w:tcW w:w="0" w:type="dxa"/>
            <w:vAlign w:val="bottom"/>
          </w:tcPr>
          <w:p>
            <w:pPr>
              <w:spacing w:after="0"/>
              <w:rPr>
                <w:sz w:val="1"/>
                <w:szCs w:val="1"/>
                <w:color w:val="auto"/>
              </w:rPr>
            </w:pP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4989830</wp:posOffset>
            </wp:positionH>
            <wp:positionV relativeFrom="paragraph">
              <wp:posOffset>-1439545</wp:posOffset>
            </wp:positionV>
            <wp:extent cx="596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-1439545</wp:posOffset>
            </wp:positionV>
            <wp:extent cx="596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4989830</wp:posOffset>
            </wp:positionH>
            <wp:positionV relativeFrom="paragraph">
              <wp:posOffset>-1156335</wp:posOffset>
            </wp:positionV>
            <wp:extent cx="596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-1156335</wp:posOffset>
            </wp:positionV>
            <wp:extent cx="596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4989830</wp:posOffset>
            </wp:positionH>
            <wp:positionV relativeFrom="paragraph">
              <wp:posOffset>-316865</wp:posOffset>
            </wp:positionV>
            <wp:extent cx="596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-316865</wp:posOffset>
            </wp:positionV>
            <wp:extent cx="596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4989830</wp:posOffset>
            </wp:positionH>
            <wp:positionV relativeFrom="paragraph">
              <wp:posOffset>-24765</wp:posOffset>
            </wp:positionV>
            <wp:extent cx="596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4989830</wp:posOffset>
            </wp:positionH>
            <wp:positionV relativeFrom="paragraph">
              <wp:posOffset>-7620</wp:posOffset>
            </wp:positionV>
            <wp:extent cx="596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-24765</wp:posOffset>
            </wp:positionV>
            <wp:extent cx="596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-7620</wp:posOffset>
            </wp:positionV>
            <wp:extent cx="596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provision at the statutory income tax rate and the effective tax rate as a percentage of income from continuing operations before income taxes for the years ended December 31, 2024, 2023, and 2022 is as follows: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federal rate</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21.0 %</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21.0 %</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Tax benefit of equity-based compensation</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(2.5 )</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(0.3 )</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(2.2 )</w:t>
            </w: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(0.1 )</w:t>
            </w:r>
          </w:p>
        </w:tc>
      </w:tr>
      <w:tr>
        <w:trPr>
          <w:trHeight w:val="20"/>
        </w:trPr>
        <w:tc>
          <w:tcPr>
            <w:tcW w:w="50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50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25.1 %</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29.5 %</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26.0 %</w:t>
            </w:r>
          </w:p>
        </w:tc>
      </w:tr>
      <w:tr>
        <w:trPr>
          <w:trHeight w:val="20"/>
        </w:trPr>
        <w:tc>
          <w:tcPr>
            <w:tcW w:w="50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-170815</wp:posOffset>
            </wp:positionV>
            <wp:extent cx="13716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5126990</wp:posOffset>
            </wp:positionH>
            <wp:positionV relativeFrom="paragraph">
              <wp:posOffset>-170815</wp:posOffset>
            </wp:positionV>
            <wp:extent cx="12001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5975350</wp:posOffset>
            </wp:positionH>
            <wp:positionV relativeFrom="paragraph">
              <wp:posOffset>-170815</wp:posOffset>
            </wp:positionV>
            <wp:extent cx="12001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27, 2020, President Trump signed into law the Coronavirus Aid, Relief and Economic Security Act (the "CARES Act"). The CARES Act, among other things, incentivized companies to retain employees through an Employee Retention Credit ("ERC"). The ERC compensates employers for wages of employees that were retained and could not perform their job duties at 100% capacity as a result of coronavirus pandemic restrictions. In December 2020, the Consolidated Appropriations Act provided additional funding for the ERC with expanded benefits through June 30, 2021. During the year ended December 31, 2022, the Company recorded an ERC of $7.0 million, which offset operating expenses. The credit was reduced by $1.8 million of federal income tax expense. The ERC is largely uncollected as of December 31, 2024.</w:t>
      </w:r>
    </w:p>
    <w:p>
      <w:pPr>
        <w:spacing w:after="0" w:line="200" w:lineRule="exact"/>
        <w:rPr>
          <w:sz w:val="20"/>
          <w:szCs w:val="20"/>
          <w:color w:val="auto"/>
        </w:rPr>
      </w:pPr>
    </w:p>
    <w:p>
      <w:pPr>
        <w:spacing w:after="0" w:line="20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27" w:name="page128"/>
    <w:bookmarkEnd w:id="127"/>
    <w:p>
      <w:pPr>
        <w:spacing w:after="0" w:line="194"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The Inflation Reduction Act of 2022 (the "Inflation Reduction Act") was signed into law on August 16, 2022. Among other provisions, the Inflation Reduction Act creates an excise tax of 1% on the fair value of net stock repurchases in excess of share issuances made by publicly traded U.S. corporations, effective for repurchases after December 31, 2022. The impact of this excise tax on the Company’s financial position, and/or liquidity, in future periods, will vary based on the level of net stock repurchases in excess of share issuances made by the Company in a given year. The Company has concluded that the excise tax associated with stock repurchases is properly recognized as a component of equity given that it is a direct cost associated with the repurchase of common stock. The excise tax recognized during the years ended December 31, 2024 and 2023 was estimated to be $0.5 million and $0.3 million, respectively, associated with the repurchase of shares, net of the shares issued during the same period for restricted stock plans as permitted by the issuance offset rule under the Inflation Reduction Act.</w:t>
      </w:r>
    </w:p>
    <w:p>
      <w:pPr>
        <w:spacing w:after="0" w:line="192" w:lineRule="exact"/>
        <w:rPr>
          <w:sz w:val="20"/>
          <w:szCs w:val="20"/>
          <w:color w:val="auto"/>
        </w:rPr>
      </w:pPr>
    </w:p>
    <w:p>
      <w:pPr>
        <w:jc w:val="both"/>
        <w:ind w:left="520"/>
        <w:spacing w:after="0" w:line="281" w:lineRule="auto"/>
        <w:rPr>
          <w:sz w:val="20"/>
          <w:szCs w:val="20"/>
          <w:color w:val="auto"/>
        </w:rPr>
      </w:pPr>
      <w:r>
        <w:rPr>
          <w:rFonts w:ascii="Times New Roman" w:cs="Times New Roman" w:eastAsia="Times New Roman" w:hAnsi="Times New Roman"/>
          <w:sz w:val="18"/>
          <w:szCs w:val="18"/>
          <w:color w:val="auto"/>
        </w:rPr>
        <w:t>CoreCivic had no liabilities for uncertain tax positions as of December 31, 2024 and 2023. CoreCivic recognizes interest and penalties related to unrecognized tax positions in income tax expense. CoreCivic does not currently anticipate that the total amount of unrecognized tax positions will significantly change in the next twelve months.</w:t>
      </w:r>
    </w:p>
    <w:p>
      <w:pPr>
        <w:spacing w:after="0" w:line="164"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CoreCivic's U.S. federal income tax returns for tax years 2021 through 2023 remain subject to examination by the Internal Revenue Service ("IRS"). The majority of states in which CoreCivic files income tax returns follow the same statute of limitations as the federal government. Certain states in which CoreCivic files income tax returns have statutes that remain open from 2020.</w:t>
      </w:r>
    </w:p>
    <w:p>
      <w:pPr>
        <w:spacing w:after="0" w:line="172" w:lineRule="exact"/>
        <w:rPr>
          <w:sz w:val="20"/>
          <w:szCs w:val="20"/>
          <w:color w:val="auto"/>
        </w:rPr>
      </w:pPr>
    </w:p>
    <w:p>
      <w:pPr>
        <w:ind w:left="520" w:right="8400" w:hanging="512"/>
        <w:spacing w:after="0" w:line="412" w:lineRule="auto"/>
        <w:tabs>
          <w:tab w:leader="none" w:pos="5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Dividends on Common Stock</w:t>
      </w:r>
    </w:p>
    <w:p>
      <w:pPr>
        <w:spacing w:after="0" w:line="49"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5, 2020, the Board of Directors ("BOD") voted unanimously to approve a plan to revoke the Company’s real estate investment trust ("REIT") election and become a taxable C Corporation, effective January 1, 2021; the BOD also voted unanimously to discontinue the then-current quarterly dividend and prioritize allocating the Company's free cash flow to reduce debt levels.</w:t>
      </w:r>
    </w:p>
    <w:p>
      <w:pPr>
        <w:spacing w:after="0" w:line="27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19" w:lineRule="exact"/>
        <w:rPr>
          <w:rFonts w:ascii="Times New Roman" w:cs="Times New Roman" w:eastAsia="Times New Roman" w:hAnsi="Times New Roman"/>
          <w:sz w:val="18"/>
          <w:szCs w:val="18"/>
          <w:b w:val="1"/>
          <w:bCs w:val="1"/>
          <w:color w:val="auto"/>
        </w:rPr>
      </w:pPr>
    </w:p>
    <w:p>
      <w:pPr>
        <w:jc w:val="both"/>
        <w:ind w:left="5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Share Repurchase Program. </w:t>
      </w:r>
      <w:r>
        <w:rPr>
          <w:rFonts w:ascii="Times New Roman" w:cs="Times New Roman" w:eastAsia="Times New Roman" w:hAnsi="Times New Roman"/>
          <w:sz w:val="18"/>
          <w:szCs w:val="18"/>
          <w:color w:val="auto"/>
        </w:rPr>
        <w:t>On May 12, 2022, the BOD approved a share repurchase program to repurchase up to $150.0 million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On August 2, 2022, the BOD increased the authorization to repurchase under the share repurchase program by up to an additional $75.0 million of the Company's common stock, or a total aggregate authorized amount to repurchase up to $225.0 million of the Company's common stock. On May 16, 2024, the BOD authorized an additional increase to the share repurchase program by which the Company may purchase up to an additional $125.0 million in shares of the Company's outstanding common stock, increasing the total aggregate authorization to up to $350.0 million. Repurchases of the Company's outstanding common stock will be made in accordance with applicable securities laws and may be made at the Company's discretion based on parameters set by the BOD from time to time in the open market, through privately negotiated transactions, or otherwise. The share repurchase program has no time limit and does not obligate the Company to purchase any particular amount of its common stock. The authorization for the share repurchase program may be terminated, suspended, increased or decreased by the BOD in its discretion at any time. Through December 31, 2023, the Company repurchased 10.1 million shares of its common stock at a total cost of $112.6 million, excluding costs associated with the share repurchase program, or $11.16 per share. During 2024, the Company repurchased 4.4 million shares of its common stock at a total cost of $68.5 million, excluding costs associated with the share repurchase program, or $15.43 per share. As of December 31, 2024, the Company had repurchased a total of 14.5 million common shares at an aggregate cost of $181.1 million, or $12.47 per share, and had $168.9 million of repurchase authorization available under the share repurchase program.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2" w:lineRule="exact"/>
        <w:rPr>
          <w:sz w:val="20"/>
          <w:szCs w:val="20"/>
          <w:color w:val="auto"/>
        </w:rPr>
      </w:pPr>
    </w:p>
    <w:p>
      <w:pPr>
        <w:jc w:val="both"/>
        <w:ind w:left="5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During 2024, CoreCivic issued approximately 1.6 million RSUs to certain of its employees and non-employee directors,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aggregate value of $23.5 million, including 1.5 million RSUs to employees and non-employee directors whose compensation is charged to general and administrative expense and 0.1 million RSUs to employees whose compensation is charged to operating expense. During 2023, CoreCivic issued approximately 2.0 million RSUs to certain of its employees and non-employee directors, with an aggregate value of $22.3 million, including 1.8 million RSUs to employees and non-employee directors whose compensation is charged to general and administrative expense and 0.2 million RSUs to employees whose compensation is charged to operating expense.</w:t>
      </w:r>
    </w:p>
    <w:p>
      <w:pPr>
        <w:spacing w:after="0" w:line="184" w:lineRule="exact"/>
        <w:rPr>
          <w:sz w:val="20"/>
          <w:szCs w:val="20"/>
          <w:color w:val="auto"/>
        </w:rPr>
      </w:pPr>
    </w:p>
    <w:p>
      <w:pPr>
        <w:jc w:val="both"/>
        <w:ind w:left="520"/>
        <w:spacing w:after="0" w:line="252" w:lineRule="auto"/>
        <w:rPr>
          <w:sz w:val="20"/>
          <w:szCs w:val="20"/>
          <w:color w:val="auto"/>
        </w:rPr>
      </w:pPr>
      <w:r>
        <w:rPr>
          <w:rFonts w:ascii="Times New Roman" w:cs="Times New Roman" w:eastAsia="Times New Roman" w:hAnsi="Times New Roman"/>
          <w:sz w:val="18"/>
          <w:szCs w:val="18"/>
          <w:color w:val="auto"/>
        </w:rPr>
        <w:t>CoreCivic has established performance-based vesting conditions on a portion of the RSUs awarded to its officers and executive officers that, unless earlier vested under the terms of the agreements, are subject to vesting over a three-year period based upon the satisfaction of certain annual performance criteria. The RSUs awarded to officers and executive officers in 2022, 2023 and 2024 consist of a combination of awards with performance-based conditions and time-based conditions. Unless earlier vested under the terms of the RSU agreements, the RSUs with time-based vesting conditions vest in equal amounts over three years on the later of (i) the anniversary date of the grant or (ii) the delivery of the audited financial statements by the Company's independent registered public accountant for the applicable fiscal year. The RSUs with performance-based vesting conditions are divided into one-third increments, each of which is subject to vesting based upon satisfaction of certain annual performance criteria established at the beginning of the fiscal years ending December 31, 2022, 2023, and 2024 for the 2022 awards, December 31, 2023, 2024, and 2025 for the 2023 awards, and December 31, 2024, 2025, and 2026 for the 2024 awards, and which can be increased up to 150% or decreased to 0% based on performance relative to the annual performance criteria, and further increased or decreased using a modifier of 80% to 120% based on CoreCivic's total shareholder return relative to a peer group. Based on performance achieved for 2024, the RSUs subject to performance-based vesting criteria were increased by 150%; and were further increased by a 120% modifier based on CoreCivic's total shareholder return relative to the peer group. Because the performance criteria for the fiscal years ending December 31, 2025 and 2026 have not yet been established, the values of the third RSU increment of the 2023 awards and of the second and third increments of the 2024 awards for financial reporting purposes will not be determined until such criteria are established. A portion of the RSU award granted to CoreCivic's Chief Executive Officer ("CEO") in 2024 contains a single performance-based vesting condition that results in full vesting on the later of (i) the second anniversary of the award or (ii) the delivery of the audited financial statements by the Company's independent registered public accountant for the fiscal year ending December 31, 2025, if the performance criteria is met for the year ending December 31, 2025, or no vesting if the performance criteria is not met for such year. Time-based RSUs issued to other employees, unless earlier vested under the terms of the agreements, generally vest in equal amounts over three years on the later of (i) the anniversary date of the grant or (ii) the delivery of the audited financial statements by the Company's independent registered public accountant for the applicable fiscal year. RSUs issued to non-employee directors generally vest one year from the date of award.</w:t>
      </w:r>
    </w:p>
    <w:p>
      <w:pPr>
        <w:spacing w:after="0" w:line="188"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Nonvested RSU transactions as of December 31, 2024 and activity for the year then ended are summarized below (in thousands, except per share amounts).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5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5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4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4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1,580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$14.88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4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324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$10.29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Nonvested at December 31, 2024</w:t>
            </w:r>
          </w:p>
        </w:tc>
        <w:tc>
          <w:tcPr>
            <w:tcW w:w="324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3,213</w:t>
            </w:r>
          </w:p>
        </w:tc>
        <w:tc>
          <w:tcPr>
            <w:tcW w:w="16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$13.38</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5"/>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760" w:type="dxa"/>
            <w:vAlign w:val="bottom"/>
            <w:gridSpan w:val="2"/>
          </w:tcPr>
          <w:p>
            <w:pPr>
              <w:jc w:val="right"/>
              <w:ind w:right="3139"/>
              <w:spacing w:after="0"/>
              <w:rPr>
                <w:sz w:val="20"/>
                <w:szCs w:val="20"/>
                <w:color w:val="auto"/>
              </w:rPr>
            </w:pPr>
            <w:r>
              <w:rPr>
                <w:rFonts w:ascii="Times New Roman" w:cs="Times New Roman" w:eastAsia="Times New Roman" w:hAnsi="Times New Roman"/>
                <w:sz w:val="18"/>
                <w:szCs w:val="18"/>
                <w:color w:val="auto"/>
              </w:rPr>
              <w:t>F-30</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-1096645</wp:posOffset>
            </wp:positionV>
            <wp:extent cx="10287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-1079500</wp:posOffset>
            </wp:positionV>
            <wp:extent cx="1028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8"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During 2024, 2023, and 2022, CoreCivic expensed $25.7 million ($1.6 million of which was recorded in operating expenses and $24.1 million of which was recorded in general and administrative expenses), $20.8 million ($1.6 million of which was recorded in operating expenses and $19.2 million of which was recorded in general and administrative expenses), and $17.6 million ($1.5 million of which was recorded in operating expenses and $16.1 million of which was recorded in general and administrative expenses), net of forfeitures, relating to RSUs, respectively. As of December 31, 2024, CoreCivic had $17.3 million of total unrecognized compensation cost related to RSUs that is expected to be recognized over a remaining weighted-average period of 1.6 years. The total fair value of RSUs that vested during 2024, 2023, and 2022 was $32.1 million, $17.8 million, and $18.3 million, respectively.</w:t>
      </w:r>
    </w:p>
    <w:p>
      <w:pPr>
        <w:spacing w:after="0" w:line="18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At CoreCivic's 2022 annual meeting of stockholders held in May 2022, CoreCivic's stockholders approved the CoreCivic, Inc. Amended and Restated 2020 Stock Incentive Plan that authorized the issuance of new awards to an aggregate of up to 5.9 million shares, plus remaining shares that were available for grant under the CoreCivic, Inc. 2020 Stock Incentive Plan. As of December 31, 2024, CoreCivic had 5.2 million shares available for issuance under the Amended and Restated 2020 Stock Incentive Plan.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CoreCivic has the authority to issue 50.0 million shares of $0.01 par value per share preferred stock (the "Preferred Stock"). The Preferred Stock may be issued from time to time upon authorization by the BOD, in such series and with such preferences, conversion or other rights, voting powers, restrictions, limitations as to dividends, qualifications or other provisions as may be fixed by CoreCivic's BOD.</w:t>
      </w:r>
    </w:p>
    <w:p>
      <w:pPr>
        <w:spacing w:after="0" w:line="172"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per share is computed by dividing net income by the weighted average number of common shares outstanding during the year. Diluted earnings per share reflects the potential dilution that could occur if securities or other contracts to issue common stock were exercised or converted into common stock or resulted in the issuance of common stock that then shared in the earnings of the entity. For CoreCivic, diluted earnings per share is computed by dividing net income by the weighted average number of common shares after considering the additional dilution related to restricted stock-based awards.</w:t>
      </w:r>
    </w:p>
    <w:p>
      <w:pPr>
        <w:spacing w:after="0" w:line="183" w:lineRule="exact"/>
        <w:rPr>
          <w:rFonts w:ascii="Times New Roman" w:cs="Times New Roman" w:eastAsia="Times New Roman" w:hAnsi="Times New Roman"/>
          <w:sz w:val="18"/>
          <w:szCs w:val="18"/>
          <w:b w:val="1"/>
          <w:bCs w:val="1"/>
          <w:color w:val="auto"/>
        </w:rPr>
      </w:pPr>
    </w:p>
    <w:p>
      <w:pPr>
        <w:ind w:left="5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reconciliation of the numerator and denominator of the basic earnings per share computation to the numerator and denominator of the diluted earnings per share computation is as follows (in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gridSpan w:val="8"/>
          </w:tcPr>
          <w:p>
            <w:pPr>
              <w:ind w:left="300"/>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3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5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68,868</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67,590</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122,320</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13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3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5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68,868</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67,590</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122,320</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3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110,939</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113,798</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118,199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110,939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118,199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stock-based awards</w:t>
            </w:r>
          </w:p>
        </w:tc>
        <w:tc>
          <w:tcPr>
            <w:tcW w:w="1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902</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3940" w:type="dxa"/>
            <w:vAlign w:val="bottom"/>
            <w:shd w:val="clear" w:color="auto" w:fill="CFF0FC"/>
          </w:tcPr>
          <w:p>
            <w:pPr>
              <w:ind w:left="180"/>
              <w:spacing w:after="0" w:line="191" w:lineRule="exact"/>
              <w:rPr>
                <w:sz w:val="20"/>
                <w:szCs w:val="20"/>
                <w:color w:val="auto"/>
              </w:rPr>
            </w:pPr>
            <w:r>
              <w:rPr>
                <w:rFonts w:ascii="Times New Roman" w:cs="Times New Roman" w:eastAsia="Times New Roman" w:hAnsi="Times New Roman"/>
                <w:sz w:val="18"/>
                <w:szCs w:val="18"/>
                <w:color w:val="auto"/>
              </w:rPr>
              <w:t>Weighted average shares and assumed</w:t>
            </w:r>
          </w:p>
        </w:tc>
        <w:tc>
          <w:tcPr>
            <w:tcW w:w="1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111,841</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114,650</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119,098</w:t>
            </w:r>
          </w:p>
        </w:tc>
        <w:tc>
          <w:tcPr>
            <w:tcW w:w="80" w:type="dxa"/>
            <w:vAlign w:val="bottom"/>
            <w:shd w:val="clear" w:color="auto" w:fill="CFF0FC"/>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940" w:type="dxa"/>
            <w:vAlign w:val="bottom"/>
            <w:tcBorders>
              <w:bottom w:val="single" w:sz="8" w:color="CFF0FC"/>
            </w:tcBorders>
            <w:shd w:val="clear" w:color="auto" w:fill="CFF0FC"/>
          </w:tcPr>
          <w:p>
            <w:pPr>
              <w:ind w:left="320"/>
              <w:spacing w:after="0" w:line="194" w:lineRule="exact"/>
              <w:rPr>
                <w:sz w:val="20"/>
                <w:szCs w:val="20"/>
                <w:color w:val="auto"/>
              </w:rPr>
            </w:pPr>
            <w:r>
              <w:rPr>
                <w:rFonts w:ascii="Times New Roman" w:cs="Times New Roman" w:eastAsia="Times New Roman" w:hAnsi="Times New Roman"/>
                <w:sz w:val="18"/>
                <w:szCs w:val="18"/>
                <w:color w:val="auto"/>
              </w:rPr>
              <w:t>conversions</w:t>
            </w:r>
          </w:p>
        </w:tc>
        <w:tc>
          <w:tcPr>
            <w:tcW w:w="1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56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0.62</w:t>
            </w:r>
          </w:p>
        </w:tc>
        <w:tc>
          <w:tcPr>
            <w:tcW w:w="42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0.59</w:t>
            </w:r>
          </w:p>
        </w:tc>
        <w:tc>
          <w:tcPr>
            <w:tcW w:w="42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39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0.62</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0.59</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4"/>
        </w:trPr>
        <w:tc>
          <w:tcPr>
            <w:tcW w:w="1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5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F-31</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-2965450</wp:posOffset>
            </wp:positionV>
            <wp:extent cx="514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-2948305</wp:posOffset>
            </wp:positionV>
            <wp:extent cx="514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-2965450</wp:posOffset>
            </wp:positionV>
            <wp:extent cx="514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-2948305</wp:posOffset>
            </wp:positionV>
            <wp:extent cx="514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-2965450</wp:posOffset>
            </wp:positionV>
            <wp:extent cx="514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-2948305</wp:posOffset>
            </wp:positionV>
            <wp:extent cx="514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-2665095</wp:posOffset>
            </wp:positionV>
            <wp:extent cx="514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-2647950</wp:posOffset>
            </wp:positionV>
            <wp:extent cx="514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-2665095</wp:posOffset>
            </wp:positionV>
            <wp:extent cx="514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-2647950</wp:posOffset>
            </wp:positionV>
            <wp:extent cx="514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-2665095</wp:posOffset>
            </wp:positionV>
            <wp:extent cx="514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-2647950</wp:posOffset>
            </wp:positionV>
            <wp:extent cx="514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-1396365</wp:posOffset>
            </wp:positionV>
            <wp:extent cx="51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-1379220</wp:posOffset>
            </wp:positionV>
            <wp:extent cx="514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-1396365</wp:posOffset>
            </wp:positionV>
            <wp:extent cx="514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-1379220</wp:posOffset>
            </wp:positionV>
            <wp:extent cx="514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-1396365</wp:posOffset>
            </wp:positionV>
            <wp:extent cx="514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-1379220</wp:posOffset>
            </wp:positionV>
            <wp:extent cx="514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-1070610</wp:posOffset>
            </wp:positionV>
            <wp:extent cx="514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-1053465</wp:posOffset>
            </wp:positionV>
            <wp:extent cx="5143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-1070610</wp:posOffset>
            </wp:positionV>
            <wp:extent cx="514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-1053465</wp:posOffset>
            </wp:positionV>
            <wp:extent cx="5143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-1070610</wp:posOffset>
            </wp:positionV>
            <wp:extent cx="514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-1053465</wp:posOffset>
            </wp:positionV>
            <wp:extent cx="5143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00" w:lineRule="exact"/>
        <w:rPr>
          <w:sz w:val="20"/>
          <w:szCs w:val="20"/>
          <w:color w:val="auto"/>
        </w:rPr>
      </w:pPr>
    </w:p>
    <w:p>
      <w:pPr>
        <w:spacing w:after="0" w:line="246" w:lineRule="exact"/>
        <w:rPr>
          <w:sz w:val="20"/>
          <w:szCs w:val="20"/>
          <w:color w:val="auto"/>
        </w:rPr>
      </w:pPr>
    </w:p>
    <w:p>
      <w:pPr>
        <w:ind w:left="520" w:right="7280" w:hanging="512"/>
        <w:spacing w:after="0" w:line="378" w:lineRule="auto"/>
        <w:tabs>
          <w:tab w:leader="none" w:pos="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jc w:val="both"/>
        <w:ind w:left="5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nature of CoreCivic's business results in claims and litigation alleging that it is liable for damages arising from the conduct of its employees, offenders or others. The nature of such claims includes, but is not limited to, claims arising from employee or offender misconduct, medical malpractice, employment matters, property loss, contractual claims, including claims regarding compliance with contract performance requirements, and personal injury or other damages resulting from contact with CoreCivic's facilities, personnel or offenders, including damages arising from an offender's escape or from a disturbance at a facility. CoreCivic maintains insurance to cover many of these claims, which may mitigate the risk that any single claim would have a material effect on CoreCivic's consolidated financial position, results of operations, or cash flows, provided the claim is one for which coverage is available. The combination of self-insured retentions and deductible amounts means that, in the aggregate, CoreCivic is subject to self-insurance risk.</w:t>
      </w:r>
    </w:p>
    <w:p>
      <w:pPr>
        <w:spacing w:after="0" w:line="191" w:lineRule="exact"/>
        <w:rPr>
          <w:rFonts w:ascii="Times New Roman" w:cs="Times New Roman" w:eastAsia="Times New Roman" w:hAnsi="Times New Roman"/>
          <w:sz w:val="18"/>
          <w:szCs w:val="18"/>
          <w:b w:val="1"/>
          <w:bCs w:val="1"/>
          <w:color w:val="auto"/>
        </w:rPr>
      </w:pPr>
    </w:p>
    <w:p>
      <w:pPr>
        <w:jc w:val="both"/>
        <w:ind w:left="5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upon management's review of the potential claims and outstanding litigation, and based upon management's experience and history of estimating losses, and taking into consideration CoreCivic's self-insured retention amounts, management believes a loss in excess of amounts already recognized would not be material to CoreCivic's consolidated financial statements. Adversarial proceedings and litigation are, however, subject to inherent uncertainties, and unfavorable decisions and rulings resulting from legal proceedings could occur which could have a material impact on CoreCivic's consolidated financial position, results of operations, or cash flows for the period in which such decisions or rulings occur, or future periods. Expenses associated with legal proceedings may also fluctuate from quarter to quarter based on changes in CoreCivic's assumptions, new developments, or by the effectiveness of CoreCivic's litigation and settlement strategies.</w:t>
      </w:r>
    </w:p>
    <w:p>
      <w:pPr>
        <w:spacing w:after="0" w:line="188" w:lineRule="exact"/>
        <w:rPr>
          <w:rFonts w:ascii="Times New Roman" w:cs="Times New Roman" w:eastAsia="Times New Roman" w:hAnsi="Times New Roman"/>
          <w:sz w:val="18"/>
          <w:szCs w:val="18"/>
          <w:b w:val="1"/>
          <w:bCs w:val="1"/>
          <w:color w:val="auto"/>
        </w:rPr>
      </w:pPr>
    </w:p>
    <w:p>
      <w:pPr>
        <w:jc w:val="both"/>
        <w:ind w:left="5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records a liability in the consolidated financial statements for loss contingencies when a loss is known or considered probable, and the amount can be reasonably estimated. If the reasonable estimate of a known or probable loss is a range, and no amount within the range is a better estimate than any other, the minimum amount of the range is accrued. If a loss is reasonably possible but not known or probable, and can be reasonably estimated, the estimated loss or range of loss is disclosed. When determining the estimated loss or range of loss, significant judgment is required to estimate the amount and timing of a loss to be recorded. Any receivable for insurance recoveries is recorded separately from the corresponding litigation reserve, and only if recovery is determined to be probable and the amount of payment can be determined. CoreCivic does not accrue for anticipated legal fees and costs and expenses those items as incurred.</w:t>
      </w:r>
    </w:p>
    <w:p>
      <w:pPr>
        <w:spacing w:after="0" w:line="294"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ICE Detainee Labor and Related Matters.</w:t>
      </w:r>
    </w:p>
    <w:p>
      <w:pPr>
        <w:spacing w:after="0" w:line="119" w:lineRule="exact"/>
        <w:rPr>
          <w:rFonts w:ascii="Times New Roman" w:cs="Times New Roman" w:eastAsia="Times New Roman" w:hAnsi="Times New Roman"/>
          <w:sz w:val="18"/>
          <w:szCs w:val="18"/>
          <w:b w:val="1"/>
          <w:bCs w:val="1"/>
          <w:color w:val="auto"/>
        </w:rPr>
      </w:pPr>
    </w:p>
    <w:p>
      <w:pPr>
        <w:jc w:val="both"/>
        <w:ind w:left="5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31, 2017, two former ICE detainees, who were detained at the Company's Otay Mesa Detention Center ("OMDC") in San Diego, California, filed a class action lawsuit against the Company in the United States District Court for the Southern District of California. The complaint alleged that the Company forces detainees to perform labor under threat of punishment in violation of state and federal anti-trafficking laws and that OMDC's Voluntary Work Program ("VWP") violates state labor laws including state minimum wage laws. ICE requires that CoreCivic offer and operate the VWP in conformance with ICE standards and ICE prescribes the minimum rate of pay for VWP participants. The Plaintiffs seek compensatory damages, exemplary damages, restitution, penalties, and interest as well as declaratory and injunctive relief on behalf of former and current detainees. On April 1, 2020, the district court certified a nationwide anti-trafficking claims class of former and current detainees who participated in an ICE VWP at a CoreCivic facility. It also certified a state law class of former and current detainees who participated in a VWP wherever the Company held ICE detainees in California. The Company has exhausted appeals of the class certification order. On May 6, 2024, the district court stayed the filing of dispositive motions on state law claims under California law pending the outcome of a related case being prosecuted by another private prison company. That case is currently on appeal in the Ninth Circuit Court of Appeals. The claims resulting in certified classes are proceeding in all other respects in the United States District Court for the Southern District of California, where the discovery process has commenced. A second California lawsuit concerning the VWP at OMDC has been stayed pending the outcome of class proceedings in the first California case described above</w:t>
      </w:r>
      <w:r>
        <w:rPr>
          <w:rFonts w:ascii="Times New Roman" w:cs="Times New Roman" w:eastAsia="Times New Roman" w:hAnsi="Times New Roman"/>
          <w:sz w:val="18"/>
          <w:szCs w:val="18"/>
          <w:color w:val="242424"/>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stage of the ongoing proceedings, the Company cannot reasonably predict the outcomes, nor can it estimate the amount of loss or range of loss, if any, that may result. As a result, the Company has not recorded an accrual relating to these matters at this time, as losses are not considered probable or reasonably estimable at this stage of these lawsuits.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Department of Justice Investigation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the state of Tennessee was notified by letter that the DOJ was commencing an investigation under the Civil Rights Institutionalized Persons Act of conditions in the Company-owned and operated Trousdale Turner Correctional Center, which the Company manages on behalf of the Tennessee Department of Corrections. The Company is cooperating with the investigation.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Contingencies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CoreCivic's management contracts and the statutes of certain states require the maintenance of insurance. CoreCivic maintains various insurance policies including employee health, workers' compensation, automobile liability, and general liability insurance. These policies are fixed premium policies with various deductible amounts that are self-funded by CoreCivic. Reserves are provided for estimated incurred claims for which it is probable that a loss has been incurred and the range of such loss can be estimated.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All employees of CoreCivic are eligible to participate in the CoreCivic 401(k) Savings and Retirement Plan (the "Plan") upon reaching age 18 and completing six months of qualified service. Eligible employees may contribute up to 90% of their eligible compensation, subject to IRS limitations. For the years ended December 31, 2024, 2023, and 2022, CoreCivic provided a discretionary matching contribution equal to 100% of the employee's contributions up to 5% of the employee's eligible compensation to employees with at least 500 hours of employment in the plan year. Employer matching contributions paid into the Plan each pay period vest immediately pursuant to safe harbor provisions adopted by the Plan. During 2024, 2023, and 2022, CoreCivic's discretionary contributions and expense to the Plan were $14.0 million, $14.4 million, and $15.3 million, respectively.</w:t>
      </w:r>
    </w:p>
    <w:p>
      <w:pPr>
        <w:spacing w:after="0" w:line="200" w:lineRule="exact"/>
        <w:rPr>
          <w:sz w:val="20"/>
          <w:szCs w:val="20"/>
          <w:color w:val="auto"/>
        </w:rPr>
      </w:pPr>
    </w:p>
    <w:p>
      <w:pPr>
        <w:spacing w:after="0" w:line="20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32" w:name="page133"/>
    <w:bookmarkEnd w:id="13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CoreCivic provides two non-qualified deferred compensation plans (the "Deferred Compensation Plans") for non-employee directors and for certain senior executives. The Deferred Compensation Plans are unfunded plans maintained for the purpose of providing CoreCivic's directors and certain of its senior executives the opportunity to defer a portion of their compensation. Under the terms of the Deferred Compensation Plans, certain senior executives may elect to contribute on a pre-tax basis up to 50% of their base salary and up to 100% of their cash bonus, and non-employee directors may elect to contribute on a pre-tax basis up to 100% of their director retainer and meeting fees. During the years ended December 31, 2024, 2023, and 2022, CoreCivic matched 100% of employee contributions up to 5% of total cash compensation. CoreCivic also contributes a fixed rate of return on balances in the Deferred Compensation Plans, determined at the beginning of each plan year. Matching contributions and investment earnings thereon become vested 20% after two years of service, 40% after three years of service, 80% after four years of service, and 100% after five or more years of service. Distributions are generally payable no earlier than five years subsequent to the date an individual becomes a participant in the Plan, or upon termination of employment (or the date a director ceases to serve as a director of CoreCivic), at the election of the participant. Distributions to senior executives must commence on or before the later of 60 days after the participant's separation from service or the fifteenth day of the month following the month the individual attains age 65.</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2024, 2023, and 2022, CoreCivic provided a fixed return of 5.2%, 5.0%, and 5.0%, respectively, to participants in the Deferred Compensation Plans. CoreCivic has purchased life insurance policies on the lives of certain employees of CoreCivic, which are intended to fund distributions from the Deferred Compensation Plans. CoreCivic is the sole beneficiary of such policies. At the inception of the Deferred Compensation Plans, CoreCivic established an irrevocable Rabbi Trust to secure the plans' obligations. However, assets in the Deferred Compensation Plans are subject to creditor claims in the event of bankruptcy. During 2024, 2023, and 2022, CoreCivic recorded $0.3 million of matching contributions as general and administrative expense associated with the Deferred Compensation Plans. Assets in the Rabbi Trust were $16.7 million and $16.5 million as of December 31, 2024 and 2023, respectively, and were reflected in other assets on the accompanying consolidated balance sheets. As of December 31, 2024 and 2023, CoreCivic's liability related to the Deferred Compensation Plans was $16.1 million and $14.6 million, respectively, which was reflected in accounts payable and accrued expenses and other liabilities on the accompanying consolidated balance sheets.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Severance Agreements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CoreCivic currently has an executive severance and change in control plan, which provides for the payment of certain severance amounts upon termination of employment under certain circumstances or a change of control, as defined in the agreements.</w:t>
      </w:r>
    </w:p>
    <w:p>
      <w:pPr>
        <w:spacing w:after="0" w:line="37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33" w:name="page134"/>
    <w:bookmarkEnd w:id="133"/>
    <w:p>
      <w:pPr>
        <w:spacing w:after="0" w:line="190"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CEO of the Company is identified as the CODM as defined by ASU 2023-07. The CODM routinely reviews segment net operating income compared to budget and prior periods to assess performance and allocate resources within reportable segments. As of December 31, 2024, CoreCivic operated 42 correctional and detention facilities, 38 of which the Company owned or controlled via a long-term lease. In addition, CoreCivic operated 21 residential reentry centers, which it owned or controlled via a long-term lease, and owned 6 properties held for lease to government agencies. Management views CoreCivic's operating results in three operating segments, CoreCivic Safety, CoreCivic Community, and CoreCivic Properties, each of which is a reportable segment. CoreCivic Safety includes the operating results of those correctional and detention facilities placed into service that were owned or controlled via a long-term lease and managed by CoreCivic, as well as those correctional and detention facilities owned by a third party and managed by CoreCivic. CoreCivic Safety also includes the operating results of TransCor America, LLC, a subsidiary of the Company that provides transportation services to governmental agencies. CoreCivic Community includes the operating results of those residential reentry centers placed into service that were owned or controlled via a long-term lease and managed by CoreCivic. CoreCivic Community also includes the operating results of the Company's electronic monitoring and case management services. CoreCivic Properties includes the operating results of those properties held for lease to government agencies. The operating performance of the three segments can be measured based on their net operating income. CoreCivic defines facility net operating income as a facility's revenues less operating expenses.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revenue and facility net operating income for each of the three segments and a reconciliation to CoreCivic's income before income taxes is as follows for the three years ended December 31, 2024, 2023, and 2022 (in thousands):</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gridSpan w:val="8"/>
          </w:tcPr>
          <w:p>
            <w:pPr>
              <w:jc w:val="right"/>
              <w:ind w:right="660"/>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Safety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1,816,850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1,731,421</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Community</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118,656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115,068</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Properties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26,085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1,961,591</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1,896,364</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1,845,171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Safety</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1,382,520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1,356,496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1,313,567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Community</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96,932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Properties</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13,823</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13,829</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1,493,275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1,462,220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net operating income:</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Safety</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434,330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Community</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21,724</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23,173</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Properties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12,262</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facility net operating income</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468,316</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434,144</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431,906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 (expense):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(82 )</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(210 )</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(527 )</w:t>
            </w: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(152,081 )</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(136,084 )</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(127,700 )</w:t>
            </w: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(128,011 )</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(127,316 )</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(127,906 )</w:t>
            </w: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Shareholder litigation expense</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(1,900 )</w:t>
            </w: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(3,108 )</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(2,710 )</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(4,392 )</w:t>
            </w: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(67,415 )</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(72,960 )</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(84,974 )</w:t>
            </w:r>
          </w:p>
        </w:tc>
        <w:tc>
          <w:tcPr>
            <w:tcW w:w="0" w:type="dxa"/>
            <w:vAlign w:val="bottom"/>
          </w:tcPr>
          <w:p>
            <w:pPr>
              <w:spacing w:after="0"/>
              <w:rPr>
                <w:sz w:val="1"/>
                <w:szCs w:val="1"/>
                <w:color w:val="auto"/>
              </w:rPr>
            </w:pPr>
          </w:p>
        </w:tc>
      </w:tr>
      <w:tr>
        <w:trPr>
          <w:trHeight w:val="198"/>
        </w:trPr>
        <w:tc>
          <w:tcPr>
            <w:tcW w:w="5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Expenses associated with debt repayments</w:t>
            </w:r>
          </w:p>
        </w:tc>
        <w:tc>
          <w:tcPr>
            <w:tcW w:w="220" w:type="dxa"/>
            <w:vAlign w:val="bottom"/>
          </w:tcPr>
          <w:p>
            <w:pPr>
              <w:spacing w:after="0"/>
              <w:rPr>
                <w:sz w:val="17"/>
                <w:szCs w:val="17"/>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(31,316 )</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refinancing transactions</w:t>
            </w:r>
          </w:p>
        </w:tc>
        <w:tc>
          <w:tcPr>
            <w:tcW w:w="22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(686 )</w:t>
            </w: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(8,077 )</w:t>
            </w: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Gain on sale of real estate assets, net</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3,262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91,963</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95,823</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165,302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-3230880</wp:posOffset>
            </wp:positionV>
            <wp:extent cx="596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5220970</wp:posOffset>
            </wp:positionH>
            <wp:positionV relativeFrom="paragraph">
              <wp:posOffset>-3230880</wp:posOffset>
            </wp:positionV>
            <wp:extent cx="603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-3230880</wp:posOffset>
            </wp:positionV>
            <wp:extent cx="596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-2673985</wp:posOffset>
            </wp:positionV>
            <wp:extent cx="596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5220970</wp:posOffset>
            </wp:positionH>
            <wp:positionV relativeFrom="paragraph">
              <wp:posOffset>-2673985</wp:posOffset>
            </wp:positionV>
            <wp:extent cx="603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-2673985</wp:posOffset>
            </wp:positionV>
            <wp:extent cx="596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-1824990</wp:posOffset>
            </wp:positionV>
            <wp:extent cx="596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5220970</wp:posOffset>
            </wp:positionH>
            <wp:positionV relativeFrom="paragraph">
              <wp:posOffset>-1824990</wp:posOffset>
            </wp:positionV>
            <wp:extent cx="603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-1824990</wp:posOffset>
            </wp:positionV>
            <wp:extent cx="596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-24765</wp:posOffset>
            </wp:positionV>
            <wp:extent cx="596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-7620</wp:posOffset>
            </wp:positionV>
            <wp:extent cx="596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5220970</wp:posOffset>
            </wp:positionH>
            <wp:positionV relativeFrom="paragraph">
              <wp:posOffset>-24765</wp:posOffset>
            </wp:positionV>
            <wp:extent cx="603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5220970</wp:posOffset>
            </wp:positionH>
            <wp:positionV relativeFrom="paragraph">
              <wp:posOffset>-7620</wp:posOffset>
            </wp:positionV>
            <wp:extent cx="603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-24765</wp:posOffset>
            </wp:positionV>
            <wp:extent cx="596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-7620</wp:posOffset>
            </wp:positionV>
            <wp:extent cx="596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32" w:lineRule="exact"/>
        <w:rPr>
          <w:sz w:val="20"/>
          <w:szCs w:val="20"/>
          <w:color w:val="auto"/>
        </w:rPr>
      </w:pPr>
    </w:p>
    <w:p>
      <w:pPr>
        <w:jc w:val="both"/>
        <w:ind w:left="460" w:firstLine="1"/>
        <w:spacing w:after="0" w:line="277" w:lineRule="auto"/>
        <w:tabs>
          <w:tab w:leader="none" w:pos="631"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Salaries and benefits expense is the only significant reportable segment expense regularly reviewed by the CODM for both the Safety and Community segments and represents the majority of segment-level operating expenses given that substantial staff are required to operate the facilities and is the primary factor that drives operating expenses and profitability. Conversely, the Properties segment does not have a significant segment expense given the fact that those properties are operated by government agencies. The following table summarizes the significant segment expense, along with other segment operating expenses to reconcile to total segment operating expenses for both the Safety and Community segments, for the years ended December 31, 2024, 2023 and 2022 (in thousands):</w:t>
      </w:r>
    </w:p>
    <w:p>
      <w:pPr>
        <w:spacing w:after="0" w:line="38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135" w:name="page136"/>
    <w:bookmarkEnd w:id="135"/>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gridSpan w:val="8"/>
          </w:tcPr>
          <w:p>
            <w:pPr>
              <w:ind w:left="300"/>
              <w:spacing w:after="0"/>
              <w:rPr>
                <w:sz w:val="20"/>
                <w:szCs w:val="20"/>
                <w:color w:val="auto"/>
              </w:rPr>
            </w:pPr>
            <w:r>
              <w:rPr>
                <w:rFonts w:ascii="Times New Roman" w:cs="Times New Roman" w:eastAsia="Times New Roman" w:hAnsi="Times New Roman"/>
                <w:sz w:val="18"/>
                <w:szCs w:val="18"/>
                <w:color w:val="auto"/>
              </w:rPr>
              <w:t>For the Years Ended December 31,</w:t>
            </w:r>
          </w:p>
        </w:tc>
      </w:tr>
      <w:tr>
        <w:trPr>
          <w:trHeight w:val="210"/>
        </w:trPr>
        <w:tc>
          <w:tcPr>
            <w:tcW w:w="5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Safety:</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64"/>
        </w:trPr>
        <w:tc>
          <w:tcPr>
            <w:tcW w:w="5280" w:type="dxa"/>
            <w:vAlign w:val="bottom"/>
          </w:tcPr>
          <w:p>
            <w:pPr>
              <w:ind w:left="180"/>
              <w:spacing w:after="0" w:line="164" w:lineRule="exact"/>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b w:val="1"/>
                <w:bCs w:val="1"/>
                <w:color w:val="auto"/>
              </w:rPr>
              <w:t>876,954</w:t>
            </w:r>
          </w:p>
        </w:tc>
        <w:tc>
          <w:tcPr>
            <w:tcW w:w="400" w:type="dxa"/>
            <w:vAlign w:val="bottom"/>
            <w:gridSpan w:val="2"/>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830,418</w:t>
            </w:r>
          </w:p>
        </w:tc>
        <w:tc>
          <w:tcPr>
            <w:tcW w:w="420" w:type="dxa"/>
            <w:vAlign w:val="bottom"/>
            <w:gridSpan w:val="2"/>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781,544</w:t>
            </w:r>
          </w:p>
        </w:tc>
        <w:tc>
          <w:tcPr>
            <w:tcW w:w="80" w:type="dxa"/>
            <w:vAlign w:val="bottom"/>
          </w:tcPr>
          <w:p>
            <w:pPr>
              <w:spacing w:after="0"/>
              <w:rPr>
                <w:sz w:val="14"/>
                <w:szCs w:val="14"/>
                <w:color w:val="auto"/>
              </w:rPr>
            </w:pPr>
          </w:p>
        </w:tc>
      </w:tr>
      <w:tr>
        <w:trPr>
          <w:trHeight w:val="268"/>
        </w:trPr>
        <w:tc>
          <w:tcPr>
            <w:tcW w:w="5280" w:type="dxa"/>
            <w:vAlign w:val="bottom"/>
          </w:tcPr>
          <w:p>
            <w:pPr>
              <w:ind w:left="180"/>
              <w:spacing w:after="0" w:line="267" w:lineRule="exact"/>
              <w:rPr>
                <w:sz w:val="20"/>
                <w:szCs w:val="20"/>
                <w:color w:val="auto"/>
              </w:rPr>
            </w:pPr>
            <w:r>
              <w:rPr>
                <w:rFonts w:ascii="Times New Roman" w:cs="Times New Roman" w:eastAsia="Times New Roman" w:hAnsi="Times New Roman"/>
                <w:sz w:val="18"/>
                <w:szCs w:val="18"/>
                <w:color w:val="auto"/>
              </w:rPr>
              <w:t>Other segment operating expenses</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505,566</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526,078</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532,023</w:t>
            </w:r>
          </w:p>
        </w:tc>
        <w:tc>
          <w:tcPr>
            <w:tcW w:w="80" w:type="dxa"/>
            <w:vAlign w:val="bottom"/>
          </w:tcPr>
          <w:p>
            <w:pPr>
              <w:spacing w:after="0"/>
              <w:rPr>
                <w:sz w:val="23"/>
                <w:szCs w:val="23"/>
                <w:color w:val="auto"/>
              </w:rPr>
            </w:pP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Safety operating expenses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1,382,520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1,356,496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1,313,567</w:t>
            </w:r>
          </w:p>
        </w:tc>
        <w:tc>
          <w:tcPr>
            <w:tcW w:w="80" w:type="dxa"/>
            <w:vAlign w:val="bottom"/>
          </w:tcPr>
          <w:p>
            <w:pPr>
              <w:spacing w:after="0"/>
              <w:rPr>
                <w:sz w:val="18"/>
                <w:szCs w:val="18"/>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Community:</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64"/>
        </w:trPr>
        <w:tc>
          <w:tcPr>
            <w:tcW w:w="5280" w:type="dxa"/>
            <w:vAlign w:val="bottom"/>
          </w:tcPr>
          <w:p>
            <w:pPr>
              <w:ind w:left="180"/>
              <w:spacing w:after="0" w:line="164" w:lineRule="exact"/>
              <w:rPr>
                <w:sz w:val="20"/>
                <w:szCs w:val="20"/>
                <w:color w:val="auto"/>
              </w:rPr>
            </w:pPr>
            <w:r>
              <w:rPr>
                <w:rFonts w:ascii="Times New Roman" w:cs="Times New Roman" w:eastAsia="Times New Roman" w:hAnsi="Times New Roman"/>
                <w:sz w:val="18"/>
                <w:szCs w:val="18"/>
                <w:color w:val="auto"/>
              </w:rPr>
              <w:t>Salaries and benefits</w:t>
            </w:r>
          </w:p>
        </w:tc>
        <w:tc>
          <w:tcPr>
            <w:tcW w:w="220" w:type="dxa"/>
            <w:vAlign w:val="bottom"/>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b w:val="1"/>
                <w:bCs w:val="1"/>
                <w:color w:val="auto"/>
              </w:rPr>
              <w:t>53,521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48,971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43,650</w:t>
            </w:r>
          </w:p>
        </w:tc>
        <w:tc>
          <w:tcPr>
            <w:tcW w:w="80" w:type="dxa"/>
            <w:vAlign w:val="bottom"/>
          </w:tcPr>
          <w:p>
            <w:pPr>
              <w:spacing w:after="0"/>
              <w:rPr>
                <w:sz w:val="14"/>
                <w:szCs w:val="14"/>
                <w:color w:val="auto"/>
              </w:rPr>
            </w:pPr>
          </w:p>
        </w:tc>
      </w:tr>
      <w:tr>
        <w:trPr>
          <w:trHeight w:val="268"/>
        </w:trPr>
        <w:tc>
          <w:tcPr>
            <w:tcW w:w="5280" w:type="dxa"/>
            <w:vAlign w:val="bottom"/>
          </w:tcPr>
          <w:p>
            <w:pPr>
              <w:ind w:left="180"/>
              <w:spacing w:after="0" w:line="267" w:lineRule="exact"/>
              <w:rPr>
                <w:sz w:val="20"/>
                <w:szCs w:val="20"/>
                <w:color w:val="auto"/>
              </w:rPr>
            </w:pPr>
            <w:r>
              <w:rPr>
                <w:rFonts w:ascii="Times New Roman" w:cs="Times New Roman" w:eastAsia="Times New Roman" w:hAnsi="Times New Roman"/>
                <w:sz w:val="18"/>
                <w:szCs w:val="18"/>
                <w:color w:val="auto"/>
              </w:rPr>
              <w:t>Other segment operating expenses</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43,411</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42,924</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42,366</w:t>
            </w:r>
          </w:p>
        </w:tc>
        <w:tc>
          <w:tcPr>
            <w:tcW w:w="80" w:type="dxa"/>
            <w:vAlign w:val="bottom"/>
          </w:tcPr>
          <w:p>
            <w:pPr>
              <w:spacing w:after="0"/>
              <w:rPr>
                <w:sz w:val="23"/>
                <w:szCs w:val="23"/>
                <w:color w:val="auto"/>
              </w:rPr>
            </w:pP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Community operating expenses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96,932</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91,895</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86,016</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-856615</wp:posOffset>
            </wp:positionV>
            <wp:extent cx="5700395" cy="1460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1">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-290830</wp:posOffset>
            </wp:positionV>
            <wp:extent cx="5700395" cy="1454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2">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259" w:lineRule="exact"/>
        <w:rPr>
          <w:sz w:val="20"/>
          <w:szCs w:val="20"/>
          <w:color w:val="auto"/>
        </w:rPr>
      </w:pPr>
    </w:p>
    <w:p>
      <w:pPr>
        <w:ind w:left="980" w:firstLine="1"/>
        <w:spacing w:after="0" w:line="223" w:lineRule="auto"/>
        <w:tabs>
          <w:tab w:leader="none" w:pos="1192" w:val="left"/>
        </w:tabs>
        <w:numPr>
          <w:ilvl w:val="0"/>
          <w:numId w:val="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Other segment operating expenses for each reportable segment include, but are not limited to, utilities, property taxes, repairs and maintenance, food, medical, vocational and educational programming, personal care and other resident supplies.</w:t>
      </w:r>
    </w:p>
    <w:p>
      <w:pPr>
        <w:spacing w:after="0" w:line="267"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capital expenditures including accrued amounts for the years ended December 31, 2024, 2023, and 2022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11"/>
          </w:tcPr>
          <w:p>
            <w:pPr>
              <w:ind w:left="300"/>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8"/>
                <w:szCs w:val="18"/>
                <w:color w:val="auto"/>
              </w:rPr>
            </w:pPr>
          </w:p>
        </w:tc>
        <w:tc>
          <w:tcPr>
            <w:tcW w:w="12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8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right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Safety</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51,368</w:t>
            </w: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51,070</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4"/>
              </w:rPr>
              <w:t>70,399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Community</w:t>
            </w: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4,484</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Properties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4,542</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8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10,028</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2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right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70,422</w:t>
            </w: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67,749</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4"/>
              </w:rPr>
              <w:t>83,444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color w:val="auto"/>
              </w:rPr>
              <w:t>The total assets are as follows (in thousands):</w:t>
            </w:r>
          </w:p>
        </w:tc>
        <w:tc>
          <w:tcPr>
            <w:tcW w:w="1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20" w:type="dxa"/>
            <w:vAlign w:val="bottom"/>
            <w:gridSpan w:val="3"/>
            <w:vMerge w:val="continue"/>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Safety</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2,147,369</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2,284,243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Community</w:t>
            </w: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204,782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213,145</w:t>
            </w:r>
          </w:p>
        </w:tc>
        <w:tc>
          <w:tcPr>
            <w:tcW w:w="80" w:type="dxa"/>
            <w:vAlign w:val="bottom"/>
            <w:tcBorders>
              <w:right w:val="single" w:sz="8" w:color="CFF0FC"/>
            </w:tcBorders>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Properties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386,913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402,889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8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192,827</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205,122</w:t>
            </w:r>
          </w:p>
        </w:tc>
        <w:tc>
          <w:tcPr>
            <w:tcW w:w="80" w:type="dxa"/>
            <w:vAlign w:val="bottom"/>
            <w:tcBorders>
              <w:bottom w:val="single" w:sz="8" w:color="CFF0FC"/>
              <w:right w:val="single" w:sz="8" w:color="CFF0FC"/>
            </w:tcBorders>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2,931,891</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3,105,399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2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8"/>
                <w:szCs w:val="18"/>
                <w:color w:val="auto"/>
              </w:rPr>
              <w:t>F-37</w:t>
            </w: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-2845435</wp:posOffset>
            </wp:positionV>
            <wp:extent cx="514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-2845435</wp:posOffset>
            </wp:positionV>
            <wp:extent cx="514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-2845435</wp:posOffset>
            </wp:positionV>
            <wp:extent cx="514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-1233805</wp:posOffset>
            </wp:positionV>
            <wp:extent cx="5143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-1233805</wp:posOffset>
            </wp:positionV>
            <wp:extent cx="5143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82"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5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February 2025, CoreCivic issued approximately 1.1 million RSUs to certain of CoreCivic's employees and non-employee directors, with an aggregate value of $20.9 million. Unless earlier vested under the terms of the RSU agreement, approximately 0.7 million RSUs with time-based vesting conditions vest in equal amounts over three years on the later of (i) the anniversary date of the grant or (ii) the delivery of the audited financial statements by the Company's independent registered public accounting firm for the applicable fiscal year. Approximately 0.3 million RSUs with performance-based vesting conditions issued to officers and executive officers are divided into one-third increments, each of which is subject to vesting based upon satisfaction of certain annual performance criteria for the fiscal years ending December 31, 2025, 2026, and 2027, and which can be increased or decreased based on performance relative to the annual performance criteria, and further increased or decreased based on total shareholder return relative to a peer group. Approximately 0.1 million RSUs issued to non-employee directors vest on the first anniversary of the award. Any RSUs that become vested will be settled in shares of CoreCivic's common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III - REAL ESTATE ASSETS AND ACCUMULATED DEPRECIATION</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left="273"/>
              <w:spacing w:after="0"/>
              <w:rPr>
                <w:sz w:val="20"/>
                <w:szCs w:val="20"/>
                <w:color w:val="auto"/>
              </w:rPr>
            </w:pPr>
            <w:r>
              <w:rPr>
                <w:rFonts w:ascii="Times New Roman" w:cs="Times New Roman" w:eastAsia="Times New Roman" w:hAnsi="Times New Roman"/>
                <w:sz w:val="13"/>
                <w:szCs w:val="13"/>
                <w:b w:val="1"/>
                <w:bCs w:val="1"/>
                <w:color w:val="auto"/>
                <w:w w:val="96"/>
              </w:rPr>
              <w:t>Initial Cost to</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gridSpan w:val="5"/>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Gross Amount at Which Carried at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left="293"/>
              <w:spacing w:after="0"/>
              <w:rPr>
                <w:sz w:val="20"/>
                <w:szCs w:val="20"/>
                <w:color w:val="auto"/>
              </w:rPr>
            </w:pPr>
            <w:r>
              <w:rPr>
                <w:rFonts w:ascii="Times New Roman" w:cs="Times New Roman" w:eastAsia="Times New Roman" w:hAnsi="Times New Roman"/>
                <w:sz w:val="13"/>
                <w:szCs w:val="13"/>
                <w:b w:val="1"/>
                <w:bCs w:val="1"/>
                <w:color w:val="auto"/>
                <w:w w:val="95"/>
              </w:rPr>
              <w:t>Company</w:t>
            </w:r>
          </w:p>
        </w:tc>
        <w:tc>
          <w:tcPr>
            <w:tcW w:w="5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Close of Period</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Buildings</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Cost</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Accumulate</w:t>
            </w:r>
          </w:p>
        </w:tc>
        <w:tc>
          <w:tcPr>
            <w:tcW w:w="8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Buildings and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120" w:type="dxa"/>
            <w:vAlign w:val="bottom"/>
          </w:tcPr>
          <w:p>
            <w:pPr>
              <w:spacing w:after="0"/>
              <w:rPr>
                <w:sz w:val="11"/>
                <w:szCs w:val="11"/>
                <w:color w:val="auto"/>
              </w:rPr>
            </w:pPr>
          </w:p>
        </w:tc>
        <w:tc>
          <w:tcPr>
            <w:tcW w:w="720" w:type="dxa"/>
            <w:vAlign w:val="bottom"/>
          </w:tcPr>
          <w:p>
            <w:pPr>
              <w:jc w:val="center"/>
              <w:ind w:right="93"/>
              <w:spacing w:after="0" w:line="135" w:lineRule="exact"/>
              <w:rPr>
                <w:sz w:val="20"/>
                <w:szCs w:val="20"/>
                <w:color w:val="auto"/>
              </w:rPr>
            </w:pPr>
            <w:r>
              <w:rPr>
                <w:rFonts w:ascii="Times New Roman" w:cs="Times New Roman" w:eastAsia="Times New Roman" w:hAnsi="Times New Roman"/>
                <w:sz w:val="13"/>
                <w:szCs w:val="13"/>
                <w:b w:val="1"/>
                <w:bCs w:val="1"/>
                <w:color w:val="auto"/>
                <w:w w:val="96"/>
              </w:rPr>
              <w:t>Land and</w:t>
            </w:r>
          </w:p>
        </w:tc>
        <w:tc>
          <w:tcPr>
            <w:tcW w:w="2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Leasehold</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d</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Date</w:t>
            </w: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Improvement</w:t>
            </w:r>
          </w:p>
        </w:tc>
        <w:tc>
          <w:tcPr>
            <w:tcW w:w="240" w:type="dxa"/>
            <w:vAlign w:val="bottom"/>
          </w:tcPr>
          <w:p>
            <w:pPr>
              <w:spacing w:after="0"/>
              <w:rPr>
                <w:sz w:val="11"/>
                <w:szCs w:val="11"/>
                <w:color w:val="auto"/>
              </w:rPr>
            </w:pPr>
          </w:p>
        </w:tc>
        <w:tc>
          <w:tcPr>
            <w:tcW w:w="11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Subsequent to</w:t>
            </w:r>
          </w:p>
        </w:tc>
        <w:tc>
          <w:tcPr>
            <w:tcW w:w="120" w:type="dxa"/>
            <w:vAlign w:val="bottom"/>
          </w:tcPr>
          <w:p>
            <w:pPr>
              <w:spacing w:after="0"/>
              <w:rPr>
                <w:sz w:val="11"/>
                <w:szCs w:val="11"/>
                <w:color w:val="auto"/>
              </w:rPr>
            </w:pPr>
          </w:p>
        </w:tc>
        <w:tc>
          <w:tcPr>
            <w:tcW w:w="72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4"/>
              </w:rPr>
              <w:t>Land</w:t>
            </w:r>
          </w:p>
        </w:tc>
        <w:tc>
          <w:tcPr>
            <w:tcW w:w="2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Improveme</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Depreciation</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Constructed/</w:t>
            </w:r>
          </w:p>
        </w:tc>
      </w:tr>
      <w:tr>
        <w:trPr>
          <w:trHeight w:val="155"/>
        </w:trPr>
        <w:tc>
          <w:tcPr>
            <w:tcW w:w="20" w:type="dxa"/>
            <w:vAlign w:val="bottom"/>
          </w:tcPr>
          <w:p>
            <w:pPr>
              <w:spacing w:after="0"/>
              <w:rPr>
                <w:sz w:val="13"/>
                <w:szCs w:val="13"/>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Location</w:t>
            </w:r>
          </w:p>
        </w:tc>
        <w:tc>
          <w:tcPr>
            <w:tcW w:w="160" w:type="dxa"/>
            <w:vAlign w:val="bottom"/>
          </w:tcPr>
          <w:p>
            <w:pPr>
              <w:spacing w:after="0"/>
              <w:rPr>
                <w:sz w:val="13"/>
                <w:szCs w:val="13"/>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Land</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Acquisition</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2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nts</w:t>
            </w:r>
          </w:p>
        </w:tc>
        <w:tc>
          <w:tcPr>
            <w:tcW w:w="220" w:type="dxa"/>
            <w:vAlign w:val="bottom"/>
          </w:tcPr>
          <w:p>
            <w:pPr>
              <w:spacing w:after="0"/>
              <w:rPr>
                <w:sz w:val="13"/>
                <w:szCs w:val="13"/>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Total (A)</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2"/>
              </w:rPr>
              <w:t>(B)</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Acquired</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129"/>
        </w:trPr>
        <w:tc>
          <w:tcPr>
            <w:tcW w:w="20" w:type="dxa"/>
            <w:vAlign w:val="bottom"/>
            <w:shd w:val="clear" w:color="auto" w:fill="CFF0FC"/>
          </w:tcPr>
          <w:p>
            <w:pPr>
              <w:spacing w:after="0"/>
              <w:rPr>
                <w:sz w:val="11"/>
                <w:szCs w:val="11"/>
                <w:color w:val="auto"/>
              </w:rPr>
            </w:pPr>
          </w:p>
        </w:tc>
        <w:tc>
          <w:tcPr>
            <w:tcW w:w="2020" w:type="dxa"/>
            <w:vAlign w:val="bottom"/>
            <w:gridSpan w:val="2"/>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Adams County Correctional</w:t>
            </w:r>
          </w:p>
        </w:tc>
        <w:tc>
          <w:tcPr>
            <w:tcW w:w="1260" w:type="dxa"/>
            <w:vAlign w:val="bottom"/>
            <w:gridSpan w:val="2"/>
            <w:shd w:val="clear" w:color="auto" w:fill="CFF0FC"/>
          </w:tcPr>
          <w:p>
            <w:pPr>
              <w:jc w:val="center"/>
              <w:ind w:right="160"/>
              <w:spacing w:after="0" w:line="129" w:lineRule="exact"/>
              <w:rPr>
                <w:sz w:val="20"/>
                <w:szCs w:val="20"/>
                <w:color w:val="auto"/>
              </w:rPr>
            </w:pPr>
            <w:r>
              <w:rPr>
                <w:rFonts w:ascii="Times New Roman" w:cs="Times New Roman" w:eastAsia="Times New Roman" w:hAnsi="Times New Roman"/>
                <w:sz w:val="13"/>
                <w:szCs w:val="13"/>
                <w:color w:val="auto"/>
              </w:rPr>
              <w:t>Adams County,</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61"/>
        </w:trPr>
        <w:tc>
          <w:tcPr>
            <w:tcW w:w="20" w:type="dxa"/>
            <w:vAlign w:val="bottom"/>
            <w:shd w:val="clear" w:color="auto" w:fill="CFF0FC"/>
          </w:tcPr>
          <w:p>
            <w:pPr>
              <w:spacing w:after="0"/>
              <w:rPr>
                <w:sz w:val="14"/>
                <w:szCs w:val="14"/>
                <w:color w:val="auto"/>
              </w:rPr>
            </w:pPr>
          </w:p>
        </w:tc>
        <w:tc>
          <w:tcPr>
            <w:tcW w:w="2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3"/>
                <w:szCs w:val="13"/>
                <w:color w:val="auto"/>
              </w:rPr>
              <w:t>Mississippi</w:t>
            </w: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119,565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5,386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124,631</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125,825</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(40,892 )</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2008</w:t>
            </w:r>
          </w:p>
        </w:tc>
      </w:tr>
      <w:tr>
        <w:trPr>
          <w:trHeight w:val="148"/>
        </w:trPr>
        <w:tc>
          <w:tcPr>
            <w:tcW w:w="2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Adams Transitional Center</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Denver, Colorado</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1,422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7,776</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(496 )</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2017</w:t>
            </w:r>
          </w:p>
        </w:tc>
      </w:tr>
      <w:tr>
        <w:trPr>
          <w:trHeight w:val="136"/>
        </w:trPr>
        <w:tc>
          <w:tcPr>
            <w:tcW w:w="2040" w:type="dxa"/>
            <w:vAlign w:val="bottom"/>
            <w:gridSpan w:val="3"/>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Allen Gamble Correctional Center</w:t>
            </w:r>
          </w:p>
        </w:tc>
        <w:tc>
          <w:tcPr>
            <w:tcW w:w="1260" w:type="dxa"/>
            <w:vAlign w:val="bottom"/>
            <w:gridSpan w:val="2"/>
            <w:shd w:val="clear" w:color="auto" w:fill="CFF0FC"/>
          </w:tcPr>
          <w:p>
            <w:pPr>
              <w:jc w:val="center"/>
              <w:ind w:right="160"/>
              <w:spacing w:after="0" w:line="136" w:lineRule="exact"/>
              <w:rPr>
                <w:sz w:val="20"/>
                <w:szCs w:val="20"/>
                <w:color w:val="auto"/>
              </w:rPr>
            </w:pPr>
            <w:r>
              <w:rPr>
                <w:rFonts w:ascii="Times New Roman" w:cs="Times New Roman" w:eastAsia="Times New Roman" w:hAnsi="Times New Roman"/>
                <w:sz w:val="13"/>
                <w:szCs w:val="13"/>
                <w:color w:val="auto"/>
              </w:rPr>
              <w:t>Holdenville,</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61"/>
        </w:trPr>
        <w:tc>
          <w:tcPr>
            <w:tcW w:w="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3"/>
                <w:szCs w:val="13"/>
                <w:color w:val="auto"/>
              </w:rPr>
              <w:t>Oklahoma</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66,701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49,473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1,430</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114,994</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116,424</w:t>
            </w: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(52,837 )</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1996</w:t>
            </w:r>
          </w:p>
        </w:tc>
      </w:tr>
      <w:tr>
        <w:trPr>
          <w:trHeight w:val="136"/>
        </w:trPr>
        <w:tc>
          <w:tcPr>
            <w:tcW w:w="2040" w:type="dxa"/>
            <w:vAlign w:val="bottom"/>
            <w:gridSpan w:val="3"/>
          </w:tcPr>
          <w:p>
            <w:pPr>
              <w:ind w:left="20"/>
              <w:spacing w:after="0" w:line="136" w:lineRule="exact"/>
              <w:rPr>
                <w:sz w:val="20"/>
                <w:szCs w:val="20"/>
                <w:color w:val="auto"/>
              </w:rPr>
            </w:pPr>
            <w:r>
              <w:rPr>
                <w:rFonts w:ascii="Times New Roman" w:cs="Times New Roman" w:eastAsia="Times New Roman" w:hAnsi="Times New Roman"/>
                <w:sz w:val="13"/>
                <w:szCs w:val="13"/>
                <w:color w:val="auto"/>
              </w:rPr>
              <w:t>Arapahoe Community</w:t>
            </w:r>
          </w:p>
        </w:tc>
        <w:tc>
          <w:tcPr>
            <w:tcW w:w="126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3"/>
                <w:szCs w:val="13"/>
                <w:color w:val="auto"/>
              </w:rPr>
              <w:t>Englewood,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Treatment Center</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Colorado</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2,296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6,056</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(735 )</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2017</w:t>
            </w:r>
          </w:p>
        </w:tc>
      </w:tr>
      <w:tr>
        <w:trPr>
          <w:trHeight w:val="136"/>
        </w:trPr>
        <w:tc>
          <w:tcPr>
            <w:tcW w:w="2040" w:type="dxa"/>
            <w:vAlign w:val="bottom"/>
            <w:gridSpan w:val="3"/>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Austin Residential Reentry</w:t>
            </w: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61"/>
        </w:trPr>
        <w:tc>
          <w:tcPr>
            <w:tcW w:w="20" w:type="dxa"/>
            <w:vAlign w:val="bottom"/>
            <w:shd w:val="clear" w:color="auto" w:fill="CFF0FC"/>
          </w:tcPr>
          <w:p>
            <w:pPr>
              <w:spacing w:after="0"/>
              <w:rPr>
                <w:sz w:val="14"/>
                <w:szCs w:val="14"/>
                <w:color w:val="auto"/>
              </w:rPr>
            </w:pPr>
          </w:p>
        </w:tc>
        <w:tc>
          <w:tcPr>
            <w:tcW w:w="2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3"/>
                <w:szCs w:val="13"/>
                <w:color w:val="auto"/>
              </w:rPr>
              <w:t>Del Valle, Texas</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4,190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4,215</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1,619</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5,834</w:t>
            </w: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(599 )</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2015</w:t>
            </w:r>
          </w:p>
        </w:tc>
      </w:tr>
      <w:tr>
        <w:trPr>
          <w:trHeight w:val="149"/>
        </w:trPr>
        <w:tc>
          <w:tcPr>
            <w:tcW w:w="2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Austin Transitional Center</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Del Valle, Texas</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19,488</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19,526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5,932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25,458</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(2,027 )</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2015</w:t>
            </w:r>
          </w:p>
        </w:tc>
      </w:tr>
      <w:tr>
        <w:trPr>
          <w:trHeight w:val="136"/>
        </w:trPr>
        <w:tc>
          <w:tcPr>
            <w:tcW w:w="2040" w:type="dxa"/>
            <w:vAlign w:val="bottom"/>
            <w:gridSpan w:val="3"/>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Bent County Correctional Facility</w:t>
            </w:r>
          </w:p>
        </w:tc>
        <w:tc>
          <w:tcPr>
            <w:tcW w:w="1260" w:type="dxa"/>
            <w:vAlign w:val="bottom"/>
            <w:gridSpan w:val="2"/>
            <w:shd w:val="clear" w:color="auto" w:fill="CFF0FC"/>
          </w:tcPr>
          <w:p>
            <w:pPr>
              <w:jc w:val="center"/>
              <w:ind w:right="160"/>
              <w:spacing w:after="0" w:line="136" w:lineRule="exact"/>
              <w:rPr>
                <w:sz w:val="20"/>
                <w:szCs w:val="20"/>
                <w:color w:val="auto"/>
              </w:rPr>
            </w:pPr>
            <w:r>
              <w:rPr>
                <w:rFonts w:ascii="Times New Roman" w:cs="Times New Roman" w:eastAsia="Times New Roman" w:hAnsi="Times New Roman"/>
                <w:sz w:val="13"/>
                <w:szCs w:val="13"/>
                <w:color w:val="auto"/>
              </w:rPr>
              <w:t>Las Animas,</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61"/>
        </w:trPr>
        <w:tc>
          <w:tcPr>
            <w:tcW w:w="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3"/>
                <w:szCs w:val="13"/>
                <w:color w:val="auto"/>
              </w:rPr>
              <w:t>Colorado</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13,115</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71,109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1,601</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83,173</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84,774</w:t>
            </w: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(37,411 )</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1992</w:t>
            </w:r>
          </w:p>
        </w:tc>
      </w:tr>
      <w:tr>
        <w:trPr>
          <w:trHeight w:val="136"/>
        </w:trPr>
        <w:tc>
          <w:tcPr>
            <w:tcW w:w="2040" w:type="dxa"/>
            <w:vAlign w:val="bottom"/>
            <w:gridSpan w:val="3"/>
          </w:tcPr>
          <w:p>
            <w:pPr>
              <w:ind w:left="20"/>
              <w:spacing w:after="0" w:line="136" w:lineRule="exact"/>
              <w:rPr>
                <w:sz w:val="20"/>
                <w:szCs w:val="20"/>
                <w:color w:val="auto"/>
              </w:rPr>
            </w:pPr>
            <w:r>
              <w:rPr>
                <w:rFonts w:ascii="Times New Roman" w:cs="Times New Roman" w:eastAsia="Times New Roman" w:hAnsi="Times New Roman"/>
                <w:sz w:val="13"/>
                <w:szCs w:val="13"/>
                <w:color w:val="auto"/>
              </w:rPr>
              <w:t>CAI Boston Avenue</w:t>
            </w:r>
          </w:p>
        </w:tc>
        <w:tc>
          <w:tcPr>
            <w:tcW w:w="126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rPr>
              <w:t>San Diego,</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California</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12,897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13,788</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(5,303 )</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2013</w:t>
            </w:r>
          </w:p>
        </w:tc>
      </w:tr>
      <w:tr>
        <w:trPr>
          <w:trHeight w:val="136"/>
        </w:trPr>
        <w:tc>
          <w:tcPr>
            <w:tcW w:w="2040" w:type="dxa"/>
            <w:vAlign w:val="bottom"/>
            <w:gridSpan w:val="3"/>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California City Correctional</w:t>
            </w:r>
          </w:p>
        </w:tc>
        <w:tc>
          <w:tcPr>
            <w:tcW w:w="1260" w:type="dxa"/>
            <w:vAlign w:val="bottom"/>
            <w:gridSpan w:val="2"/>
            <w:shd w:val="clear" w:color="auto" w:fill="CFF0FC"/>
          </w:tcPr>
          <w:p>
            <w:pPr>
              <w:jc w:val="center"/>
              <w:ind w:right="160"/>
              <w:spacing w:after="0" w:line="136" w:lineRule="exact"/>
              <w:rPr>
                <w:sz w:val="20"/>
                <w:szCs w:val="20"/>
                <w:color w:val="auto"/>
              </w:rPr>
            </w:pPr>
            <w:r>
              <w:rPr>
                <w:rFonts w:ascii="Times New Roman" w:cs="Times New Roman" w:eastAsia="Times New Roman" w:hAnsi="Times New Roman"/>
                <w:sz w:val="13"/>
                <w:szCs w:val="13"/>
                <w:color w:val="auto"/>
              </w:rPr>
              <w:t>California City,</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61"/>
        </w:trPr>
        <w:tc>
          <w:tcPr>
            <w:tcW w:w="20" w:type="dxa"/>
            <w:vAlign w:val="bottom"/>
            <w:shd w:val="clear" w:color="auto" w:fill="CFF0FC"/>
          </w:tcPr>
          <w:p>
            <w:pPr>
              <w:spacing w:after="0"/>
              <w:rPr>
                <w:sz w:val="14"/>
                <w:szCs w:val="14"/>
                <w:color w:val="auto"/>
              </w:rPr>
            </w:pPr>
          </w:p>
        </w:tc>
        <w:tc>
          <w:tcPr>
            <w:tcW w:w="2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3"/>
                <w:szCs w:val="13"/>
                <w:color w:val="auto"/>
              </w:rPr>
              <w:t>California</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1,785</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125,337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19,784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3,103</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143,803</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146,906</w:t>
            </w: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(73,681 )</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1999</w:t>
            </w:r>
          </w:p>
        </w:tc>
      </w:tr>
      <w:tr>
        <w:trPr>
          <w:trHeight w:val="136"/>
        </w:trPr>
        <w:tc>
          <w:tcPr>
            <w:tcW w:w="2040" w:type="dxa"/>
            <w:vAlign w:val="bottom"/>
            <w:gridSpan w:val="3"/>
          </w:tcPr>
          <w:p>
            <w:pPr>
              <w:ind w:left="20"/>
              <w:spacing w:after="0" w:line="136" w:lineRule="exact"/>
              <w:rPr>
                <w:sz w:val="20"/>
                <w:szCs w:val="20"/>
                <w:color w:val="auto"/>
              </w:rPr>
            </w:pPr>
            <w:r>
              <w:rPr>
                <w:rFonts w:ascii="Times New Roman" w:cs="Times New Roman" w:eastAsia="Times New Roman" w:hAnsi="Times New Roman"/>
                <w:sz w:val="13"/>
                <w:szCs w:val="13"/>
                <w:color w:val="auto"/>
              </w:rPr>
              <w:t>Centennial Community</w:t>
            </w:r>
          </w:p>
        </w:tc>
        <w:tc>
          <w:tcPr>
            <w:tcW w:w="126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3"/>
                <w:szCs w:val="13"/>
                <w:color w:val="auto"/>
              </w:rPr>
              <w:t>Englewood,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Transition Center</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Colorado</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4,905</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1,976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6,999</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(640 )</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2016</w:t>
            </w:r>
          </w:p>
        </w:tc>
      </w:tr>
      <w:tr>
        <w:trPr>
          <w:trHeight w:val="136"/>
        </w:trPr>
        <w:tc>
          <w:tcPr>
            <w:tcW w:w="2040" w:type="dxa"/>
            <w:vAlign w:val="bottom"/>
            <w:gridSpan w:val="3"/>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Central Arizona Florence</w:t>
            </w: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61"/>
        </w:trPr>
        <w:tc>
          <w:tcPr>
            <w:tcW w:w="20" w:type="dxa"/>
            <w:vAlign w:val="bottom"/>
            <w:shd w:val="clear" w:color="auto" w:fill="CFF0FC"/>
          </w:tcPr>
          <w:p>
            <w:pPr>
              <w:spacing w:after="0"/>
              <w:rPr>
                <w:sz w:val="14"/>
                <w:szCs w:val="14"/>
                <w:color w:val="auto"/>
              </w:rPr>
            </w:pPr>
          </w:p>
        </w:tc>
        <w:tc>
          <w:tcPr>
            <w:tcW w:w="2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Correctional Complex</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3"/>
                <w:szCs w:val="13"/>
                <w:color w:val="auto"/>
              </w:rPr>
              <w:t>Florence, Arizona</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133,531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57,888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5,133</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187,584</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192,717</w:t>
            </w: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(101,765 )</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1994/1999</w:t>
            </w:r>
          </w:p>
        </w:tc>
      </w:tr>
      <w:tr>
        <w:trPr>
          <w:trHeight w:val="136"/>
        </w:trPr>
        <w:tc>
          <w:tcPr>
            <w:tcW w:w="2040" w:type="dxa"/>
            <w:vAlign w:val="bottom"/>
            <w:gridSpan w:val="3"/>
          </w:tcPr>
          <w:p>
            <w:pPr>
              <w:ind w:left="20"/>
              <w:spacing w:after="0" w:line="136" w:lineRule="exact"/>
              <w:rPr>
                <w:sz w:val="20"/>
                <w:szCs w:val="20"/>
                <w:color w:val="auto"/>
              </w:rPr>
            </w:pPr>
            <w:r>
              <w:rPr>
                <w:rFonts w:ascii="Times New Roman" w:cs="Times New Roman" w:eastAsia="Times New Roman" w:hAnsi="Times New Roman"/>
                <w:sz w:val="13"/>
                <w:szCs w:val="13"/>
                <w:color w:val="auto"/>
              </w:rPr>
              <w:t>Cheyenne Transitional Center</w:t>
            </w:r>
          </w:p>
        </w:tc>
        <w:tc>
          <w:tcPr>
            <w:tcW w:w="126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3"/>
                <w:szCs w:val="13"/>
                <w:color w:val="auto"/>
              </w:rPr>
              <w:t>Cheyenne,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Wyoming</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5,567</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3,199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8,766</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(1,207 )</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2015</w:t>
            </w:r>
          </w:p>
        </w:tc>
      </w:tr>
      <w:tr>
        <w:trPr>
          <w:trHeight w:val="136"/>
        </w:trPr>
        <w:tc>
          <w:tcPr>
            <w:tcW w:w="2040" w:type="dxa"/>
            <w:vAlign w:val="bottom"/>
            <w:gridSpan w:val="3"/>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Cibola County Corrections</w:t>
            </w: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61"/>
        </w:trPr>
        <w:tc>
          <w:tcPr>
            <w:tcW w:w="20" w:type="dxa"/>
            <w:vAlign w:val="bottom"/>
            <w:shd w:val="clear" w:color="auto" w:fill="CFF0FC"/>
          </w:tcPr>
          <w:p>
            <w:pPr>
              <w:spacing w:after="0"/>
              <w:rPr>
                <w:sz w:val="14"/>
                <w:szCs w:val="14"/>
                <w:color w:val="auto"/>
              </w:rPr>
            </w:pPr>
          </w:p>
        </w:tc>
        <w:tc>
          <w:tcPr>
            <w:tcW w:w="2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3"/>
                <w:szCs w:val="13"/>
                <w:color w:val="auto"/>
              </w:rPr>
              <w:t>Milan, New Mexico</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16,215</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35,420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1,647</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50,432</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52,079</w:t>
            </w: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(28,504 )</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1994</w:t>
            </w:r>
          </w:p>
        </w:tc>
      </w:tr>
      <w:tr>
        <w:trPr>
          <w:trHeight w:val="148"/>
        </w:trPr>
        <w:tc>
          <w:tcPr>
            <w:tcW w:w="2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Cimarron Correctional Facility</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Cushing, Oklahoma</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71,303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53,632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123,896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125,185</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(56,531 )</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1997</w:t>
            </w:r>
          </w:p>
        </w:tc>
      </w:tr>
      <w:tr>
        <w:trPr>
          <w:trHeight w:val="148"/>
        </w:trPr>
        <w:tc>
          <w:tcPr>
            <w:tcW w:w="20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Coffee Correctional Facility (C)</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3"/>
                <w:szCs w:val="13"/>
                <w:color w:val="auto"/>
              </w:rPr>
              <w:t>Nicholls, Georgia</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1998</w:t>
            </w:r>
          </w:p>
        </w:tc>
      </w:tr>
      <w:tr>
        <w:trPr>
          <w:trHeight w:val="132"/>
        </w:trPr>
        <w:tc>
          <w:tcPr>
            <w:tcW w:w="2040" w:type="dxa"/>
            <w:vAlign w:val="bottom"/>
            <w:gridSpan w:val="3"/>
          </w:tcPr>
          <w:p>
            <w:pPr>
              <w:ind w:left="20"/>
              <w:spacing w:after="0" w:line="132" w:lineRule="exact"/>
              <w:rPr>
                <w:sz w:val="20"/>
                <w:szCs w:val="20"/>
                <w:color w:val="auto"/>
              </w:rPr>
            </w:pPr>
            <w:r>
              <w:rPr>
                <w:rFonts w:ascii="Times New Roman" w:cs="Times New Roman" w:eastAsia="Times New Roman" w:hAnsi="Times New Roman"/>
                <w:sz w:val="13"/>
                <w:szCs w:val="13"/>
                <w:color w:val="auto"/>
              </w:rPr>
              <w:t>Columbine Facility</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(D</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Denver, Colorado</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1,388</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(277 )</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2016</w:t>
            </w:r>
          </w:p>
        </w:tc>
      </w:tr>
      <w:tr>
        <w:trPr>
          <w:trHeight w:val="136"/>
        </w:trPr>
        <w:tc>
          <w:tcPr>
            <w:tcW w:w="2040" w:type="dxa"/>
            <w:vAlign w:val="bottom"/>
            <w:gridSpan w:val="3"/>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Commerce Transitional Center</w:t>
            </w:r>
          </w:p>
        </w:tc>
        <w:tc>
          <w:tcPr>
            <w:tcW w:w="1260" w:type="dxa"/>
            <w:vAlign w:val="bottom"/>
            <w:gridSpan w:val="2"/>
            <w:shd w:val="clear" w:color="auto" w:fill="CFF0FC"/>
          </w:tcPr>
          <w:p>
            <w:pPr>
              <w:jc w:val="center"/>
              <w:ind w:right="160"/>
              <w:spacing w:after="0" w:line="136" w:lineRule="exact"/>
              <w:rPr>
                <w:sz w:val="20"/>
                <w:szCs w:val="20"/>
                <w:color w:val="auto"/>
              </w:rPr>
            </w:pPr>
            <w:r>
              <w:rPr>
                <w:rFonts w:ascii="Times New Roman" w:cs="Times New Roman" w:eastAsia="Times New Roman" w:hAnsi="Times New Roman"/>
                <w:sz w:val="13"/>
                <w:szCs w:val="13"/>
                <w:color w:val="auto"/>
              </w:rPr>
              <w:t>Commerce City,</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61"/>
        </w:trPr>
        <w:tc>
          <w:tcPr>
            <w:tcW w:w="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3"/>
                <w:szCs w:val="13"/>
                <w:color w:val="auto"/>
              </w:rPr>
              <w:t>Colorado</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5,166</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5,171</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2,277</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7,448</w:t>
            </w: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(589 )</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2017</w:t>
            </w:r>
          </w:p>
        </w:tc>
      </w:tr>
      <w:tr>
        <w:trPr>
          <w:trHeight w:val="136"/>
        </w:trPr>
        <w:tc>
          <w:tcPr>
            <w:tcW w:w="2040" w:type="dxa"/>
            <w:vAlign w:val="bottom"/>
            <w:gridSpan w:val="3"/>
          </w:tcPr>
          <w:p>
            <w:pPr>
              <w:ind w:left="20"/>
              <w:spacing w:after="0" w:line="136" w:lineRule="exact"/>
              <w:rPr>
                <w:sz w:val="20"/>
                <w:szCs w:val="20"/>
                <w:color w:val="auto"/>
              </w:rPr>
            </w:pPr>
            <w:r>
              <w:rPr>
                <w:rFonts w:ascii="Times New Roman" w:cs="Times New Roman" w:eastAsia="Times New Roman" w:hAnsi="Times New Roman"/>
                <w:sz w:val="13"/>
                <w:szCs w:val="13"/>
                <w:color w:val="auto"/>
              </w:rPr>
              <w:t>Corpus Christi Transitional</w:t>
            </w:r>
          </w:p>
        </w:tc>
        <w:tc>
          <w:tcPr>
            <w:tcW w:w="126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3"/>
                <w:szCs w:val="13"/>
                <w:color w:val="auto"/>
              </w:rPr>
              <w:t>Corpus Christi,</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Texas</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2,575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2,575</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(2,216 )</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2015</w:t>
            </w:r>
          </w:p>
        </w:tc>
      </w:tr>
      <w:tr>
        <w:trPr>
          <w:trHeight w:val="148"/>
        </w:trPr>
        <w:tc>
          <w:tcPr>
            <w:tcW w:w="20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Crossroads Correctional Center</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3"/>
                <w:szCs w:val="13"/>
                <w:color w:val="auto"/>
              </w:rPr>
              <w:t>Shelby, Montana</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33,196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46,231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1,710</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78,130</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79,840</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(48,908 )</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1999</w:t>
            </w:r>
          </w:p>
        </w:tc>
      </w:tr>
      <w:tr>
        <w:trPr>
          <w:trHeight w:val="136"/>
        </w:trPr>
        <w:tc>
          <w:tcPr>
            <w:tcW w:w="2040" w:type="dxa"/>
            <w:vAlign w:val="bottom"/>
            <w:gridSpan w:val="3"/>
          </w:tcPr>
          <w:p>
            <w:pPr>
              <w:ind w:left="20"/>
              <w:spacing w:after="0" w:line="136" w:lineRule="exact"/>
              <w:rPr>
                <w:sz w:val="20"/>
                <w:szCs w:val="20"/>
                <w:color w:val="auto"/>
              </w:rPr>
            </w:pPr>
            <w:r>
              <w:rPr>
                <w:rFonts w:ascii="Times New Roman" w:cs="Times New Roman" w:eastAsia="Times New Roman" w:hAnsi="Times New Roman"/>
                <w:sz w:val="13"/>
                <w:szCs w:val="13"/>
                <w:color w:val="auto"/>
              </w:rPr>
              <w:t>Crowley County Correctional</w:t>
            </w:r>
          </w:p>
        </w:tc>
        <w:tc>
          <w:tcPr>
            <w:tcW w:w="126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3"/>
                <w:szCs w:val="13"/>
                <w:color w:val="auto"/>
              </w:rPr>
              <w:t>Olney Springs,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Facility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Colorado</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46,845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36,697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81,044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83,753</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(38,589 )</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2003</w:t>
            </w:r>
          </w:p>
        </w:tc>
      </w:tr>
      <w:tr>
        <w:trPr>
          <w:trHeight w:val="148"/>
        </w:trPr>
        <w:tc>
          <w:tcPr>
            <w:tcW w:w="20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Dallas Transitional Center</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3"/>
                <w:szCs w:val="13"/>
                <w:color w:val="auto"/>
              </w:rPr>
              <w:t>Hutchins, Texas</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5,906</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5,929</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(2,545 )</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2015</w:t>
            </w:r>
          </w:p>
        </w:tc>
      </w:tr>
      <w:tr>
        <w:trPr>
          <w:trHeight w:val="136"/>
        </w:trPr>
        <w:tc>
          <w:tcPr>
            <w:tcW w:w="2040" w:type="dxa"/>
            <w:vAlign w:val="bottom"/>
            <w:gridSpan w:val="3"/>
          </w:tcPr>
          <w:p>
            <w:pPr>
              <w:ind w:left="20"/>
              <w:spacing w:after="0" w:line="136" w:lineRule="exact"/>
              <w:rPr>
                <w:sz w:val="20"/>
                <w:szCs w:val="20"/>
                <w:color w:val="auto"/>
              </w:rPr>
            </w:pPr>
            <w:r>
              <w:rPr>
                <w:rFonts w:ascii="Times New Roman" w:cs="Times New Roman" w:eastAsia="Times New Roman" w:hAnsi="Times New Roman"/>
                <w:sz w:val="13"/>
                <w:szCs w:val="13"/>
                <w:color w:val="auto"/>
              </w:rPr>
              <w:t>Diamondback Correctional</w:t>
            </w:r>
          </w:p>
        </w:tc>
        <w:tc>
          <w:tcPr>
            <w:tcW w:w="126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rPr>
              <w:t>Watonga,</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Facility</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Oklahoma</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41,677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26,845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67,369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68,730</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(36,736 )</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1998</w:t>
            </w:r>
          </w:p>
        </w:tc>
      </w:tr>
      <w:tr>
        <w:trPr>
          <w:trHeight w:val="148"/>
        </w:trPr>
        <w:tc>
          <w:tcPr>
            <w:tcW w:w="20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Eden Detention Center</w:t>
            </w:r>
          </w:p>
        </w:tc>
        <w:tc>
          <w:tcPr>
            <w:tcW w:w="12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3"/>
                <w:szCs w:val="13"/>
                <w:color w:val="auto"/>
              </w:rPr>
              <w:t>Eden, Texas</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27,645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42,340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5,884</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65,026</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70,910</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(34,210 )</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1995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III - REAL ESTATE ASSETS AND ACCUMULATED DEPRECIATION</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tcPr>
          <w:p>
            <w:pPr>
              <w:jc w:val="right"/>
              <w:ind w:right="435"/>
              <w:spacing w:after="0"/>
              <w:rPr>
                <w:sz w:val="20"/>
                <w:szCs w:val="20"/>
                <w:color w:val="auto"/>
              </w:rPr>
            </w:pPr>
            <w:r>
              <w:rPr>
                <w:rFonts w:ascii="Times New Roman" w:cs="Times New Roman" w:eastAsia="Times New Roman" w:hAnsi="Times New Roman"/>
                <w:sz w:val="13"/>
                <w:szCs w:val="13"/>
                <w:b w:val="1"/>
                <w:bCs w:val="1"/>
                <w:color w:val="auto"/>
              </w:rPr>
              <w:t>Initial Cost to</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Gross Amount at Which Carried at</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Borders>
              <w:bottom w:val="single" w:sz="8" w:color="auto"/>
            </w:tcBorders>
            <w:gridSpan w:val="3"/>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24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7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Close of Period</w:t>
            </w:r>
          </w:p>
        </w:tc>
        <w:tc>
          <w:tcPr>
            <w:tcW w:w="7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Buildings</w:t>
            </w: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Buildings</w:t>
            </w:r>
          </w:p>
        </w:tc>
        <w:tc>
          <w:tcPr>
            <w:tcW w:w="24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Land and</w:t>
            </w:r>
          </w:p>
        </w:tc>
        <w:tc>
          <w:tcPr>
            <w:tcW w:w="2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Subsequent</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Land</w:t>
            </w:r>
          </w:p>
        </w:tc>
        <w:tc>
          <w:tcPr>
            <w:tcW w:w="20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Leasehold</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173"/>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Improveme</w:t>
            </w:r>
          </w:p>
        </w:tc>
        <w:tc>
          <w:tcPr>
            <w:tcW w:w="24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Improveme</w:t>
            </w:r>
          </w:p>
        </w:tc>
        <w:tc>
          <w:tcPr>
            <w:tcW w:w="20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Improveme</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193"/>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Depreciation</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Constructed/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Location</w:t>
            </w:r>
          </w:p>
        </w:tc>
        <w:tc>
          <w:tcPr>
            <w:tcW w:w="72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Land</w:t>
            </w:r>
          </w:p>
        </w:tc>
        <w:tc>
          <w:tcPr>
            <w:tcW w:w="2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nts</w:t>
            </w:r>
          </w:p>
        </w:tc>
        <w:tc>
          <w:tcPr>
            <w:tcW w:w="2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Acquisition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nts</w:t>
            </w:r>
          </w:p>
        </w:tc>
        <w:tc>
          <w:tcPr>
            <w:tcW w:w="20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nts</w:t>
            </w:r>
          </w:p>
        </w:tc>
        <w:tc>
          <w:tcPr>
            <w:tcW w:w="76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Total (A)</w:t>
            </w:r>
          </w:p>
        </w:tc>
        <w:tc>
          <w:tcPr>
            <w:tcW w:w="220" w:type="dxa"/>
            <w:vAlign w:val="bottom"/>
          </w:tcPr>
          <w:p>
            <w:pPr>
              <w:spacing w:after="0"/>
              <w:rPr>
                <w:sz w:val="13"/>
                <w:szCs w:val="13"/>
                <w:color w:val="auto"/>
              </w:rPr>
            </w:pPr>
          </w:p>
        </w:tc>
        <w:tc>
          <w:tcPr>
            <w:tcW w:w="980" w:type="dxa"/>
            <w:vAlign w:val="bottom"/>
            <w:gridSpan w:val="2"/>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w w:val="92"/>
              </w:rPr>
              <w:t>(B)</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Acquired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48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El Paso Multi-Use Facility</w:t>
            </w: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rPr>
              <w:t>El Paso, Texas</w:t>
            </w:r>
          </w:p>
        </w:tc>
        <w:tc>
          <w:tcPr>
            <w:tcW w:w="120" w:type="dxa"/>
            <w:vAlign w:val="bottom"/>
            <w:vMerge w:val="continue"/>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14,936</w:t>
            </w:r>
          </w:p>
        </w:tc>
        <w:tc>
          <w:tcPr>
            <w:tcW w:w="240" w:type="dxa"/>
            <w:vAlign w:val="bottom"/>
            <w:vMerge w:val="continue"/>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4,536</w:t>
            </w:r>
          </w:p>
        </w:tc>
        <w:tc>
          <w:tcPr>
            <w:tcW w:w="240" w:type="dxa"/>
            <w:vAlign w:val="bottom"/>
            <w:vMerge w:val="continue"/>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2,367</w:t>
            </w:r>
          </w:p>
        </w:tc>
        <w:tc>
          <w:tcPr>
            <w:tcW w:w="200" w:type="dxa"/>
            <w:vAlign w:val="bottom"/>
            <w:vMerge w:val="continue"/>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14,973</w:t>
            </w:r>
          </w:p>
        </w:tc>
        <w:tc>
          <w:tcPr>
            <w:tcW w:w="200" w:type="dxa"/>
            <w:vAlign w:val="bottom"/>
            <w:vMerge w:val="continue"/>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6,866</w:t>
            </w:r>
          </w:p>
        </w:tc>
        <w:tc>
          <w:tcPr>
            <w:tcW w:w="220" w:type="dxa"/>
            <w:vAlign w:val="bottom"/>
            <w:vMerge w:val="continue"/>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21,839</w:t>
            </w:r>
          </w:p>
        </w:tc>
        <w:tc>
          <w:tcPr>
            <w:tcW w:w="220" w:type="dxa"/>
            <w:vAlign w:val="bottom"/>
            <w:vMerge w:val="continue"/>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(2,465</w:t>
            </w:r>
          </w:p>
        </w:tc>
        <w:tc>
          <w:tcPr>
            <w:tcW w:w="220" w:type="dxa"/>
            <w:vAlign w:val="bottom"/>
            <w:vMerge w:val="continue"/>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48"/>
        </w:trPr>
        <w:tc>
          <w:tcPr>
            <w:tcW w:w="2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El Paso Transitional Center</w:t>
            </w:r>
          </w:p>
        </w:tc>
        <w:tc>
          <w:tcPr>
            <w:tcW w:w="12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3"/>
                <w:szCs w:val="13"/>
                <w:color w:val="auto"/>
              </w:rPr>
              <w:t>El Paso, Texas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10,325</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4,198</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1,244</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10,558</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5,209</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15,767</w:t>
            </w:r>
          </w:p>
        </w:tc>
        <w:tc>
          <w:tcPr>
            <w:tcW w:w="1200" w:type="dxa"/>
            <w:vAlign w:val="bottom"/>
            <w:gridSpan w:val="3"/>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(1,847 )</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48"/>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Eloy Detention Center</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Eloy, Arizona</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33,308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20,766</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52,193</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54,572</w:t>
            </w:r>
          </w:p>
        </w:tc>
        <w:tc>
          <w:tcPr>
            <w:tcW w:w="1200" w:type="dxa"/>
            <w:vAlign w:val="bottom"/>
            <w:gridSpan w:val="3"/>
          </w:tcPr>
          <w:p>
            <w:pPr>
              <w:jc w:val="right"/>
              <w:ind w:right="93"/>
              <w:spacing w:after="0"/>
              <w:rPr>
                <w:sz w:val="20"/>
                <w:szCs w:val="20"/>
                <w:color w:val="auto"/>
              </w:rPr>
            </w:pPr>
            <w:r>
              <w:rPr>
                <w:rFonts w:ascii="Times New Roman" w:cs="Times New Roman" w:eastAsia="Times New Roman" w:hAnsi="Times New Roman"/>
                <w:sz w:val="13"/>
                <w:szCs w:val="13"/>
                <w:color w:val="auto"/>
              </w:rPr>
              <w:t>(33,152 )</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1995</w:t>
            </w:r>
          </w:p>
        </w:tc>
        <w:tc>
          <w:tcPr>
            <w:tcW w:w="0" w:type="dxa"/>
            <w:vAlign w:val="bottom"/>
          </w:tcPr>
          <w:p>
            <w:pPr>
              <w:spacing w:after="0"/>
              <w:rPr>
                <w:sz w:val="1"/>
                <w:szCs w:val="1"/>
                <w:color w:val="auto"/>
              </w:rPr>
            </w:pPr>
          </w:p>
        </w:tc>
      </w:tr>
      <w:tr>
        <w:trPr>
          <w:trHeight w:val="149"/>
        </w:trPr>
        <w:tc>
          <w:tcPr>
            <w:tcW w:w="2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Fort Worth Transitional Center</w:t>
            </w:r>
          </w:p>
        </w:tc>
        <w:tc>
          <w:tcPr>
            <w:tcW w:w="12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3"/>
                <w:szCs w:val="13"/>
                <w:color w:val="auto"/>
              </w:rPr>
              <w:t>Fort Worth, Texas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3,251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3,281</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853</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4,134</w:t>
            </w:r>
          </w:p>
        </w:tc>
        <w:tc>
          <w:tcPr>
            <w:tcW w:w="1200" w:type="dxa"/>
            <w:vAlign w:val="bottom"/>
            <w:gridSpan w:val="3"/>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(650 )</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48"/>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Houston Processing Center</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Houston, Texas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53,373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59,809</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109,976</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115,432</w:t>
            </w:r>
          </w:p>
        </w:tc>
        <w:tc>
          <w:tcPr>
            <w:tcW w:w="1200" w:type="dxa"/>
            <w:vAlign w:val="bottom"/>
            <w:gridSpan w:val="3"/>
          </w:tcPr>
          <w:p>
            <w:pPr>
              <w:jc w:val="right"/>
              <w:ind w:right="93"/>
              <w:spacing w:after="0"/>
              <w:rPr>
                <w:sz w:val="20"/>
                <w:szCs w:val="20"/>
                <w:color w:val="auto"/>
              </w:rPr>
            </w:pPr>
            <w:r>
              <w:rPr>
                <w:rFonts w:ascii="Times New Roman" w:cs="Times New Roman" w:eastAsia="Times New Roman" w:hAnsi="Times New Roman"/>
                <w:sz w:val="13"/>
                <w:szCs w:val="13"/>
                <w:color w:val="auto"/>
              </w:rPr>
              <w:t>(53,703 )</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1984</w:t>
            </w:r>
          </w:p>
        </w:tc>
        <w:tc>
          <w:tcPr>
            <w:tcW w:w="0" w:type="dxa"/>
            <w:vAlign w:val="bottom"/>
          </w:tcPr>
          <w:p>
            <w:pPr>
              <w:spacing w:after="0"/>
              <w:rPr>
                <w:sz w:val="1"/>
                <w:szCs w:val="1"/>
                <w:color w:val="auto"/>
              </w:rPr>
            </w:pPr>
          </w:p>
        </w:tc>
      </w:tr>
      <w:tr>
        <w:trPr>
          <w:trHeight w:val="136"/>
        </w:trPr>
        <w:tc>
          <w:tcPr>
            <w:tcW w:w="2500" w:type="dxa"/>
            <w:vAlign w:val="bottom"/>
            <w:gridSpan w:val="3"/>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Huerfano County Correctional</w:t>
            </w:r>
          </w:p>
        </w:tc>
        <w:tc>
          <w:tcPr>
            <w:tcW w:w="1240" w:type="dxa"/>
            <w:vAlign w:val="bottom"/>
            <w:gridSpan w:val="2"/>
            <w:shd w:val="clear" w:color="auto" w:fill="CFF0FC"/>
          </w:tcPr>
          <w:p>
            <w:pPr>
              <w:jc w:val="center"/>
              <w:ind w:right="180"/>
              <w:spacing w:after="0" w:line="136" w:lineRule="exact"/>
              <w:rPr>
                <w:sz w:val="20"/>
                <w:szCs w:val="20"/>
                <w:color w:val="auto"/>
              </w:rPr>
            </w:pPr>
            <w:r>
              <w:rPr>
                <w:rFonts w:ascii="Times New Roman" w:cs="Times New Roman" w:eastAsia="Times New Roman" w:hAnsi="Times New Roman"/>
                <w:sz w:val="13"/>
                <w:szCs w:val="13"/>
                <w:color w:val="auto"/>
              </w:rPr>
              <w:t>Walsenburg,</w:t>
            </w: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24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12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3"/>
                <w:szCs w:val="13"/>
                <w:color w:val="auto"/>
              </w:rPr>
              <w:t>Colorado</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26,358</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5,315</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1,116</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30,681</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31,797</w:t>
            </w:r>
          </w:p>
        </w:tc>
        <w:tc>
          <w:tcPr>
            <w:tcW w:w="1200" w:type="dxa"/>
            <w:vAlign w:val="bottom"/>
            <w:gridSpan w:val="3"/>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(18,171 )</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36"/>
        </w:trPr>
        <w:tc>
          <w:tcPr>
            <w:tcW w:w="2500" w:type="dxa"/>
            <w:vAlign w:val="bottom"/>
            <w:gridSpan w:val="3"/>
          </w:tcPr>
          <w:p>
            <w:pPr>
              <w:ind w:left="20"/>
              <w:spacing w:after="0" w:line="136" w:lineRule="exact"/>
              <w:rPr>
                <w:sz w:val="20"/>
                <w:szCs w:val="20"/>
                <w:color w:val="auto"/>
              </w:rPr>
            </w:pPr>
            <w:r>
              <w:rPr>
                <w:rFonts w:ascii="Times New Roman" w:cs="Times New Roman" w:eastAsia="Times New Roman" w:hAnsi="Times New Roman"/>
                <w:sz w:val="13"/>
                <w:szCs w:val="13"/>
                <w:color w:val="auto"/>
              </w:rPr>
              <w:t>James River Residential Center</w:t>
            </w:r>
          </w:p>
        </w:tc>
        <w:tc>
          <w:tcPr>
            <w:tcW w:w="124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3"/>
                <w:szCs w:val="13"/>
                <w:color w:val="auto"/>
              </w:rPr>
              <w:t>Newport News,</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Virginia</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1,441</w:t>
            </w:r>
          </w:p>
        </w:tc>
        <w:tc>
          <w:tcPr>
            <w:tcW w:w="1200" w:type="dxa"/>
            <w:vAlign w:val="bottom"/>
            <w:gridSpan w:val="3"/>
          </w:tcPr>
          <w:p>
            <w:pPr>
              <w:jc w:val="right"/>
              <w:ind w:right="93"/>
              <w:spacing w:after="0"/>
              <w:rPr>
                <w:sz w:val="20"/>
                <w:szCs w:val="20"/>
                <w:color w:val="auto"/>
              </w:rPr>
            </w:pPr>
            <w:r>
              <w:rPr>
                <w:rFonts w:ascii="Times New Roman" w:cs="Times New Roman" w:eastAsia="Times New Roman" w:hAnsi="Times New Roman"/>
                <w:sz w:val="13"/>
                <w:szCs w:val="13"/>
                <w:color w:val="auto"/>
              </w:rPr>
              <w:t>(105 )</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48"/>
        </w:trPr>
        <w:tc>
          <w:tcPr>
            <w:tcW w:w="2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Jenkins Correctional Center (C)</w:t>
            </w:r>
          </w:p>
        </w:tc>
        <w:tc>
          <w:tcPr>
            <w:tcW w:w="12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3"/>
                <w:szCs w:val="13"/>
                <w:color w:val="auto"/>
              </w:rPr>
              <w:t>Millen, Georgia</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2012</w:t>
            </w:r>
          </w:p>
        </w:tc>
        <w:tc>
          <w:tcPr>
            <w:tcW w:w="0" w:type="dxa"/>
            <w:vAlign w:val="bottom"/>
          </w:tcPr>
          <w:p>
            <w:pPr>
              <w:spacing w:after="0"/>
              <w:rPr>
                <w:sz w:val="1"/>
                <w:szCs w:val="1"/>
                <w:color w:val="auto"/>
              </w:rPr>
            </w:pPr>
          </w:p>
        </w:tc>
      </w:tr>
      <w:tr>
        <w:trPr>
          <w:trHeight w:val="136"/>
        </w:trPr>
        <w:tc>
          <w:tcPr>
            <w:tcW w:w="2500" w:type="dxa"/>
            <w:vAlign w:val="bottom"/>
            <w:gridSpan w:val="3"/>
          </w:tcPr>
          <w:p>
            <w:pPr>
              <w:ind w:left="20"/>
              <w:spacing w:after="0" w:line="136" w:lineRule="exact"/>
              <w:rPr>
                <w:sz w:val="20"/>
                <w:szCs w:val="20"/>
                <w:color w:val="auto"/>
              </w:rPr>
            </w:pPr>
            <w:r>
              <w:rPr>
                <w:rFonts w:ascii="Times New Roman" w:cs="Times New Roman" w:eastAsia="Times New Roman" w:hAnsi="Times New Roman"/>
                <w:sz w:val="13"/>
                <w:szCs w:val="13"/>
                <w:color w:val="auto"/>
              </w:rPr>
              <w:t>Kit Carson Correctional Center</w:t>
            </w:r>
          </w:p>
        </w:tc>
        <w:tc>
          <w:tcPr>
            <w:tcW w:w="124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3"/>
                <w:szCs w:val="13"/>
                <w:color w:val="auto"/>
              </w:rPr>
              <w:t>Burlington,</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Colorado</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35,978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45,204</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80,563</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81,614</w:t>
            </w:r>
          </w:p>
        </w:tc>
        <w:tc>
          <w:tcPr>
            <w:tcW w:w="1200" w:type="dxa"/>
            <w:vAlign w:val="bottom"/>
            <w:gridSpan w:val="3"/>
          </w:tcPr>
          <w:p>
            <w:pPr>
              <w:jc w:val="right"/>
              <w:ind w:right="93"/>
              <w:spacing w:after="0"/>
              <w:rPr>
                <w:sz w:val="20"/>
                <w:szCs w:val="20"/>
                <w:color w:val="auto"/>
              </w:rPr>
            </w:pPr>
            <w:r>
              <w:rPr>
                <w:rFonts w:ascii="Times New Roman" w:cs="Times New Roman" w:eastAsia="Times New Roman" w:hAnsi="Times New Roman"/>
                <w:sz w:val="13"/>
                <w:szCs w:val="13"/>
                <w:color w:val="auto"/>
              </w:rPr>
              <w:t>(35,335 )</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1998</w:t>
            </w:r>
          </w:p>
        </w:tc>
        <w:tc>
          <w:tcPr>
            <w:tcW w:w="0" w:type="dxa"/>
            <w:vAlign w:val="bottom"/>
          </w:tcPr>
          <w:p>
            <w:pPr>
              <w:spacing w:after="0"/>
              <w:rPr>
                <w:sz w:val="1"/>
                <w:szCs w:val="1"/>
                <w:color w:val="auto"/>
              </w:rPr>
            </w:pPr>
          </w:p>
        </w:tc>
      </w:tr>
      <w:tr>
        <w:trPr>
          <w:trHeight w:val="148"/>
        </w:trPr>
        <w:tc>
          <w:tcPr>
            <w:tcW w:w="2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La Palma Correctional Center</w:t>
            </w:r>
          </w:p>
        </w:tc>
        <w:tc>
          <w:tcPr>
            <w:tcW w:w="12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3"/>
                <w:szCs w:val="13"/>
                <w:color w:val="auto"/>
              </w:rPr>
              <w:t>Eloy, Arizona</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183,155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21,833</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2,677</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202,594</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205,271</w:t>
            </w:r>
          </w:p>
        </w:tc>
        <w:tc>
          <w:tcPr>
            <w:tcW w:w="1200" w:type="dxa"/>
            <w:vAlign w:val="bottom"/>
            <w:gridSpan w:val="3"/>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(72,339 )</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2008</w:t>
            </w:r>
          </w:p>
        </w:tc>
        <w:tc>
          <w:tcPr>
            <w:tcW w:w="0" w:type="dxa"/>
            <w:vAlign w:val="bottom"/>
          </w:tcPr>
          <w:p>
            <w:pPr>
              <w:spacing w:after="0"/>
              <w:rPr>
                <w:sz w:val="1"/>
                <w:szCs w:val="1"/>
                <w:color w:val="auto"/>
              </w:rPr>
            </w:pPr>
          </w:p>
        </w:tc>
      </w:tr>
      <w:tr>
        <w:trPr>
          <w:trHeight w:val="136"/>
        </w:trPr>
        <w:tc>
          <w:tcPr>
            <w:tcW w:w="2500" w:type="dxa"/>
            <w:vAlign w:val="bottom"/>
            <w:gridSpan w:val="3"/>
          </w:tcPr>
          <w:p>
            <w:pPr>
              <w:ind w:left="20"/>
              <w:spacing w:after="0" w:line="136" w:lineRule="exact"/>
              <w:rPr>
                <w:sz w:val="20"/>
                <w:szCs w:val="20"/>
                <w:color w:val="auto"/>
              </w:rPr>
            </w:pPr>
            <w:r>
              <w:rPr>
                <w:rFonts w:ascii="Times New Roman" w:cs="Times New Roman" w:eastAsia="Times New Roman" w:hAnsi="Times New Roman"/>
                <w:sz w:val="13"/>
                <w:szCs w:val="13"/>
                <w:color w:val="auto"/>
              </w:rPr>
              <w:t>Lake Erie Correctional</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Institution</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Conneaut, Ohio</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69,779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7,949</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76,202</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80,599</w:t>
            </w:r>
          </w:p>
        </w:tc>
        <w:tc>
          <w:tcPr>
            <w:tcW w:w="1200" w:type="dxa"/>
            <w:vAlign w:val="bottom"/>
            <w:gridSpan w:val="3"/>
          </w:tcPr>
          <w:p>
            <w:pPr>
              <w:jc w:val="right"/>
              <w:ind w:right="93"/>
              <w:spacing w:after="0"/>
              <w:rPr>
                <w:sz w:val="20"/>
                <w:szCs w:val="20"/>
                <w:color w:val="auto"/>
              </w:rPr>
            </w:pPr>
            <w:r>
              <w:rPr>
                <w:rFonts w:ascii="Times New Roman" w:cs="Times New Roman" w:eastAsia="Times New Roman" w:hAnsi="Times New Roman"/>
                <w:sz w:val="13"/>
                <w:szCs w:val="13"/>
                <w:color w:val="auto"/>
              </w:rPr>
              <w:t>(23,972 )</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2011</w:t>
            </w:r>
          </w:p>
        </w:tc>
        <w:tc>
          <w:tcPr>
            <w:tcW w:w="0" w:type="dxa"/>
            <w:vAlign w:val="bottom"/>
          </w:tcPr>
          <w:p>
            <w:pPr>
              <w:spacing w:after="0"/>
              <w:rPr>
                <w:sz w:val="1"/>
                <w:szCs w:val="1"/>
                <w:color w:val="auto"/>
              </w:rPr>
            </w:pPr>
          </w:p>
        </w:tc>
      </w:tr>
      <w:tr>
        <w:trPr>
          <w:trHeight w:val="148"/>
        </w:trPr>
        <w:tc>
          <w:tcPr>
            <w:tcW w:w="2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Laredo Processing Center</w:t>
            </w:r>
          </w:p>
        </w:tc>
        <w:tc>
          <w:tcPr>
            <w:tcW w:w="12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3"/>
                <w:szCs w:val="13"/>
                <w:color w:val="auto"/>
              </w:rPr>
              <w:t>Laredo, Texas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26,737</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4,226</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30,765</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31,751</w:t>
            </w:r>
          </w:p>
        </w:tc>
        <w:tc>
          <w:tcPr>
            <w:tcW w:w="1200" w:type="dxa"/>
            <w:vAlign w:val="bottom"/>
            <w:gridSpan w:val="3"/>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(17,072 )</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1985</w:t>
            </w:r>
          </w:p>
        </w:tc>
        <w:tc>
          <w:tcPr>
            <w:tcW w:w="0" w:type="dxa"/>
            <w:vAlign w:val="bottom"/>
          </w:tcPr>
          <w:p>
            <w:pPr>
              <w:spacing w:after="0"/>
              <w:rPr>
                <w:sz w:val="1"/>
                <w:szCs w:val="1"/>
                <w:color w:val="auto"/>
              </w:rPr>
            </w:pPr>
          </w:p>
        </w:tc>
      </w:tr>
      <w:tr>
        <w:trPr>
          <w:trHeight w:val="136"/>
        </w:trPr>
        <w:tc>
          <w:tcPr>
            <w:tcW w:w="2500" w:type="dxa"/>
            <w:vAlign w:val="bottom"/>
            <w:gridSpan w:val="3"/>
          </w:tcPr>
          <w:p>
            <w:pPr>
              <w:ind w:left="20"/>
              <w:spacing w:after="0" w:line="136" w:lineRule="exact"/>
              <w:rPr>
                <w:sz w:val="20"/>
                <w:szCs w:val="20"/>
                <w:color w:val="auto"/>
              </w:rPr>
            </w:pPr>
            <w:r>
              <w:rPr>
                <w:rFonts w:ascii="Times New Roman" w:cs="Times New Roman" w:eastAsia="Times New Roman" w:hAnsi="Times New Roman"/>
                <w:sz w:val="13"/>
                <w:szCs w:val="13"/>
                <w:color w:val="auto"/>
              </w:rPr>
              <w:t>Lee Adjustment Center</w:t>
            </w:r>
          </w:p>
        </w:tc>
        <w:tc>
          <w:tcPr>
            <w:tcW w:w="124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3"/>
                <w:szCs w:val="13"/>
                <w:color w:val="auto"/>
              </w:rPr>
              <w:t>Beattyville,</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Kentucky</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21,081</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20,549</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22,096</w:t>
            </w:r>
          </w:p>
        </w:tc>
        <w:tc>
          <w:tcPr>
            <w:tcW w:w="1200" w:type="dxa"/>
            <w:vAlign w:val="bottom"/>
            <w:gridSpan w:val="3"/>
          </w:tcPr>
          <w:p>
            <w:pPr>
              <w:jc w:val="right"/>
              <w:ind w:right="93"/>
              <w:spacing w:after="0"/>
              <w:rPr>
                <w:sz w:val="20"/>
                <w:szCs w:val="20"/>
                <w:color w:val="auto"/>
              </w:rPr>
            </w:pPr>
            <w:r>
              <w:rPr>
                <w:rFonts w:ascii="Times New Roman" w:cs="Times New Roman" w:eastAsia="Times New Roman" w:hAnsi="Times New Roman"/>
                <w:sz w:val="13"/>
                <w:szCs w:val="13"/>
                <w:color w:val="auto"/>
              </w:rPr>
              <w:t>(11,651 )</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1998</w:t>
            </w:r>
          </w:p>
        </w:tc>
        <w:tc>
          <w:tcPr>
            <w:tcW w:w="0" w:type="dxa"/>
            <w:vAlign w:val="bottom"/>
          </w:tcPr>
          <w:p>
            <w:pPr>
              <w:spacing w:after="0"/>
              <w:rPr>
                <w:sz w:val="1"/>
                <w:szCs w:val="1"/>
                <w:color w:val="auto"/>
              </w:rPr>
            </w:pPr>
          </w:p>
        </w:tc>
      </w:tr>
      <w:tr>
        <w:trPr>
          <w:trHeight w:val="136"/>
        </w:trPr>
        <w:tc>
          <w:tcPr>
            <w:tcW w:w="2500" w:type="dxa"/>
            <w:vAlign w:val="bottom"/>
            <w:gridSpan w:val="3"/>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Leo Chesney Correctional</w:t>
            </w:r>
          </w:p>
        </w:tc>
        <w:tc>
          <w:tcPr>
            <w:tcW w:w="1240" w:type="dxa"/>
            <w:vAlign w:val="bottom"/>
            <w:gridSpan w:val="2"/>
            <w:shd w:val="clear" w:color="auto" w:fill="CFF0FC"/>
          </w:tcPr>
          <w:p>
            <w:pPr>
              <w:jc w:val="center"/>
              <w:ind w:right="180"/>
              <w:spacing w:after="0" w:line="136" w:lineRule="exact"/>
              <w:rPr>
                <w:sz w:val="20"/>
                <w:szCs w:val="20"/>
                <w:color w:val="auto"/>
              </w:rPr>
            </w:pPr>
            <w:r>
              <w:rPr>
                <w:rFonts w:ascii="Times New Roman" w:cs="Times New Roman" w:eastAsia="Times New Roman" w:hAnsi="Times New Roman"/>
                <w:sz w:val="13"/>
                <w:szCs w:val="13"/>
                <w:color w:val="auto"/>
              </w:rPr>
              <w:t>Live Oak,</w:t>
            </w: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24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12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3"/>
                <w:szCs w:val="13"/>
                <w:color w:val="auto"/>
              </w:rPr>
              <w:t>California</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4,774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1,862</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6,621</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6,886</w:t>
            </w:r>
          </w:p>
        </w:tc>
        <w:tc>
          <w:tcPr>
            <w:tcW w:w="1200" w:type="dxa"/>
            <w:vAlign w:val="bottom"/>
            <w:gridSpan w:val="3"/>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(4,164 )</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1989</w:t>
            </w:r>
          </w:p>
        </w:tc>
        <w:tc>
          <w:tcPr>
            <w:tcW w:w="0" w:type="dxa"/>
            <w:vAlign w:val="bottom"/>
          </w:tcPr>
          <w:p>
            <w:pPr>
              <w:spacing w:after="0"/>
              <w:rPr>
                <w:sz w:val="1"/>
                <w:szCs w:val="1"/>
                <w:color w:val="auto"/>
              </w:rPr>
            </w:pPr>
          </w:p>
        </w:tc>
      </w:tr>
      <w:tr>
        <w:trPr>
          <w:trHeight w:val="136"/>
        </w:trPr>
        <w:tc>
          <w:tcPr>
            <w:tcW w:w="2500" w:type="dxa"/>
            <w:vAlign w:val="bottom"/>
            <w:gridSpan w:val="3"/>
          </w:tcPr>
          <w:p>
            <w:pPr>
              <w:ind w:left="20"/>
              <w:spacing w:after="0" w:line="136" w:lineRule="exact"/>
              <w:rPr>
                <w:sz w:val="20"/>
                <w:szCs w:val="20"/>
                <w:color w:val="auto"/>
              </w:rPr>
            </w:pPr>
            <w:r>
              <w:rPr>
                <w:rFonts w:ascii="Times New Roman" w:cs="Times New Roman" w:eastAsia="Times New Roman" w:hAnsi="Times New Roman"/>
                <w:sz w:val="13"/>
                <w:szCs w:val="13"/>
                <w:color w:val="auto"/>
              </w:rPr>
              <w:t>Longmont Community</w:t>
            </w:r>
          </w:p>
        </w:tc>
        <w:tc>
          <w:tcPr>
            <w:tcW w:w="124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3"/>
                <w:szCs w:val="13"/>
                <w:color w:val="auto"/>
              </w:rPr>
              <w:t>Longmont,</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Treatment Center</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Colorado</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4,314</w:t>
            </w:r>
          </w:p>
        </w:tc>
        <w:tc>
          <w:tcPr>
            <w:tcW w:w="1200" w:type="dxa"/>
            <w:vAlign w:val="bottom"/>
            <w:gridSpan w:val="3"/>
          </w:tcPr>
          <w:p>
            <w:pPr>
              <w:jc w:val="right"/>
              <w:ind w:right="93"/>
              <w:spacing w:after="0"/>
              <w:rPr>
                <w:sz w:val="20"/>
                <w:szCs w:val="20"/>
                <w:color w:val="auto"/>
              </w:rPr>
            </w:pPr>
            <w:r>
              <w:rPr>
                <w:rFonts w:ascii="Times New Roman" w:cs="Times New Roman" w:eastAsia="Times New Roman" w:hAnsi="Times New Roman"/>
                <w:sz w:val="13"/>
                <w:szCs w:val="13"/>
                <w:color w:val="auto"/>
              </w:rPr>
              <w:t>(286 )</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2016</w:t>
            </w:r>
          </w:p>
        </w:tc>
        <w:tc>
          <w:tcPr>
            <w:tcW w:w="0" w:type="dxa"/>
            <w:vAlign w:val="bottom"/>
          </w:tcPr>
          <w:p>
            <w:pPr>
              <w:spacing w:after="0"/>
              <w:rPr>
                <w:sz w:val="1"/>
                <w:szCs w:val="1"/>
                <w:color w:val="auto"/>
              </w:rPr>
            </w:pPr>
          </w:p>
        </w:tc>
      </w:tr>
      <w:tr>
        <w:trPr>
          <w:trHeight w:val="136"/>
        </w:trPr>
        <w:tc>
          <w:tcPr>
            <w:tcW w:w="2500" w:type="dxa"/>
            <w:vAlign w:val="bottom"/>
            <w:gridSpan w:val="3"/>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Marion Adjustment Center</w:t>
            </w:r>
          </w:p>
        </w:tc>
        <w:tc>
          <w:tcPr>
            <w:tcW w:w="1240" w:type="dxa"/>
            <w:vAlign w:val="bottom"/>
            <w:gridSpan w:val="2"/>
            <w:shd w:val="clear" w:color="auto" w:fill="CFF0FC"/>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rPr>
              <w:t>St Mary,</w:t>
            </w: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3"/>
                <w:szCs w:val="13"/>
                <w:color w:val="auto"/>
              </w:rPr>
              <w:t>Kentucky</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9,994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9,248</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18,567</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19,492</w:t>
            </w:r>
          </w:p>
        </w:tc>
        <w:tc>
          <w:tcPr>
            <w:tcW w:w="1200" w:type="dxa"/>
            <w:vAlign w:val="bottom"/>
            <w:gridSpan w:val="3"/>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(9,755 )</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1998</w:t>
            </w:r>
          </w:p>
        </w:tc>
        <w:tc>
          <w:tcPr>
            <w:tcW w:w="0" w:type="dxa"/>
            <w:vAlign w:val="bottom"/>
          </w:tcPr>
          <w:p>
            <w:pPr>
              <w:spacing w:after="0"/>
              <w:rPr>
                <w:sz w:val="1"/>
                <w:szCs w:val="1"/>
                <w:color w:val="auto"/>
              </w:rPr>
            </w:pPr>
          </w:p>
        </w:tc>
      </w:tr>
      <w:tr>
        <w:trPr>
          <w:trHeight w:val="136"/>
        </w:trPr>
        <w:tc>
          <w:tcPr>
            <w:tcW w:w="2500" w:type="dxa"/>
            <w:vAlign w:val="bottom"/>
            <w:gridSpan w:val="3"/>
          </w:tcPr>
          <w:p>
            <w:pPr>
              <w:ind w:left="20"/>
              <w:spacing w:after="0" w:line="136" w:lineRule="exact"/>
              <w:rPr>
                <w:sz w:val="20"/>
                <w:szCs w:val="20"/>
                <w:color w:val="auto"/>
              </w:rPr>
            </w:pPr>
            <w:r>
              <w:rPr>
                <w:rFonts w:ascii="Times New Roman" w:cs="Times New Roman" w:eastAsia="Times New Roman" w:hAnsi="Times New Roman"/>
                <w:sz w:val="13"/>
                <w:szCs w:val="13"/>
                <w:color w:val="auto"/>
              </w:rPr>
              <w:t>Midwest Regional Reception Center</w:t>
            </w:r>
          </w:p>
        </w:tc>
        <w:tc>
          <w:tcPr>
            <w:tcW w:w="124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3"/>
                <w:szCs w:val="13"/>
                <w:color w:val="auto"/>
              </w:rPr>
              <w:t>Leavenworth,</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Kansas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44,970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46,350</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90,381</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91,450</w:t>
            </w:r>
          </w:p>
        </w:tc>
        <w:tc>
          <w:tcPr>
            <w:tcW w:w="1200" w:type="dxa"/>
            <w:vAlign w:val="bottom"/>
            <w:gridSpan w:val="3"/>
          </w:tcPr>
          <w:p>
            <w:pPr>
              <w:jc w:val="right"/>
              <w:ind w:right="93"/>
              <w:spacing w:after="0"/>
              <w:rPr>
                <w:sz w:val="20"/>
                <w:szCs w:val="20"/>
                <w:color w:val="auto"/>
              </w:rPr>
            </w:pPr>
            <w:r>
              <w:rPr>
                <w:rFonts w:ascii="Times New Roman" w:cs="Times New Roman" w:eastAsia="Times New Roman" w:hAnsi="Times New Roman"/>
                <w:sz w:val="13"/>
                <w:szCs w:val="13"/>
                <w:color w:val="auto"/>
              </w:rPr>
              <w:t>(43,596 )</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1992</w:t>
            </w:r>
          </w:p>
        </w:tc>
        <w:tc>
          <w:tcPr>
            <w:tcW w:w="0" w:type="dxa"/>
            <w:vAlign w:val="bottom"/>
          </w:tcPr>
          <w:p>
            <w:pPr>
              <w:spacing w:after="0"/>
              <w:rPr>
                <w:sz w:val="1"/>
                <w:szCs w:val="1"/>
                <w:color w:val="auto"/>
              </w:rPr>
            </w:pPr>
          </w:p>
        </w:tc>
      </w:tr>
      <w:tr>
        <w:trPr>
          <w:trHeight w:val="136"/>
        </w:trPr>
        <w:tc>
          <w:tcPr>
            <w:tcW w:w="2500" w:type="dxa"/>
            <w:vAlign w:val="bottom"/>
            <w:gridSpan w:val="3"/>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Nevada Southern Detention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24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12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3"/>
                <w:szCs w:val="13"/>
                <w:color w:val="auto"/>
              </w:rPr>
              <w:t>Pahrump, Nevada</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7,548</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64,362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14,151</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8,458</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77,603</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86,061</w:t>
            </w:r>
          </w:p>
        </w:tc>
        <w:tc>
          <w:tcPr>
            <w:tcW w:w="1200" w:type="dxa"/>
            <w:vAlign w:val="bottom"/>
            <w:gridSpan w:val="3"/>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(26,608 )</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2010</w:t>
            </w:r>
          </w:p>
        </w:tc>
        <w:tc>
          <w:tcPr>
            <w:tcW w:w="0" w:type="dxa"/>
            <w:vAlign w:val="bottom"/>
          </w:tcPr>
          <w:p>
            <w:pPr>
              <w:spacing w:after="0"/>
              <w:rPr>
                <w:sz w:val="1"/>
                <w:szCs w:val="1"/>
                <w:color w:val="auto"/>
              </w:rPr>
            </w:pPr>
          </w:p>
        </w:tc>
      </w:tr>
      <w:tr>
        <w:trPr>
          <w:trHeight w:val="136"/>
        </w:trPr>
        <w:tc>
          <w:tcPr>
            <w:tcW w:w="2500" w:type="dxa"/>
            <w:vAlign w:val="bottom"/>
            <w:gridSpan w:val="3"/>
          </w:tcPr>
          <w:p>
            <w:pPr>
              <w:ind w:left="20"/>
              <w:spacing w:after="0" w:line="136" w:lineRule="exact"/>
              <w:rPr>
                <w:sz w:val="20"/>
                <w:szCs w:val="20"/>
                <w:color w:val="auto"/>
              </w:rPr>
            </w:pPr>
            <w:r>
              <w:rPr>
                <w:rFonts w:ascii="Times New Roman" w:cs="Times New Roman" w:eastAsia="Times New Roman" w:hAnsi="Times New Roman"/>
                <w:sz w:val="13"/>
                <w:szCs w:val="13"/>
                <w:color w:val="auto"/>
              </w:rPr>
              <w:t>North Fork Correctional</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Facility</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Sayre, Oklahoma</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42,166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65,111</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106,560</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107,277</w:t>
            </w:r>
          </w:p>
        </w:tc>
        <w:tc>
          <w:tcPr>
            <w:tcW w:w="1200" w:type="dxa"/>
            <w:vAlign w:val="bottom"/>
            <w:gridSpan w:val="3"/>
          </w:tcPr>
          <w:p>
            <w:pPr>
              <w:jc w:val="right"/>
              <w:ind w:right="93"/>
              <w:spacing w:after="0"/>
              <w:rPr>
                <w:sz w:val="20"/>
                <w:szCs w:val="20"/>
                <w:color w:val="auto"/>
              </w:rPr>
            </w:pPr>
            <w:r>
              <w:rPr>
                <w:rFonts w:ascii="Times New Roman" w:cs="Times New Roman" w:eastAsia="Times New Roman" w:hAnsi="Times New Roman"/>
                <w:sz w:val="13"/>
                <w:szCs w:val="13"/>
                <w:color w:val="auto"/>
              </w:rPr>
              <w:t>(50,004 )</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1998</w:t>
            </w:r>
          </w:p>
        </w:tc>
        <w:tc>
          <w:tcPr>
            <w:tcW w:w="0" w:type="dxa"/>
            <w:vAlign w:val="bottom"/>
          </w:tcPr>
          <w:p>
            <w:pPr>
              <w:spacing w:after="0"/>
              <w:rPr>
                <w:sz w:val="1"/>
                <w:szCs w:val="1"/>
                <w:color w:val="auto"/>
              </w:rPr>
            </w:pPr>
          </w:p>
        </w:tc>
      </w:tr>
      <w:tr>
        <w:trPr>
          <w:trHeight w:val="136"/>
        </w:trPr>
        <w:tc>
          <w:tcPr>
            <w:tcW w:w="2500" w:type="dxa"/>
            <w:vAlign w:val="bottom"/>
            <w:gridSpan w:val="3"/>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Northeast Ohio Correctional</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24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12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3"/>
                <w:szCs w:val="13"/>
                <w:color w:val="auto"/>
              </w:rPr>
              <w:t>Youngstown, Ohio</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39,583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17,205</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2,402</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55,136</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57,538</w:t>
            </w:r>
          </w:p>
        </w:tc>
        <w:tc>
          <w:tcPr>
            <w:tcW w:w="1200" w:type="dxa"/>
            <w:vAlign w:val="bottom"/>
            <w:gridSpan w:val="3"/>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(31,853 )</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36"/>
        </w:trPr>
        <w:tc>
          <w:tcPr>
            <w:tcW w:w="2500" w:type="dxa"/>
            <w:vAlign w:val="bottom"/>
            <w:gridSpan w:val="3"/>
          </w:tcPr>
          <w:p>
            <w:pPr>
              <w:ind w:left="20"/>
              <w:spacing w:after="0" w:line="136" w:lineRule="exact"/>
              <w:rPr>
                <w:sz w:val="20"/>
                <w:szCs w:val="20"/>
                <w:color w:val="auto"/>
              </w:rPr>
            </w:pPr>
            <w:r>
              <w:rPr>
                <w:rFonts w:ascii="Times New Roman" w:cs="Times New Roman" w:eastAsia="Times New Roman" w:hAnsi="Times New Roman"/>
                <w:sz w:val="13"/>
                <w:szCs w:val="13"/>
                <w:color w:val="auto"/>
              </w:rPr>
              <w:t>Northwest New Mexico</w:t>
            </w:r>
          </w:p>
        </w:tc>
        <w:tc>
          <w:tcPr>
            <w:tcW w:w="124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3"/>
                <w:szCs w:val="13"/>
                <w:color w:val="auto"/>
              </w:rPr>
              <w:t>Grants, New</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Correctional Center</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Mexico</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15,888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24,501</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39,303</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40,531</w:t>
            </w:r>
          </w:p>
        </w:tc>
        <w:tc>
          <w:tcPr>
            <w:tcW w:w="1200" w:type="dxa"/>
            <w:vAlign w:val="bottom"/>
            <w:gridSpan w:val="3"/>
          </w:tcPr>
          <w:p>
            <w:pPr>
              <w:jc w:val="right"/>
              <w:ind w:right="93"/>
              <w:spacing w:after="0"/>
              <w:rPr>
                <w:sz w:val="20"/>
                <w:szCs w:val="20"/>
                <w:color w:val="auto"/>
              </w:rPr>
            </w:pPr>
            <w:r>
              <w:rPr>
                <w:rFonts w:ascii="Times New Roman" w:cs="Times New Roman" w:eastAsia="Times New Roman" w:hAnsi="Times New Roman"/>
                <w:sz w:val="13"/>
                <w:szCs w:val="13"/>
                <w:color w:val="auto"/>
              </w:rPr>
              <w:t>(23,305 )</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1989</w:t>
            </w:r>
          </w:p>
        </w:tc>
        <w:tc>
          <w:tcPr>
            <w:tcW w:w="0" w:type="dxa"/>
            <w:vAlign w:val="bottom"/>
          </w:tcPr>
          <w:p>
            <w:pPr>
              <w:spacing w:after="0"/>
              <w:rPr>
                <w:sz w:val="1"/>
                <w:szCs w:val="1"/>
                <w:color w:val="auto"/>
              </w:rPr>
            </w:pPr>
          </w:p>
        </w:tc>
      </w:tr>
      <w:tr>
        <w:trPr>
          <w:trHeight w:val="136"/>
        </w:trPr>
        <w:tc>
          <w:tcPr>
            <w:tcW w:w="2500" w:type="dxa"/>
            <w:vAlign w:val="bottom"/>
            <w:gridSpan w:val="3"/>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Oklahoma Reentry Opportunity</w:t>
            </w:r>
          </w:p>
        </w:tc>
        <w:tc>
          <w:tcPr>
            <w:tcW w:w="1240" w:type="dxa"/>
            <w:vAlign w:val="bottom"/>
            <w:gridSpan w:val="2"/>
            <w:shd w:val="clear" w:color="auto" w:fill="CFF0FC"/>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rPr>
              <w:t>Oklahoma City,</w:t>
            </w: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24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12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3"/>
                <w:szCs w:val="13"/>
                <w:color w:val="auto"/>
              </w:rPr>
              <w:t>Oklahoma</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8,562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4,631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1,619</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8,605</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6,207</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14,812</w:t>
            </w:r>
          </w:p>
        </w:tc>
        <w:tc>
          <w:tcPr>
            <w:tcW w:w="1200" w:type="dxa"/>
            <w:vAlign w:val="bottom"/>
            <w:gridSpan w:val="3"/>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(2,268 )</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36"/>
        </w:trPr>
        <w:tc>
          <w:tcPr>
            <w:tcW w:w="2500" w:type="dxa"/>
            <w:vAlign w:val="bottom"/>
            <w:gridSpan w:val="3"/>
          </w:tcPr>
          <w:p>
            <w:pPr>
              <w:ind w:left="20"/>
              <w:spacing w:after="0" w:line="136" w:lineRule="exact"/>
              <w:rPr>
                <w:sz w:val="20"/>
                <w:szCs w:val="20"/>
                <w:color w:val="auto"/>
              </w:rPr>
            </w:pPr>
            <w:r>
              <w:rPr>
                <w:rFonts w:ascii="Times New Roman" w:cs="Times New Roman" w:eastAsia="Times New Roman" w:hAnsi="Times New Roman"/>
                <w:sz w:val="13"/>
                <w:szCs w:val="13"/>
                <w:color w:val="auto"/>
              </w:rPr>
              <w:t>Otay Mesa Detention Center</w:t>
            </w:r>
          </w:p>
        </w:tc>
        <w:tc>
          <w:tcPr>
            <w:tcW w:w="1240" w:type="dxa"/>
            <w:vAlign w:val="bottom"/>
            <w:gridSpan w:val="2"/>
          </w:tcPr>
          <w:p>
            <w:pPr>
              <w:jc w:val="center"/>
              <w:ind w:right="200"/>
              <w:spacing w:after="0" w:line="136" w:lineRule="exact"/>
              <w:rPr>
                <w:sz w:val="20"/>
                <w:szCs w:val="20"/>
                <w:color w:val="auto"/>
              </w:rPr>
            </w:pPr>
            <w:r>
              <w:rPr>
                <w:rFonts w:ascii="Times New Roman" w:cs="Times New Roman" w:eastAsia="Times New Roman" w:hAnsi="Times New Roman"/>
                <w:sz w:val="13"/>
                <w:szCs w:val="13"/>
                <w:color w:val="auto"/>
              </w:rPr>
              <w:t>San Diego,</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California</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28,845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114,411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48,196</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37,104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154,348</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191,452</w:t>
            </w:r>
          </w:p>
        </w:tc>
        <w:tc>
          <w:tcPr>
            <w:tcW w:w="1200" w:type="dxa"/>
            <w:vAlign w:val="bottom"/>
            <w:gridSpan w:val="3"/>
          </w:tcPr>
          <w:p>
            <w:pPr>
              <w:jc w:val="right"/>
              <w:ind w:right="93"/>
              <w:spacing w:after="0"/>
              <w:rPr>
                <w:sz w:val="20"/>
                <w:szCs w:val="20"/>
                <w:color w:val="auto"/>
              </w:rPr>
            </w:pPr>
            <w:r>
              <w:rPr>
                <w:rFonts w:ascii="Times New Roman" w:cs="Times New Roman" w:eastAsia="Times New Roman" w:hAnsi="Times New Roman"/>
                <w:sz w:val="13"/>
                <w:szCs w:val="13"/>
                <w:color w:val="auto"/>
              </w:rPr>
              <w:t>(28,318 )</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2015/2019</w:t>
            </w:r>
          </w:p>
        </w:tc>
        <w:tc>
          <w:tcPr>
            <w:tcW w:w="0" w:type="dxa"/>
            <w:vAlign w:val="bottom"/>
          </w:tcPr>
          <w:p>
            <w:pPr>
              <w:spacing w:after="0"/>
              <w:rPr>
                <w:sz w:val="1"/>
                <w:szCs w:val="1"/>
                <w:color w:val="auto"/>
              </w:rPr>
            </w:pPr>
          </w:p>
        </w:tc>
      </w:tr>
      <w:tr>
        <w:trPr>
          <w:trHeight w:val="136"/>
        </w:trPr>
        <w:tc>
          <w:tcPr>
            <w:tcW w:w="2500" w:type="dxa"/>
            <w:vAlign w:val="bottom"/>
            <w:gridSpan w:val="3"/>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Prairie Correctional Facility</w:t>
            </w:r>
          </w:p>
        </w:tc>
        <w:tc>
          <w:tcPr>
            <w:tcW w:w="1240" w:type="dxa"/>
            <w:vAlign w:val="bottom"/>
            <w:gridSpan w:val="2"/>
            <w:shd w:val="clear" w:color="auto" w:fill="CFF0FC"/>
          </w:tcPr>
          <w:p>
            <w:pPr>
              <w:jc w:val="center"/>
              <w:ind w:right="180"/>
              <w:spacing w:after="0" w:line="136" w:lineRule="exact"/>
              <w:rPr>
                <w:sz w:val="20"/>
                <w:szCs w:val="20"/>
                <w:color w:val="auto"/>
              </w:rPr>
            </w:pPr>
            <w:r>
              <w:rPr>
                <w:rFonts w:ascii="Times New Roman" w:cs="Times New Roman" w:eastAsia="Times New Roman" w:hAnsi="Times New Roman"/>
                <w:sz w:val="13"/>
                <w:szCs w:val="13"/>
                <w:color w:val="auto"/>
              </w:rPr>
              <w:t>Appleton,</w:t>
            </w: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3"/>
                <w:szCs w:val="13"/>
                <w:color w:val="auto"/>
              </w:rPr>
              <w:t>Minnesota</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22,306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11,799</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33,137</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34,205</w:t>
            </w:r>
          </w:p>
        </w:tc>
        <w:tc>
          <w:tcPr>
            <w:tcW w:w="1200" w:type="dxa"/>
            <w:vAlign w:val="bottom"/>
            <w:gridSpan w:val="3"/>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(21,815 )</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1991</w:t>
            </w:r>
          </w:p>
        </w:tc>
        <w:tc>
          <w:tcPr>
            <w:tcW w:w="0" w:type="dxa"/>
            <w:vAlign w:val="bottom"/>
          </w:tcPr>
          <w:p>
            <w:pPr>
              <w:spacing w:after="0"/>
              <w:rPr>
                <w:sz w:val="1"/>
                <w:szCs w:val="1"/>
                <w:color w:val="auto"/>
              </w:rPr>
            </w:pPr>
          </w:p>
        </w:tc>
      </w:tr>
      <w:tr>
        <w:trPr>
          <w:trHeight w:val="148"/>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Recovery Monitoring Solutions</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Dallas, Texas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1,979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1,792</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3,643</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4,923</w:t>
            </w:r>
          </w:p>
        </w:tc>
        <w:tc>
          <w:tcPr>
            <w:tcW w:w="1200" w:type="dxa"/>
            <w:vAlign w:val="bottom"/>
            <w:gridSpan w:val="3"/>
          </w:tcPr>
          <w:p>
            <w:pPr>
              <w:jc w:val="right"/>
              <w:ind w:right="93"/>
              <w:spacing w:after="0"/>
              <w:rPr>
                <w:sz w:val="20"/>
                <w:szCs w:val="20"/>
                <w:color w:val="auto"/>
              </w:rPr>
            </w:pPr>
            <w:r>
              <w:rPr>
                <w:rFonts w:ascii="Times New Roman" w:cs="Times New Roman" w:eastAsia="Times New Roman" w:hAnsi="Times New Roman"/>
                <w:sz w:val="13"/>
                <w:szCs w:val="13"/>
                <w:color w:val="auto"/>
              </w:rPr>
              <w:t>(846 )</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136"/>
        </w:trPr>
        <w:tc>
          <w:tcPr>
            <w:tcW w:w="2500" w:type="dxa"/>
            <w:vAlign w:val="bottom"/>
            <w:gridSpan w:val="3"/>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Red Rock Correctional</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24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Center (C)</w:t>
            </w:r>
          </w:p>
        </w:tc>
        <w:tc>
          <w:tcPr>
            <w:tcW w:w="12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3"/>
                <w:szCs w:val="13"/>
                <w:color w:val="auto"/>
              </w:rPr>
              <w:t>Eloy, Arizona</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2006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III - REAL ESTATE ASSETS AND ACCUMULATED DEPRECIATION</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Initial Cost to</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8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Gross Amount at Which Carried at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26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7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Close of Period</w:t>
            </w:r>
          </w:p>
        </w:tc>
        <w:tc>
          <w:tcPr>
            <w:tcW w:w="7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Buildings</w:t>
            </w: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Buildings</w:t>
            </w:r>
          </w:p>
        </w:tc>
        <w:tc>
          <w:tcPr>
            <w:tcW w:w="26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Capitalized</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Land and</w:t>
            </w:r>
          </w:p>
        </w:tc>
        <w:tc>
          <w:tcPr>
            <w:tcW w:w="2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3"/>
          </w:tcPr>
          <w:p>
            <w:pPr>
              <w:jc w:val="center"/>
              <w:ind w:right="153"/>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Accumulate</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6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Subsequent</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Land</w:t>
            </w:r>
          </w:p>
        </w:tc>
        <w:tc>
          <w:tcPr>
            <w:tcW w:w="20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Leasehold</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333"/>
              <w:spacing w:after="0" w:line="135" w:lineRule="exact"/>
              <w:rPr>
                <w:sz w:val="20"/>
                <w:szCs w:val="20"/>
                <w:color w:val="auto"/>
              </w:rPr>
            </w:pPr>
            <w:r>
              <w:rPr>
                <w:rFonts w:ascii="Times New Roman" w:cs="Times New Roman" w:eastAsia="Times New Roman" w:hAnsi="Times New Roman"/>
                <w:sz w:val="13"/>
                <w:szCs w:val="13"/>
                <w:b w:val="1"/>
                <w:bCs w:val="1"/>
                <w:color w:val="auto"/>
              </w:rPr>
              <w:t>d</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Improveme</w:t>
            </w:r>
          </w:p>
        </w:tc>
        <w:tc>
          <w:tcPr>
            <w:tcW w:w="26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Improveme</w:t>
            </w:r>
          </w:p>
        </w:tc>
        <w:tc>
          <w:tcPr>
            <w:tcW w:w="20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Improveme</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3"/>
          </w:tcPr>
          <w:p>
            <w:pPr>
              <w:jc w:val="center"/>
              <w:ind w:right="173"/>
              <w:spacing w:after="0" w:line="135" w:lineRule="exact"/>
              <w:rPr>
                <w:sz w:val="20"/>
                <w:szCs w:val="20"/>
                <w:color w:val="auto"/>
              </w:rPr>
            </w:pPr>
            <w:r>
              <w:rPr>
                <w:rFonts w:ascii="Times New Roman" w:cs="Times New Roman" w:eastAsia="Times New Roman" w:hAnsi="Times New Roman"/>
                <w:sz w:val="13"/>
                <w:szCs w:val="13"/>
                <w:b w:val="1"/>
                <w:bCs w:val="1"/>
                <w:color w:val="auto"/>
                <w:w w:val="96"/>
              </w:rPr>
              <w:t>Depreciatio</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Constructed/</w:t>
            </w:r>
          </w:p>
        </w:tc>
        <w:tc>
          <w:tcPr>
            <w:tcW w:w="0" w:type="dxa"/>
            <w:vAlign w:val="bottom"/>
          </w:tcPr>
          <w:p>
            <w:pPr>
              <w:spacing w:after="0"/>
              <w:rPr>
                <w:sz w:val="1"/>
                <w:szCs w:val="1"/>
                <w:color w:val="auto"/>
              </w:rPr>
            </w:pPr>
          </w:p>
        </w:tc>
      </w:tr>
      <w:tr>
        <w:trPr>
          <w:trHeight w:val="155"/>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20" w:type="dxa"/>
            <w:vAlign w:val="bottom"/>
          </w:tcPr>
          <w:p>
            <w:pPr>
              <w:spacing w:after="0"/>
              <w:rPr>
                <w:sz w:val="13"/>
                <w:szCs w:val="13"/>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Location</w:t>
            </w:r>
          </w:p>
        </w:tc>
        <w:tc>
          <w:tcPr>
            <w:tcW w:w="58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Land</w:t>
            </w:r>
          </w:p>
        </w:tc>
        <w:tc>
          <w:tcPr>
            <w:tcW w:w="2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nts</w:t>
            </w:r>
          </w:p>
        </w:tc>
        <w:tc>
          <w:tcPr>
            <w:tcW w:w="26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Acquisition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nts</w:t>
            </w:r>
          </w:p>
        </w:tc>
        <w:tc>
          <w:tcPr>
            <w:tcW w:w="20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nts</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Total (A)</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93"/>
              <w:spacing w:after="0"/>
              <w:rPr>
                <w:sz w:val="20"/>
                <w:szCs w:val="20"/>
                <w:color w:val="auto"/>
              </w:rPr>
            </w:pPr>
            <w:r>
              <w:rPr>
                <w:rFonts w:ascii="Times New Roman" w:cs="Times New Roman" w:eastAsia="Times New Roman" w:hAnsi="Times New Roman"/>
                <w:sz w:val="13"/>
                <w:szCs w:val="13"/>
                <w:b w:val="1"/>
                <w:bCs w:val="1"/>
                <w:color w:val="auto"/>
              </w:rPr>
              <w:t>n (B)</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Acquired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Saguaro</w:t>
            </w:r>
          </w:p>
        </w:tc>
        <w:tc>
          <w:tcPr>
            <w:tcW w:w="17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Correctional Facility</w:t>
            </w:r>
          </w:p>
        </w:tc>
        <w:tc>
          <w:tcPr>
            <w:tcW w:w="1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Eloy, Arizona</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193</w:t>
            </w:r>
          </w:p>
        </w:tc>
        <w:tc>
          <w:tcPr>
            <w:tcW w:w="24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98,903</w:t>
            </w:r>
          </w:p>
        </w:tc>
        <w:tc>
          <w:tcPr>
            <w:tcW w:w="26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7,271</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3,055</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103,312</w:t>
            </w:r>
          </w:p>
        </w:tc>
        <w:tc>
          <w:tcPr>
            <w:tcW w:w="22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106,367</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(37,782</w:t>
            </w:r>
          </w:p>
        </w:tc>
        <w:tc>
          <w:tcPr>
            <w:tcW w:w="22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36"/>
        </w:trPr>
        <w:tc>
          <w:tcPr>
            <w:tcW w:w="2380" w:type="dxa"/>
            <w:vAlign w:val="bottom"/>
            <w:gridSpan w:val="3"/>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South Raleigh Reentry Center</w:t>
            </w:r>
          </w:p>
        </w:tc>
        <w:tc>
          <w:tcPr>
            <w:tcW w:w="120" w:type="dxa"/>
            <w:vAlign w:val="bottom"/>
            <w:shd w:val="clear" w:color="auto" w:fill="CFF0FC"/>
          </w:tcPr>
          <w:p>
            <w:pPr>
              <w:spacing w:after="0"/>
              <w:rPr>
                <w:sz w:val="11"/>
                <w:szCs w:val="11"/>
                <w:color w:val="auto"/>
              </w:rPr>
            </w:pPr>
          </w:p>
        </w:tc>
        <w:tc>
          <w:tcPr>
            <w:tcW w:w="1440" w:type="dxa"/>
            <w:vAlign w:val="bottom"/>
            <w:gridSpan w:val="3"/>
            <w:shd w:val="clear" w:color="auto" w:fill="CFF0FC"/>
          </w:tcPr>
          <w:p>
            <w:pPr>
              <w:jc w:val="center"/>
              <w:ind w:right="320"/>
              <w:spacing w:after="0" w:line="136" w:lineRule="exact"/>
              <w:rPr>
                <w:sz w:val="20"/>
                <w:szCs w:val="20"/>
                <w:color w:val="auto"/>
              </w:rPr>
            </w:pPr>
            <w:r>
              <w:rPr>
                <w:rFonts w:ascii="Times New Roman" w:cs="Times New Roman" w:eastAsia="Times New Roman" w:hAnsi="Times New Roman"/>
                <w:sz w:val="13"/>
                <w:szCs w:val="13"/>
                <w:color w:val="auto"/>
              </w:rPr>
              <w:t>Raleigh, North</w:t>
            </w: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gridSpan w:val="3"/>
            <w:shd w:val="clear" w:color="auto" w:fill="CFF0FC"/>
          </w:tcPr>
          <w:p>
            <w:pPr>
              <w:jc w:val="center"/>
              <w:ind w:right="300"/>
              <w:spacing w:after="0"/>
              <w:rPr>
                <w:sz w:val="20"/>
                <w:szCs w:val="20"/>
                <w:color w:val="auto"/>
              </w:rPr>
            </w:pPr>
            <w:r>
              <w:rPr>
                <w:rFonts w:ascii="Times New Roman" w:cs="Times New Roman" w:eastAsia="Times New Roman" w:hAnsi="Times New Roman"/>
                <w:sz w:val="13"/>
                <w:szCs w:val="13"/>
                <w:color w:val="auto"/>
              </w:rPr>
              <w:t>Carolina</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1,248</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1,598</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(169 )</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2019</w:t>
            </w:r>
          </w:p>
        </w:tc>
        <w:tc>
          <w:tcPr>
            <w:tcW w:w="0" w:type="dxa"/>
            <w:vAlign w:val="bottom"/>
          </w:tcPr>
          <w:p>
            <w:pPr>
              <w:spacing w:after="0"/>
              <w:rPr>
                <w:sz w:val="1"/>
                <w:szCs w:val="1"/>
                <w:color w:val="auto"/>
              </w:rPr>
            </w:pPr>
          </w:p>
        </w:tc>
      </w:tr>
      <w:tr>
        <w:trPr>
          <w:trHeight w:val="136"/>
        </w:trPr>
        <w:tc>
          <w:tcPr>
            <w:tcW w:w="2380" w:type="dxa"/>
            <w:vAlign w:val="bottom"/>
            <w:gridSpan w:val="3"/>
          </w:tcPr>
          <w:p>
            <w:pPr>
              <w:ind w:left="20"/>
              <w:spacing w:after="0" w:line="136" w:lineRule="exact"/>
              <w:rPr>
                <w:sz w:val="20"/>
                <w:szCs w:val="20"/>
                <w:color w:val="auto"/>
              </w:rPr>
            </w:pPr>
            <w:r>
              <w:rPr>
                <w:rFonts w:ascii="Times New Roman" w:cs="Times New Roman" w:eastAsia="Times New Roman" w:hAnsi="Times New Roman"/>
                <w:sz w:val="13"/>
                <w:szCs w:val="13"/>
                <w:color w:val="auto"/>
              </w:rPr>
              <w:t>Southeast Kentucky</w:t>
            </w:r>
          </w:p>
        </w:tc>
        <w:tc>
          <w:tcPr>
            <w:tcW w:w="120" w:type="dxa"/>
            <w:vAlign w:val="bottom"/>
          </w:tcPr>
          <w:p>
            <w:pPr>
              <w:spacing w:after="0"/>
              <w:rPr>
                <w:sz w:val="11"/>
                <w:szCs w:val="11"/>
                <w:color w:val="auto"/>
              </w:rPr>
            </w:pPr>
          </w:p>
        </w:tc>
        <w:tc>
          <w:tcPr>
            <w:tcW w:w="1440" w:type="dxa"/>
            <w:vAlign w:val="bottom"/>
            <w:gridSpan w:val="3"/>
          </w:tcPr>
          <w:p>
            <w:pPr>
              <w:jc w:val="center"/>
              <w:ind w:right="340"/>
              <w:spacing w:after="0" w:line="136" w:lineRule="exact"/>
              <w:rPr>
                <w:sz w:val="20"/>
                <w:szCs w:val="20"/>
                <w:color w:val="auto"/>
              </w:rPr>
            </w:pPr>
            <w:r>
              <w:rPr>
                <w:rFonts w:ascii="Times New Roman" w:cs="Times New Roman" w:eastAsia="Times New Roman" w:hAnsi="Times New Roman"/>
                <w:sz w:val="13"/>
                <w:szCs w:val="13"/>
                <w:color w:val="auto"/>
              </w:rPr>
              <w:t>Wheelwright,</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Correctional Facility</w:t>
            </w:r>
          </w:p>
        </w:tc>
        <w:tc>
          <w:tcPr>
            <w:tcW w:w="120" w:type="dxa"/>
            <w:vAlign w:val="bottom"/>
          </w:tcPr>
          <w:p>
            <w:pPr>
              <w:spacing w:after="0"/>
              <w:rPr>
                <w:sz w:val="14"/>
                <w:szCs w:val="14"/>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color w:val="auto"/>
              </w:rPr>
              <w:t>Kentucky</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24,487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21,964</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43,559</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46,951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(22,095 )</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1998</w:t>
            </w:r>
          </w:p>
        </w:tc>
        <w:tc>
          <w:tcPr>
            <w:tcW w:w="0" w:type="dxa"/>
            <w:vAlign w:val="bottom"/>
          </w:tcPr>
          <w:p>
            <w:pPr>
              <w:spacing w:after="0"/>
              <w:rPr>
                <w:sz w:val="1"/>
                <w:szCs w:val="1"/>
                <w:color w:val="auto"/>
              </w:rPr>
            </w:pPr>
          </w:p>
        </w:tc>
      </w:tr>
      <w:tr>
        <w:trPr>
          <w:trHeight w:val="148"/>
        </w:trPr>
        <w:tc>
          <w:tcPr>
            <w:tcW w:w="2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Stewart Detention Center</w:t>
            </w:r>
          </w:p>
        </w:tc>
        <w:tc>
          <w:tcPr>
            <w:tcW w:w="120" w:type="dxa"/>
            <w:vAlign w:val="bottom"/>
            <w:shd w:val="clear" w:color="auto" w:fill="CFF0FC"/>
          </w:tcPr>
          <w:p>
            <w:pPr>
              <w:spacing w:after="0"/>
              <w:rPr>
                <w:sz w:val="12"/>
                <w:szCs w:val="12"/>
                <w:color w:val="auto"/>
              </w:rPr>
            </w:pPr>
          </w:p>
        </w:tc>
        <w:tc>
          <w:tcPr>
            <w:tcW w:w="1440" w:type="dxa"/>
            <w:vAlign w:val="bottom"/>
            <w:gridSpan w:val="3"/>
            <w:shd w:val="clear" w:color="auto" w:fill="CFF0FC"/>
          </w:tcPr>
          <w:p>
            <w:pPr>
              <w:jc w:val="center"/>
              <w:ind w:right="280"/>
              <w:spacing w:after="0"/>
              <w:rPr>
                <w:sz w:val="20"/>
                <w:szCs w:val="20"/>
                <w:color w:val="auto"/>
              </w:rPr>
            </w:pPr>
            <w:r>
              <w:rPr>
                <w:rFonts w:ascii="Times New Roman" w:cs="Times New Roman" w:eastAsia="Times New Roman" w:hAnsi="Times New Roman"/>
                <w:sz w:val="13"/>
                <w:szCs w:val="13"/>
                <w:color w:val="auto"/>
              </w:rPr>
              <w:t>Lumpkin, Georgia</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70,560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22,927</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1,742</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91,888</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93,630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(42,492 )</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2004</w:t>
            </w:r>
          </w:p>
        </w:tc>
        <w:tc>
          <w:tcPr>
            <w:tcW w:w="0" w:type="dxa"/>
            <w:vAlign w:val="bottom"/>
          </w:tcPr>
          <w:p>
            <w:pPr>
              <w:spacing w:after="0"/>
              <w:rPr>
                <w:sz w:val="1"/>
                <w:szCs w:val="1"/>
                <w:color w:val="auto"/>
              </w:rPr>
            </w:pPr>
          </w:p>
        </w:tc>
      </w:tr>
      <w:tr>
        <w:trPr>
          <w:trHeight w:val="148"/>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 Don Hutto Residential Center</w:t>
            </w:r>
          </w:p>
        </w:tc>
        <w:tc>
          <w:tcPr>
            <w:tcW w:w="120" w:type="dxa"/>
            <w:vAlign w:val="bottom"/>
          </w:tcPr>
          <w:p>
            <w:pPr>
              <w:spacing w:after="0"/>
              <w:rPr>
                <w:sz w:val="12"/>
                <w:szCs w:val="12"/>
                <w:color w:val="auto"/>
              </w:rPr>
            </w:pPr>
          </w:p>
        </w:tc>
        <w:tc>
          <w:tcPr>
            <w:tcW w:w="144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color w:val="auto"/>
              </w:rPr>
              <w:t>Taylor, Texas</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13,418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13,674</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26,293</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27,275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(11,653 )</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1997</w:t>
            </w:r>
          </w:p>
        </w:tc>
        <w:tc>
          <w:tcPr>
            <w:tcW w:w="0" w:type="dxa"/>
            <w:vAlign w:val="bottom"/>
          </w:tcPr>
          <w:p>
            <w:pPr>
              <w:spacing w:after="0"/>
              <w:rPr>
                <w:sz w:val="1"/>
                <w:szCs w:val="1"/>
                <w:color w:val="auto"/>
              </w:rPr>
            </w:pPr>
          </w:p>
        </w:tc>
      </w:tr>
      <w:tr>
        <w:trPr>
          <w:trHeight w:val="136"/>
        </w:trPr>
        <w:tc>
          <w:tcPr>
            <w:tcW w:w="2380" w:type="dxa"/>
            <w:vAlign w:val="bottom"/>
            <w:gridSpan w:val="3"/>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Tallahatchie County</w:t>
            </w:r>
          </w:p>
        </w:tc>
        <w:tc>
          <w:tcPr>
            <w:tcW w:w="120" w:type="dxa"/>
            <w:vAlign w:val="bottom"/>
            <w:shd w:val="clear" w:color="auto" w:fill="CFF0FC"/>
          </w:tcPr>
          <w:p>
            <w:pPr>
              <w:spacing w:after="0"/>
              <w:rPr>
                <w:sz w:val="11"/>
                <w:szCs w:val="11"/>
                <w:color w:val="auto"/>
              </w:rPr>
            </w:pPr>
          </w:p>
        </w:tc>
        <w:tc>
          <w:tcPr>
            <w:tcW w:w="1440" w:type="dxa"/>
            <w:vAlign w:val="bottom"/>
            <w:gridSpan w:val="3"/>
            <w:shd w:val="clear" w:color="auto" w:fill="CFF0FC"/>
          </w:tcPr>
          <w:p>
            <w:pPr>
              <w:jc w:val="center"/>
              <w:ind w:right="340"/>
              <w:spacing w:after="0" w:line="136" w:lineRule="exact"/>
              <w:rPr>
                <w:sz w:val="20"/>
                <w:szCs w:val="20"/>
                <w:color w:val="auto"/>
              </w:rPr>
            </w:pPr>
            <w:r>
              <w:rPr>
                <w:rFonts w:ascii="Times New Roman" w:cs="Times New Roman" w:eastAsia="Times New Roman" w:hAnsi="Times New Roman"/>
                <w:sz w:val="13"/>
                <w:szCs w:val="13"/>
                <w:color w:val="auto"/>
              </w:rPr>
              <w:t>Tutwiler,</w:t>
            </w: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2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Correctional Facility</w:t>
            </w:r>
          </w:p>
        </w:tc>
        <w:tc>
          <w:tcPr>
            <w:tcW w:w="120" w:type="dxa"/>
            <w:vAlign w:val="bottom"/>
            <w:shd w:val="clear" w:color="auto" w:fill="CFF0FC"/>
          </w:tcPr>
          <w:p>
            <w:pPr>
              <w:spacing w:after="0"/>
              <w:rPr>
                <w:sz w:val="14"/>
                <w:szCs w:val="14"/>
                <w:color w:val="auto"/>
              </w:rPr>
            </w:pPr>
          </w:p>
        </w:tc>
        <w:tc>
          <w:tcPr>
            <w:tcW w:w="1440" w:type="dxa"/>
            <w:vAlign w:val="bottom"/>
            <w:gridSpan w:val="3"/>
            <w:shd w:val="clear" w:color="auto" w:fill="CFF0FC"/>
          </w:tcPr>
          <w:p>
            <w:pPr>
              <w:jc w:val="center"/>
              <w:ind w:right="300"/>
              <w:spacing w:after="0"/>
              <w:rPr>
                <w:sz w:val="20"/>
                <w:szCs w:val="20"/>
                <w:color w:val="auto"/>
              </w:rPr>
            </w:pPr>
            <w:r>
              <w:rPr>
                <w:rFonts w:ascii="Times New Roman" w:cs="Times New Roman" w:eastAsia="Times New Roman" w:hAnsi="Times New Roman"/>
                <w:sz w:val="13"/>
                <w:szCs w:val="13"/>
                <w:color w:val="auto"/>
              </w:rPr>
              <w:t>Mississippi</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44,638</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110,908</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2,373</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153,173</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155,546</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(72,882 )</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36"/>
        </w:trPr>
        <w:tc>
          <w:tcPr>
            <w:tcW w:w="2380" w:type="dxa"/>
            <w:vAlign w:val="bottom"/>
            <w:gridSpan w:val="3"/>
          </w:tcPr>
          <w:p>
            <w:pPr>
              <w:ind w:left="20"/>
              <w:spacing w:after="0" w:line="136" w:lineRule="exact"/>
              <w:rPr>
                <w:sz w:val="20"/>
                <w:szCs w:val="20"/>
                <w:color w:val="auto"/>
              </w:rPr>
            </w:pPr>
            <w:r>
              <w:rPr>
                <w:rFonts w:ascii="Times New Roman" w:cs="Times New Roman" w:eastAsia="Times New Roman" w:hAnsi="Times New Roman"/>
                <w:sz w:val="13"/>
                <w:szCs w:val="13"/>
                <w:color w:val="auto"/>
              </w:rPr>
              <w:t>Torrance County Detention</w:t>
            </w:r>
          </w:p>
        </w:tc>
        <w:tc>
          <w:tcPr>
            <w:tcW w:w="120" w:type="dxa"/>
            <w:vAlign w:val="bottom"/>
          </w:tcPr>
          <w:p>
            <w:pPr>
              <w:spacing w:after="0"/>
              <w:rPr>
                <w:sz w:val="11"/>
                <w:szCs w:val="11"/>
                <w:color w:val="auto"/>
              </w:rPr>
            </w:pPr>
          </w:p>
        </w:tc>
        <w:tc>
          <w:tcPr>
            <w:tcW w:w="1440" w:type="dxa"/>
            <w:vAlign w:val="bottom"/>
            <w:gridSpan w:val="3"/>
          </w:tcPr>
          <w:p>
            <w:pPr>
              <w:jc w:val="center"/>
              <w:ind w:right="340"/>
              <w:spacing w:after="0" w:line="136" w:lineRule="exact"/>
              <w:rPr>
                <w:sz w:val="20"/>
                <w:szCs w:val="20"/>
                <w:color w:val="auto"/>
              </w:rPr>
            </w:pPr>
            <w:r>
              <w:rPr>
                <w:rFonts w:ascii="Times New Roman" w:cs="Times New Roman" w:eastAsia="Times New Roman" w:hAnsi="Times New Roman"/>
                <w:sz w:val="13"/>
                <w:szCs w:val="13"/>
                <w:color w:val="auto"/>
              </w:rPr>
              <w:t>Estancia, New</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Facility</w:t>
            </w:r>
          </w:p>
        </w:tc>
        <w:tc>
          <w:tcPr>
            <w:tcW w:w="120" w:type="dxa"/>
            <w:vAlign w:val="bottom"/>
          </w:tcPr>
          <w:p>
            <w:pPr>
              <w:spacing w:after="0"/>
              <w:rPr>
                <w:sz w:val="14"/>
                <w:szCs w:val="14"/>
                <w:color w:val="auto"/>
              </w:rPr>
            </w:pPr>
          </w:p>
        </w:tc>
        <w:tc>
          <w:tcPr>
            <w:tcW w:w="144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color w:val="auto"/>
              </w:rPr>
              <w:t>Mexico</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52,599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15,507</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66,622</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68,617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(36,240 )</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1990</w:t>
            </w:r>
          </w:p>
        </w:tc>
        <w:tc>
          <w:tcPr>
            <w:tcW w:w="0" w:type="dxa"/>
            <w:vAlign w:val="bottom"/>
          </w:tcPr>
          <w:p>
            <w:pPr>
              <w:spacing w:after="0"/>
              <w:rPr>
                <w:sz w:val="1"/>
                <w:szCs w:val="1"/>
                <w:color w:val="auto"/>
              </w:rPr>
            </w:pPr>
          </w:p>
        </w:tc>
      </w:tr>
      <w:tr>
        <w:trPr>
          <w:trHeight w:val="136"/>
        </w:trPr>
        <w:tc>
          <w:tcPr>
            <w:tcW w:w="2380" w:type="dxa"/>
            <w:vAlign w:val="bottom"/>
            <w:gridSpan w:val="3"/>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Trousdale Turner Correctional</w:t>
            </w:r>
          </w:p>
        </w:tc>
        <w:tc>
          <w:tcPr>
            <w:tcW w:w="120" w:type="dxa"/>
            <w:vAlign w:val="bottom"/>
            <w:shd w:val="clear" w:color="auto" w:fill="CFF0FC"/>
          </w:tcPr>
          <w:p>
            <w:pPr>
              <w:spacing w:after="0"/>
              <w:rPr>
                <w:sz w:val="11"/>
                <w:szCs w:val="11"/>
                <w:color w:val="auto"/>
              </w:rPr>
            </w:pPr>
          </w:p>
        </w:tc>
        <w:tc>
          <w:tcPr>
            <w:tcW w:w="1440" w:type="dxa"/>
            <w:vAlign w:val="bottom"/>
            <w:gridSpan w:val="3"/>
            <w:shd w:val="clear" w:color="auto" w:fill="CFF0FC"/>
          </w:tcPr>
          <w:p>
            <w:pPr>
              <w:jc w:val="center"/>
              <w:ind w:right="320"/>
              <w:spacing w:after="0" w:line="136" w:lineRule="exact"/>
              <w:rPr>
                <w:sz w:val="20"/>
                <w:szCs w:val="20"/>
                <w:color w:val="auto"/>
              </w:rPr>
            </w:pPr>
            <w:r>
              <w:rPr>
                <w:rFonts w:ascii="Times New Roman" w:cs="Times New Roman" w:eastAsia="Times New Roman" w:hAnsi="Times New Roman"/>
                <w:sz w:val="13"/>
                <w:szCs w:val="13"/>
                <w:color w:val="auto"/>
              </w:rPr>
              <w:t>Hartsville,</w:t>
            </w: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2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120" w:type="dxa"/>
            <w:vAlign w:val="bottom"/>
            <w:shd w:val="clear" w:color="auto" w:fill="CFF0FC"/>
          </w:tcPr>
          <w:p>
            <w:pPr>
              <w:spacing w:after="0"/>
              <w:rPr>
                <w:sz w:val="14"/>
                <w:szCs w:val="14"/>
                <w:color w:val="auto"/>
              </w:rPr>
            </w:pPr>
          </w:p>
        </w:tc>
        <w:tc>
          <w:tcPr>
            <w:tcW w:w="1440" w:type="dxa"/>
            <w:vAlign w:val="bottom"/>
            <w:gridSpan w:val="3"/>
            <w:shd w:val="clear" w:color="auto" w:fill="CFF0FC"/>
          </w:tcPr>
          <w:p>
            <w:pPr>
              <w:jc w:val="center"/>
              <w:ind w:right="280"/>
              <w:spacing w:after="0"/>
              <w:rPr>
                <w:sz w:val="20"/>
                <w:szCs w:val="20"/>
                <w:color w:val="auto"/>
              </w:rPr>
            </w:pPr>
            <w:r>
              <w:rPr>
                <w:rFonts w:ascii="Times New Roman" w:cs="Times New Roman" w:eastAsia="Times New Roman" w:hAnsi="Times New Roman"/>
                <w:sz w:val="13"/>
                <w:szCs w:val="13"/>
                <w:color w:val="auto"/>
              </w:rPr>
              <w:t>Tennessee</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135,412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6,320</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140,377</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142,381</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(26,528 )</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49"/>
        </w:trPr>
        <w:tc>
          <w:tcPr>
            <w:tcW w:w="2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Turley Residential Center</w:t>
            </w:r>
          </w:p>
        </w:tc>
        <w:tc>
          <w:tcPr>
            <w:tcW w:w="120" w:type="dxa"/>
            <w:vAlign w:val="bottom"/>
            <w:shd w:val="clear" w:color="auto" w:fill="CFF0FC"/>
          </w:tcPr>
          <w:p>
            <w:pPr>
              <w:spacing w:after="0"/>
              <w:rPr>
                <w:sz w:val="12"/>
                <w:szCs w:val="12"/>
                <w:color w:val="auto"/>
              </w:rPr>
            </w:pPr>
          </w:p>
        </w:tc>
        <w:tc>
          <w:tcPr>
            <w:tcW w:w="1440" w:type="dxa"/>
            <w:vAlign w:val="bottom"/>
            <w:gridSpan w:val="3"/>
            <w:shd w:val="clear" w:color="auto" w:fill="CFF0FC"/>
          </w:tcPr>
          <w:p>
            <w:pPr>
              <w:jc w:val="center"/>
              <w:ind w:right="300"/>
              <w:spacing w:after="0"/>
              <w:rPr>
                <w:sz w:val="20"/>
                <w:szCs w:val="20"/>
                <w:color w:val="auto"/>
              </w:rPr>
            </w:pPr>
            <w:r>
              <w:rPr>
                <w:rFonts w:ascii="Times New Roman" w:cs="Times New Roman" w:eastAsia="Times New Roman" w:hAnsi="Times New Roman"/>
                <w:sz w:val="13"/>
                <w:szCs w:val="13"/>
                <w:color w:val="auto"/>
              </w:rPr>
              <w:t>Tulsa, Oklahoma</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4,105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1,252</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5,346</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5,778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(1,933 )</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136"/>
        </w:trPr>
        <w:tc>
          <w:tcPr>
            <w:tcW w:w="2380" w:type="dxa"/>
            <w:vAlign w:val="bottom"/>
            <w:gridSpan w:val="3"/>
          </w:tcPr>
          <w:p>
            <w:pPr>
              <w:ind w:left="20"/>
              <w:spacing w:after="0" w:line="136" w:lineRule="exact"/>
              <w:rPr>
                <w:sz w:val="20"/>
                <w:szCs w:val="20"/>
                <w:color w:val="auto"/>
              </w:rPr>
            </w:pPr>
            <w:r>
              <w:rPr>
                <w:rFonts w:ascii="Times New Roman" w:cs="Times New Roman" w:eastAsia="Times New Roman" w:hAnsi="Times New Roman"/>
                <w:sz w:val="13"/>
                <w:szCs w:val="13"/>
                <w:color w:val="auto"/>
              </w:rPr>
              <w:t>Webb County Detention</w:t>
            </w: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Center</w:t>
            </w:r>
          </w:p>
        </w:tc>
        <w:tc>
          <w:tcPr>
            <w:tcW w:w="120" w:type="dxa"/>
            <w:vAlign w:val="bottom"/>
          </w:tcPr>
          <w:p>
            <w:pPr>
              <w:spacing w:after="0"/>
              <w:rPr>
                <w:sz w:val="14"/>
                <w:szCs w:val="14"/>
                <w:color w:val="auto"/>
              </w:rPr>
            </w:pPr>
          </w:p>
        </w:tc>
        <w:tc>
          <w:tcPr>
            <w:tcW w:w="144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color w:val="auto"/>
              </w:rPr>
              <w:t>Laredo, Texas</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20,161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7,279</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25,608</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27,938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(16,156 )</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1998</w:t>
            </w:r>
          </w:p>
        </w:tc>
        <w:tc>
          <w:tcPr>
            <w:tcW w:w="0" w:type="dxa"/>
            <w:vAlign w:val="bottom"/>
          </w:tcPr>
          <w:p>
            <w:pPr>
              <w:spacing w:after="0"/>
              <w:rPr>
                <w:sz w:val="1"/>
                <w:szCs w:val="1"/>
                <w:color w:val="auto"/>
              </w:rPr>
            </w:pPr>
          </w:p>
        </w:tc>
      </w:tr>
      <w:tr>
        <w:trPr>
          <w:trHeight w:val="136"/>
        </w:trPr>
        <w:tc>
          <w:tcPr>
            <w:tcW w:w="2380" w:type="dxa"/>
            <w:vAlign w:val="bottom"/>
            <w:gridSpan w:val="3"/>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West Tennessee Detention</w:t>
            </w: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2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Facility</w:t>
            </w:r>
          </w:p>
        </w:tc>
        <w:tc>
          <w:tcPr>
            <w:tcW w:w="120" w:type="dxa"/>
            <w:vAlign w:val="bottom"/>
            <w:shd w:val="clear" w:color="auto" w:fill="CFF0FC"/>
          </w:tcPr>
          <w:p>
            <w:pPr>
              <w:spacing w:after="0"/>
              <w:rPr>
                <w:sz w:val="14"/>
                <w:szCs w:val="14"/>
                <w:color w:val="auto"/>
              </w:rPr>
            </w:pPr>
          </w:p>
        </w:tc>
        <w:tc>
          <w:tcPr>
            <w:tcW w:w="1440" w:type="dxa"/>
            <w:vAlign w:val="bottom"/>
            <w:gridSpan w:val="3"/>
            <w:shd w:val="clear" w:color="auto" w:fill="CFF0FC"/>
          </w:tcPr>
          <w:p>
            <w:pPr>
              <w:jc w:val="center"/>
              <w:ind w:right="280"/>
              <w:spacing w:after="0"/>
              <w:rPr>
                <w:sz w:val="20"/>
                <w:szCs w:val="20"/>
                <w:color w:val="auto"/>
              </w:rPr>
            </w:pPr>
            <w:r>
              <w:rPr>
                <w:rFonts w:ascii="Times New Roman" w:cs="Times New Roman" w:eastAsia="Times New Roman" w:hAnsi="Times New Roman"/>
                <w:sz w:val="13"/>
                <w:szCs w:val="13"/>
                <w:color w:val="auto"/>
              </w:rPr>
              <w:t>Mason, Tennessee</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31,931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8,638</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2,174</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38,933</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41,107</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(23,474 )</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1990</w:t>
            </w:r>
          </w:p>
        </w:tc>
        <w:tc>
          <w:tcPr>
            <w:tcW w:w="0" w:type="dxa"/>
            <w:vAlign w:val="bottom"/>
          </w:tcPr>
          <w:p>
            <w:pPr>
              <w:spacing w:after="0"/>
              <w:rPr>
                <w:sz w:val="1"/>
                <w:szCs w:val="1"/>
                <w:color w:val="auto"/>
              </w:rPr>
            </w:pPr>
          </w:p>
        </w:tc>
      </w:tr>
      <w:tr>
        <w:trPr>
          <w:trHeight w:val="136"/>
        </w:trPr>
        <w:tc>
          <w:tcPr>
            <w:tcW w:w="2380" w:type="dxa"/>
            <w:vAlign w:val="bottom"/>
            <w:gridSpan w:val="3"/>
          </w:tcPr>
          <w:p>
            <w:pPr>
              <w:ind w:left="20"/>
              <w:spacing w:after="0" w:line="136" w:lineRule="exact"/>
              <w:rPr>
                <w:sz w:val="20"/>
                <w:szCs w:val="20"/>
                <w:color w:val="auto"/>
              </w:rPr>
            </w:pPr>
            <w:r>
              <w:rPr>
                <w:rFonts w:ascii="Times New Roman" w:cs="Times New Roman" w:eastAsia="Times New Roman" w:hAnsi="Times New Roman"/>
                <w:sz w:val="13"/>
                <w:szCs w:val="13"/>
                <w:color w:val="auto"/>
              </w:rPr>
              <w:t>Wheeler Correctional</w:t>
            </w: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Facility (C)</w:t>
            </w:r>
          </w:p>
        </w:tc>
        <w:tc>
          <w:tcPr>
            <w:tcW w:w="120" w:type="dxa"/>
            <w:vAlign w:val="bottom"/>
          </w:tcPr>
          <w:p>
            <w:pPr>
              <w:spacing w:after="0"/>
              <w:rPr>
                <w:sz w:val="14"/>
                <w:szCs w:val="14"/>
                <w:color w:val="auto"/>
              </w:rPr>
            </w:pPr>
          </w:p>
        </w:tc>
        <w:tc>
          <w:tcPr>
            <w:tcW w:w="144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color w:val="auto"/>
              </w:rPr>
              <w:t>Alamo, Georgia</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1998</w:t>
            </w:r>
          </w:p>
        </w:tc>
        <w:tc>
          <w:tcPr>
            <w:tcW w:w="0" w:type="dxa"/>
            <w:vAlign w:val="bottom"/>
          </w:tcPr>
          <w:p>
            <w:pPr>
              <w:spacing w:after="0"/>
              <w:rPr>
                <w:sz w:val="1"/>
                <w:szCs w:val="1"/>
                <w:color w:val="auto"/>
              </w:rPr>
            </w:pPr>
          </w:p>
        </w:tc>
      </w:tr>
      <w:tr>
        <w:trPr>
          <w:trHeight w:val="136"/>
        </w:trPr>
        <w:tc>
          <w:tcPr>
            <w:tcW w:w="2380" w:type="dxa"/>
            <w:vAlign w:val="bottom"/>
            <w:gridSpan w:val="3"/>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Whiteville Correctional</w:t>
            </w:r>
          </w:p>
        </w:tc>
        <w:tc>
          <w:tcPr>
            <w:tcW w:w="120" w:type="dxa"/>
            <w:vAlign w:val="bottom"/>
            <w:shd w:val="clear" w:color="auto" w:fill="CFF0FC"/>
          </w:tcPr>
          <w:p>
            <w:pPr>
              <w:spacing w:after="0"/>
              <w:rPr>
                <w:sz w:val="11"/>
                <w:szCs w:val="11"/>
                <w:color w:val="auto"/>
              </w:rPr>
            </w:pPr>
          </w:p>
        </w:tc>
        <w:tc>
          <w:tcPr>
            <w:tcW w:w="1440" w:type="dxa"/>
            <w:vAlign w:val="bottom"/>
            <w:gridSpan w:val="3"/>
            <w:shd w:val="clear" w:color="auto" w:fill="CFF0FC"/>
          </w:tcPr>
          <w:p>
            <w:pPr>
              <w:jc w:val="center"/>
              <w:ind w:right="320"/>
              <w:spacing w:after="0" w:line="136" w:lineRule="exact"/>
              <w:rPr>
                <w:sz w:val="20"/>
                <w:szCs w:val="20"/>
                <w:color w:val="auto"/>
              </w:rPr>
            </w:pPr>
            <w:r>
              <w:rPr>
                <w:rFonts w:ascii="Times New Roman" w:cs="Times New Roman" w:eastAsia="Times New Roman" w:hAnsi="Times New Roman"/>
                <w:sz w:val="13"/>
                <w:szCs w:val="13"/>
                <w:color w:val="auto"/>
              </w:rPr>
              <w:t>Whiteville,</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51,694</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10,539</w:t>
            </w:r>
          </w:p>
        </w:tc>
        <w:tc>
          <w:tcPr>
            <w:tcW w:w="20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1,855</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60,681</w:t>
            </w:r>
          </w:p>
        </w:tc>
        <w:tc>
          <w:tcPr>
            <w:tcW w:w="22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62,536</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vMerge w:val="restart"/>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(34,680 )</w:t>
            </w: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360" w:type="dxa"/>
            <w:vAlign w:val="bottom"/>
            <w:gridSpan w:val="2"/>
            <w:shd w:val="clear" w:color="auto" w:fill="CFF0FC"/>
          </w:tcPr>
          <w:p>
            <w:pPr>
              <w:ind w:left="100"/>
              <w:spacing w:after="0" w:line="148" w:lineRule="exact"/>
              <w:rPr>
                <w:sz w:val="20"/>
                <w:szCs w:val="20"/>
                <w:color w:val="auto"/>
              </w:rPr>
            </w:pPr>
            <w:r>
              <w:rPr>
                <w:rFonts w:ascii="Times New Roman" w:cs="Times New Roman" w:eastAsia="Times New Roman" w:hAnsi="Times New Roman"/>
                <w:sz w:val="13"/>
                <w:szCs w:val="13"/>
                <w:color w:val="auto"/>
              </w:rPr>
              <w:t>Facility</w:t>
            </w:r>
          </w:p>
        </w:tc>
        <w:tc>
          <w:tcPr>
            <w:tcW w:w="120" w:type="dxa"/>
            <w:vAlign w:val="bottom"/>
            <w:shd w:val="clear" w:color="auto" w:fill="CFF0FC"/>
          </w:tcPr>
          <w:p>
            <w:pPr>
              <w:spacing w:after="0"/>
              <w:rPr>
                <w:sz w:val="12"/>
                <w:szCs w:val="12"/>
                <w:color w:val="auto"/>
              </w:rPr>
            </w:pPr>
          </w:p>
        </w:tc>
        <w:tc>
          <w:tcPr>
            <w:tcW w:w="1440" w:type="dxa"/>
            <w:vAlign w:val="bottom"/>
            <w:gridSpan w:val="3"/>
            <w:shd w:val="clear" w:color="auto" w:fill="CFF0FC"/>
          </w:tcPr>
          <w:p>
            <w:pPr>
              <w:jc w:val="center"/>
              <w:ind w:right="280"/>
              <w:spacing w:after="0" w:line="148" w:lineRule="exact"/>
              <w:rPr>
                <w:sz w:val="20"/>
                <w:szCs w:val="20"/>
                <w:color w:val="auto"/>
              </w:rPr>
            </w:pPr>
            <w:r>
              <w:rPr>
                <w:rFonts w:ascii="Times New Roman" w:cs="Times New Roman" w:eastAsia="Times New Roman" w:hAnsi="Times New Roman"/>
                <w:sz w:val="13"/>
                <w:szCs w:val="13"/>
                <w:color w:val="auto"/>
              </w:rPr>
              <w:t>Tennessee</w:t>
            </w:r>
          </w:p>
        </w:tc>
        <w:tc>
          <w:tcPr>
            <w:tcW w:w="580" w:type="dxa"/>
            <w:vAlign w:val="bottom"/>
            <w:vMerge w:val="continue"/>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90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vMerge w:val="continue"/>
            <w:shd w:val="clear" w:color="auto" w:fill="CFF0FC"/>
          </w:tcPr>
          <w:p>
            <w:pPr>
              <w:spacing w:after="0"/>
              <w:rPr>
                <w:sz w:val="12"/>
                <w:szCs w:val="12"/>
                <w:color w:val="auto"/>
              </w:rPr>
            </w:pPr>
          </w:p>
        </w:tc>
        <w:tc>
          <w:tcPr>
            <w:tcW w:w="840" w:type="dxa"/>
            <w:vAlign w:val="bottom"/>
            <w:shd w:val="clear" w:color="auto" w:fill="CFF0FC"/>
          </w:tcPr>
          <w:p>
            <w:pPr>
              <w:jc w:val="center"/>
              <w:spacing w:after="0" w:line="148" w:lineRule="exact"/>
              <w:rPr>
                <w:sz w:val="20"/>
                <w:szCs w:val="20"/>
                <w:color w:val="auto"/>
              </w:rPr>
            </w:pPr>
            <w:r>
              <w:rPr>
                <w:rFonts w:ascii="Times New Roman" w:cs="Times New Roman" w:eastAsia="Times New Roman" w:hAnsi="Times New Roman"/>
                <w:sz w:val="13"/>
                <w:szCs w:val="13"/>
                <w:color w:val="auto"/>
              </w:rPr>
              <w:t>1998</w:t>
            </w:r>
          </w:p>
        </w:tc>
        <w:tc>
          <w:tcPr>
            <w:tcW w:w="0" w:type="dxa"/>
            <w:vAlign w:val="bottom"/>
          </w:tcPr>
          <w:p>
            <w:pPr>
              <w:spacing w:after="0"/>
              <w:rPr>
                <w:sz w:val="1"/>
                <w:szCs w:val="1"/>
                <w:color w:val="auto"/>
              </w:rPr>
            </w:pPr>
          </w:p>
        </w:tc>
      </w:tr>
      <w:tr>
        <w:trPr>
          <w:trHeight w:val="125"/>
        </w:trPr>
        <w:tc>
          <w:tcPr>
            <w:tcW w:w="2380" w:type="dxa"/>
            <w:vAlign w:val="bottom"/>
            <w:tcBorders>
              <w:top w:val="single" w:sz="8" w:color="CFF0FC"/>
            </w:tcBorders>
            <w:gridSpan w:val="3"/>
          </w:tcPr>
          <w:p>
            <w:pPr>
              <w:ind w:left="20"/>
              <w:spacing w:after="0" w:line="126" w:lineRule="exact"/>
              <w:rPr>
                <w:sz w:val="20"/>
                <w:szCs w:val="20"/>
                <w:color w:val="auto"/>
              </w:rPr>
            </w:pPr>
            <w:r>
              <w:rPr>
                <w:rFonts w:ascii="Times New Roman" w:cs="Times New Roman" w:eastAsia="Times New Roman" w:hAnsi="Times New Roman"/>
                <w:sz w:val="13"/>
                <w:szCs w:val="13"/>
                <w:color w:val="auto"/>
              </w:rPr>
              <w:t>Totals</w:t>
            </w:r>
          </w:p>
        </w:tc>
        <w:tc>
          <w:tcPr>
            <w:tcW w:w="120" w:type="dxa"/>
            <w:vAlign w:val="bottom"/>
            <w:tcBorders>
              <w:top w:val="single" w:sz="8" w:color="CFF0FC"/>
            </w:tcBorders>
          </w:tcPr>
          <w:p>
            <w:pPr>
              <w:spacing w:after="0"/>
              <w:rPr>
                <w:sz w:val="10"/>
                <w:szCs w:val="10"/>
                <w:color w:val="auto"/>
              </w:rPr>
            </w:pPr>
          </w:p>
        </w:tc>
        <w:tc>
          <w:tcPr>
            <w:tcW w:w="116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(1,406,06</w:t>
            </w:r>
          </w:p>
        </w:tc>
        <w:tc>
          <w:tcPr>
            <w:tcW w:w="220" w:type="dxa"/>
            <w:vAlign w:val="bottom"/>
            <w:tcBorders>
              <w:top w:val="single" w:sz="8" w:color="CFF0FC"/>
            </w:tcBorders>
          </w:tcPr>
          <w:p>
            <w:pPr>
              <w:spacing w:after="0"/>
              <w:rPr>
                <w:sz w:val="10"/>
                <w:szCs w:val="10"/>
                <w:color w:val="auto"/>
              </w:rPr>
            </w:pPr>
          </w:p>
        </w:tc>
        <w:tc>
          <w:tcPr>
            <w:tcW w:w="8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6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150,955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$ 2,078,648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$ 1,115,279</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216,688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$ 3,127,450</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3,344,138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2 )</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-222250</wp:posOffset>
            </wp:positionV>
            <wp:extent cx="768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-222250</wp:posOffset>
            </wp:positionV>
            <wp:extent cx="768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-222250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-222250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-222250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-222250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-222250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0" w:name="page141"/>
    <w:bookmarkEnd w:id="14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III - REAL ESTATE ASSETS AND ACCUMULATED DEPRECIATION</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SCHEDULE III - REAL ESTATE ASSETS AND ACCUMULATED DEPRECIATION</w:t>
      </w:r>
    </w:p>
    <w:p>
      <w:pPr>
        <w:spacing w:after="0" w:line="229" w:lineRule="exact"/>
        <w:rPr>
          <w:sz w:val="20"/>
          <w:szCs w:val="20"/>
          <w:color w:val="auto"/>
        </w:rPr>
      </w:pPr>
    </w:p>
    <w:p>
      <w:pPr>
        <w:ind w:left="360" w:hanging="352"/>
        <w:spacing w:after="0"/>
        <w:tabs>
          <w:tab w:leader="none" w:pos="3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cost of properties for federal income tax purposes is approximately $3.7 billion at December 31, 2024.</w:t>
      </w:r>
    </w:p>
    <w:p>
      <w:pPr>
        <w:spacing w:after="0" w:line="27"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Depreciation is calculated using estimated useful lives of depreciable assets up to 50 years for prison facilities.</w:t>
      </w:r>
    </w:p>
    <w:p>
      <w:pPr>
        <w:spacing w:after="0" w:line="9" w:lineRule="exact"/>
        <w:rPr>
          <w:rFonts w:ascii="Times New Roman" w:cs="Times New Roman" w:eastAsia="Times New Roman" w:hAnsi="Times New Roman"/>
          <w:sz w:val="18"/>
          <w:szCs w:val="18"/>
          <w:b w:val="1"/>
          <w:bCs w:val="1"/>
          <w:color w:val="auto"/>
        </w:rPr>
      </w:pPr>
    </w:p>
    <w:p>
      <w:pPr>
        <w:ind w:left="380" w:hanging="372"/>
        <w:spacing w:after="0" w:line="250" w:lineRule="auto"/>
        <w:tabs>
          <w:tab w:leader="none" w:pos="366"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retains title to this asset, which is classified under other real estate assets on the Company's consolidated balance sheets in accordance with ASC 853.</w:t>
      </w:r>
    </w:p>
    <w:p>
      <w:pPr>
        <w:ind w:left="380" w:right="20" w:hanging="372"/>
        <w:spacing w:after="0" w:line="260" w:lineRule="auto"/>
        <w:tabs>
          <w:tab w:leader="none" w:pos="365"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recorded a non-cash impairment during the fourth quarter of 2022 to write down the book value of the Columbine Facility to the estimated fair values assuming uses other than correctional or residential reentry facilities.</w:t>
      </w: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141" w:name="page142"/>
    <w:bookmarkEnd w:id="14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III - REAL ESTATE ASSETS AND ACCUMULATED DEPRECIATION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60" w:type="dxa"/>
            <w:vAlign w:val="bottom"/>
            <w:gridSpan w:val="8"/>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0"/>
        </w:trPr>
        <w:tc>
          <w:tcPr>
            <w:tcW w:w="114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 Real Estate:</w:t>
            </w: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3,323,411</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3,288,714</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3,352,942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through capital expenditures</w:t>
            </w: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32,346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46,773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41,449</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(4,241 )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Disposals/Other</w:t>
            </w: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(11,619 )</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(12,076 )</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(101,436 )</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3,344,138</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3,323,411</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3,288,714</w:t>
            </w:r>
          </w:p>
        </w:tc>
        <w:tc>
          <w:tcPr>
            <w:tcW w:w="100" w:type="dxa"/>
            <w:vAlign w:val="bottom"/>
            <w:tcBorders>
              <w:top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Accumulated Depreciation:</w:t>
            </w:r>
          </w:p>
        </w:tc>
        <w:tc>
          <w:tcPr>
            <w:tcW w:w="1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(1,324,581 )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(1,244,044 )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(1,194,051 )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(84,386 )</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(82,780 )</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(81,937 )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Disposals/Other</w:t>
            </w:r>
          </w:p>
        </w:tc>
        <w:tc>
          <w:tcPr>
            <w:tcW w:w="1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(1,406,062 )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(1,324,581 )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(1,244,044 )</w:t>
            </w:r>
          </w:p>
        </w:tc>
        <w:tc>
          <w:tcPr>
            <w:tcW w:w="1120" w:type="dxa"/>
            <w:vAlign w:val="bottom"/>
          </w:tcPr>
          <w:p>
            <w:pPr>
              <w:spacing w:after="0"/>
              <w:rPr>
                <w:sz w:val="21"/>
                <w:szCs w:val="21"/>
                <w:color w:val="auto"/>
              </w:rPr>
            </w:pPr>
          </w:p>
        </w:tc>
      </w:tr>
      <w:tr>
        <w:trPr>
          <w:trHeight w:val="844"/>
        </w:trPr>
        <w:tc>
          <w:tcPr>
            <w:tcW w:w="1140" w:type="dxa"/>
            <w:vAlign w:val="bottom"/>
          </w:tcPr>
          <w:p>
            <w:pPr>
              <w:spacing w:after="0"/>
              <w:rPr>
                <w:sz w:val="24"/>
                <w:szCs w:val="24"/>
                <w:color w:val="auto"/>
              </w:rPr>
            </w:pPr>
          </w:p>
        </w:tc>
        <w:tc>
          <w:tcPr>
            <w:tcW w:w="3560" w:type="dxa"/>
            <w:vAlign w:val="bottom"/>
            <w:tcBorders>
              <w:top w:val="single" w:sz="8" w:color="CFF0FC"/>
            </w:tcBorders>
          </w:tcPr>
          <w:p>
            <w:pPr>
              <w:spacing w:after="0"/>
              <w:rPr>
                <w:sz w:val="24"/>
                <w:szCs w:val="24"/>
                <w:color w:val="auto"/>
              </w:rPr>
            </w:pPr>
          </w:p>
        </w:tc>
        <w:tc>
          <w:tcPr>
            <w:tcW w:w="1680" w:type="dxa"/>
            <w:vAlign w:val="bottom"/>
            <w:tcBorders>
              <w:top w:val="single" w:sz="8" w:color="CFF0FC"/>
            </w:tcBorders>
          </w:tcPr>
          <w:p>
            <w:pPr>
              <w:ind w:left="760"/>
              <w:spacing w:after="0"/>
              <w:rPr>
                <w:sz w:val="20"/>
                <w:szCs w:val="20"/>
                <w:color w:val="auto"/>
              </w:rPr>
            </w:pPr>
            <w:r>
              <w:rPr>
                <w:rFonts w:ascii="Times New Roman" w:cs="Times New Roman" w:eastAsia="Times New Roman" w:hAnsi="Times New Roman"/>
                <w:sz w:val="18"/>
                <w:szCs w:val="18"/>
                <w:color w:val="auto"/>
              </w:rPr>
              <w:t>F-43</w:t>
            </w: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-1936750</wp:posOffset>
            </wp:positionV>
            <wp:extent cx="596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-1936750</wp:posOffset>
            </wp:positionV>
            <wp:extent cx="6032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-1936750</wp:posOffset>
            </wp:positionV>
            <wp:extent cx="596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-1070610</wp:posOffset>
            </wp:positionV>
            <wp:extent cx="596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-1053465</wp:posOffset>
            </wp:positionV>
            <wp:extent cx="596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-1070610</wp:posOffset>
            </wp:positionV>
            <wp:extent cx="603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-1053465</wp:posOffset>
            </wp:positionV>
            <wp:extent cx="603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-1070610</wp:posOffset>
            </wp:positionV>
            <wp:extent cx="596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-1053465</wp:posOffset>
            </wp:positionV>
            <wp:extent cx="596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CoreCivic, Inc.</w:t>
      </w:r>
    </w:p>
    <w:p>
      <w:pPr>
        <w:spacing w:after="0" w:line="2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Second Amended and Restated Insider Trading Guidelines (the “Guidelines”)</w:t>
      </w:r>
    </w:p>
    <w:p>
      <w:pPr>
        <w:spacing w:after="0" w:line="2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Effective December 12, 2024</w:t>
      </w:r>
    </w:p>
    <w:p>
      <w:pPr>
        <w:spacing w:after="0" w:line="210" w:lineRule="exact"/>
        <w:rPr>
          <w:sz w:val="20"/>
          <w:szCs w:val="20"/>
          <w:color w:val="auto"/>
        </w:rPr>
      </w:pPr>
    </w:p>
    <w:p>
      <w:pPr>
        <w:jc w:val="both"/>
        <w:ind w:right="80" w:firstLine="749"/>
        <w:spacing w:after="0" w:line="239" w:lineRule="auto"/>
        <w:rPr>
          <w:sz w:val="20"/>
          <w:szCs w:val="20"/>
          <w:color w:val="auto"/>
        </w:rPr>
      </w:pPr>
      <w:r>
        <w:rPr>
          <w:rFonts w:ascii="Times New Roman" w:cs="Times New Roman" w:eastAsia="Times New Roman" w:hAnsi="Times New Roman"/>
          <w:sz w:val="22"/>
          <w:szCs w:val="22"/>
          <w:color w:val="auto"/>
        </w:rPr>
        <w:t>CoreCivic, Inc., a Maryland corporation, and its subsidiaries (the “Company” or “CoreCivic”) has adopted these Guidelines with respect to insider trading and the disclosure of material nonpublic information concerning CoreCivic and other companies with which CoreCivic does business. These Guidelines supersede any previous Company policy concerning insider trading restrictions applicable to CoreCivic employees, officers and directors.</w:t>
      </w:r>
    </w:p>
    <w:p>
      <w:pPr>
        <w:spacing w:after="0" w:line="176" w:lineRule="exact"/>
        <w:rPr>
          <w:sz w:val="20"/>
          <w:szCs w:val="20"/>
          <w:color w:val="auto"/>
        </w:rPr>
      </w:pPr>
    </w:p>
    <w:p>
      <w:pPr>
        <w:ind w:left="760" w:hanging="752"/>
        <w:spacing w:after="0"/>
        <w:tabs>
          <w:tab w:leader="none" w:pos="76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 and Cautionary Statement</w:t>
      </w:r>
    </w:p>
    <w:p>
      <w:pPr>
        <w:spacing w:after="0" w:line="210" w:lineRule="exact"/>
        <w:rPr>
          <w:sz w:val="20"/>
          <w:szCs w:val="20"/>
          <w:color w:val="auto"/>
        </w:rPr>
      </w:pPr>
    </w:p>
    <w:p>
      <w:pPr>
        <w:jc w:val="both"/>
        <w:ind w:right="80" w:firstLine="749"/>
        <w:spacing w:after="0" w:line="258" w:lineRule="auto"/>
        <w:rPr>
          <w:sz w:val="20"/>
          <w:szCs w:val="20"/>
          <w:color w:val="auto"/>
        </w:rPr>
      </w:pPr>
      <w:r>
        <w:rPr>
          <w:rFonts w:ascii="Times New Roman" w:cs="Times New Roman" w:eastAsia="Times New Roman" w:hAnsi="Times New Roman"/>
          <w:sz w:val="22"/>
          <w:szCs w:val="22"/>
          <w:color w:val="auto"/>
        </w:rPr>
        <w:t>These Guidelines are designed to prevent insider trading or allegations of insider trading by CoreCivic employees, officers and directors, and to protect our reputation for integrity and ethical conduct.</w:t>
      </w:r>
    </w:p>
    <w:p>
      <w:pPr>
        <w:spacing w:after="0" w:line="185" w:lineRule="exact"/>
        <w:rPr>
          <w:sz w:val="20"/>
          <w:szCs w:val="20"/>
          <w:color w:val="auto"/>
        </w:rPr>
      </w:pPr>
    </w:p>
    <w:p>
      <w:pPr>
        <w:jc w:val="both"/>
        <w:ind w:right="80" w:firstLine="749"/>
        <w:spacing w:after="0" w:line="238" w:lineRule="auto"/>
        <w:rPr>
          <w:sz w:val="20"/>
          <w:szCs w:val="20"/>
          <w:color w:val="auto"/>
        </w:rPr>
      </w:pPr>
      <w:r>
        <w:rPr>
          <w:rFonts w:ascii="Times New Roman" w:cs="Times New Roman" w:eastAsia="Times New Roman" w:hAnsi="Times New Roman"/>
          <w:sz w:val="22"/>
          <w:szCs w:val="22"/>
          <w:color w:val="auto"/>
        </w:rPr>
        <w:t>Federal and state securities laws prohibit trading in a Company’s securities by persons who are aware of material information that is not generally known to or available to the public. These laws also prohibit persons who are aware of such material nonpublic information from disclosing this information (“tipping”) to others who may trade or advise others to trade. Companies and their controlling persons also are subject to liability if they fail to take reasonable steps to prevent insider trading by company personnel.</w:t>
      </w:r>
    </w:p>
    <w:p>
      <w:pPr>
        <w:spacing w:after="0" w:line="217" w:lineRule="exact"/>
        <w:rPr>
          <w:sz w:val="20"/>
          <w:szCs w:val="20"/>
          <w:color w:val="auto"/>
        </w:rPr>
      </w:pPr>
    </w:p>
    <w:p>
      <w:pPr>
        <w:jc w:val="both"/>
        <w:ind w:right="80" w:firstLine="749"/>
        <w:spacing w:after="0" w:line="258" w:lineRule="auto"/>
        <w:rPr>
          <w:sz w:val="20"/>
          <w:szCs w:val="20"/>
          <w:color w:val="auto"/>
        </w:rPr>
      </w:pPr>
      <w:r>
        <w:rPr>
          <w:rFonts w:ascii="Times New Roman" w:cs="Times New Roman" w:eastAsia="Times New Roman" w:hAnsi="Times New Roman"/>
          <w:sz w:val="22"/>
          <w:szCs w:val="22"/>
          <w:color w:val="auto"/>
        </w:rPr>
        <w:t>Potential penalties that could apply to you and/or CoreCivic if you engage in insider trading or “tipping” include the following:</w:t>
      </w:r>
    </w:p>
    <w:p>
      <w:pPr>
        <w:spacing w:after="0" w:line="199" w:lineRule="exact"/>
        <w:rPr>
          <w:sz w:val="20"/>
          <w:szCs w:val="20"/>
          <w:color w:val="auto"/>
        </w:rPr>
      </w:pPr>
    </w:p>
    <w:p>
      <w:pPr>
        <w:jc w:val="both"/>
        <w:ind w:left="1120" w:right="80" w:hanging="363"/>
        <w:spacing w:after="0" w:line="244" w:lineRule="auto"/>
        <w:tabs>
          <w:tab w:leader="none" w:pos="11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Civil and Criminal Penalties.</w:t>
      </w:r>
      <w:r>
        <w:rPr>
          <w:rFonts w:ascii="Times New Roman" w:cs="Times New Roman" w:eastAsia="Times New Roman" w:hAnsi="Times New Roman"/>
          <w:sz w:val="22"/>
          <w:szCs w:val="22"/>
          <w:color w:val="auto"/>
        </w:rPr>
        <w:t xml:space="preserve"> Potential penalties for insider trading violations include (i) imprisonment for up to 20 years, (ii) criminal fines of up to $5 million, and (iii) civil fines of up to three times the profit gained or loss avoided.</w:t>
      </w:r>
    </w:p>
    <w:p>
      <w:pPr>
        <w:spacing w:after="0" w:line="186" w:lineRule="exact"/>
        <w:rPr>
          <w:rFonts w:ascii="Times New Roman" w:cs="Times New Roman" w:eastAsia="Times New Roman" w:hAnsi="Times New Roman"/>
          <w:sz w:val="22"/>
          <w:szCs w:val="22"/>
          <w:color w:val="auto"/>
        </w:rPr>
      </w:pPr>
    </w:p>
    <w:p>
      <w:pPr>
        <w:jc w:val="both"/>
        <w:ind w:left="1120" w:right="80" w:hanging="363"/>
        <w:spacing w:after="0" w:line="238" w:lineRule="auto"/>
        <w:tabs>
          <w:tab w:leader="none" w:pos="11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Controlling Person Liability.</w:t>
      </w:r>
      <w:r>
        <w:rPr>
          <w:rFonts w:ascii="Times New Roman" w:cs="Times New Roman" w:eastAsia="Times New Roman" w:hAnsi="Times New Roman"/>
          <w:sz w:val="22"/>
          <w:szCs w:val="22"/>
          <w:color w:val="auto"/>
        </w:rPr>
        <w:t xml:space="preserve"> If CoreCivic fails to take appropriate steps to prevent illegal insider trading, CoreCivic may have “controlling person” liability for a trading violation, with civil penalties up to a greater of $1 million and three times the profit gained or loss avoided, as well as criminal liability of up to $25 million. The civil penalties can extend personal liability to CoreCivic’s directors, officers and other supervisory personnel if they fail to take appropriate steps to prevent insider trading.</w:t>
      </w:r>
    </w:p>
    <w:p>
      <w:pPr>
        <w:spacing w:after="0" w:line="203" w:lineRule="exact"/>
        <w:rPr>
          <w:rFonts w:ascii="Times New Roman" w:cs="Times New Roman" w:eastAsia="Times New Roman" w:hAnsi="Times New Roman"/>
          <w:sz w:val="22"/>
          <w:szCs w:val="22"/>
          <w:color w:val="auto"/>
        </w:rPr>
      </w:pPr>
    </w:p>
    <w:p>
      <w:pPr>
        <w:jc w:val="both"/>
        <w:ind w:left="1120" w:right="80" w:hanging="363"/>
        <w:spacing w:after="0" w:line="239" w:lineRule="auto"/>
        <w:tabs>
          <w:tab w:leader="none" w:pos="11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Sanctions.</w:t>
      </w:r>
      <w:r>
        <w:rPr>
          <w:rFonts w:ascii="Times New Roman" w:cs="Times New Roman" w:eastAsia="Times New Roman" w:hAnsi="Times New Roman"/>
          <w:sz w:val="22"/>
          <w:szCs w:val="22"/>
          <w:color w:val="auto"/>
        </w:rPr>
        <w:t xml:space="preserve"> Violation of these Guidelines or federal or state insider trading or tipping laws by any individual may, in the case of a director, subject the director to dismissal proceedings and, in the case of an officer or employee, subject the officer or employee to disciplinary action by the Company including termination for cause.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3" w:name="page144"/>
    <w:bookmarkEnd w:id="143"/>
    <w:p>
      <w:pPr>
        <w:spacing w:after="0" w:line="180" w:lineRule="exact"/>
        <w:rPr>
          <w:sz w:val="20"/>
          <w:szCs w:val="20"/>
          <w:color w:val="auto"/>
        </w:rPr>
      </w:pPr>
    </w:p>
    <w:p>
      <w:pPr>
        <w:jc w:val="both"/>
        <w:ind w:right="80"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Remember, ultimately it is </w:t>
      </w:r>
      <w:r>
        <w:rPr>
          <w:rFonts w:ascii="Times New Roman" w:cs="Times New Roman" w:eastAsia="Times New Roman" w:hAnsi="Times New Roman"/>
          <w:sz w:val="22"/>
          <w:szCs w:val="22"/>
          <w:b w:val="1"/>
          <w:bCs w:val="1"/>
          <w:u w:val="single" w:color="auto"/>
          <w:color w:val="auto"/>
        </w:rPr>
        <w:t>your</w:t>
      </w:r>
      <w:r>
        <w:rPr>
          <w:rFonts w:ascii="Times New Roman" w:cs="Times New Roman" w:eastAsia="Times New Roman" w:hAnsi="Times New Roman"/>
          <w:sz w:val="22"/>
          <w:szCs w:val="22"/>
          <w:b w:val="1"/>
          <w:bCs w:val="1"/>
          <w:color w:val="auto"/>
        </w:rPr>
        <w:t xml:space="preserve"> obligation to understand and comply with these Guidelines and the laws and regulations concerning insider trading. You are encouraged to exercise caution. Questions concerning these Guidelines should be directed to the persons identified in Section II below. In addition, you should consult your legal and financial advisors as needed. Any action on the part of the Company, the Compliance Officer (or his or her designee) or any other employee or any director pursuant to this policy (or otherwise) does not constitute legal advice or insulate a person from liability under applicable securities laws.</w:t>
      </w:r>
    </w:p>
    <w:p>
      <w:pPr>
        <w:spacing w:after="0" w:line="189" w:lineRule="exact"/>
        <w:rPr>
          <w:sz w:val="20"/>
          <w:szCs w:val="20"/>
          <w:color w:val="auto"/>
        </w:rPr>
      </w:pPr>
    </w:p>
    <w:p>
      <w:pPr>
        <w:ind w:left="760" w:hanging="752"/>
        <w:spacing w:after="0"/>
        <w:tabs>
          <w:tab w:leader="none" w:pos="76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Scope</w:t>
      </w:r>
    </w:p>
    <w:p>
      <w:pPr>
        <w:spacing w:after="0" w:line="210"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Persons Covered.</w:t>
      </w:r>
      <w:r>
        <w:rPr>
          <w:rFonts w:ascii="Times New Roman" w:cs="Times New Roman" w:eastAsia="Times New Roman" w:hAnsi="Times New Roman"/>
          <w:sz w:val="22"/>
          <w:szCs w:val="22"/>
          <w:color w:val="auto"/>
        </w:rPr>
        <w:t xml:space="preserve"> Each provision of these Guidelines applies to:</w:t>
      </w:r>
    </w:p>
    <w:p>
      <w:pPr>
        <w:spacing w:after="0" w:line="219" w:lineRule="exact"/>
        <w:rPr>
          <w:rFonts w:ascii="Times New Roman" w:cs="Times New Roman" w:eastAsia="Times New Roman" w:hAnsi="Times New Roman"/>
          <w:sz w:val="22"/>
          <w:szCs w:val="22"/>
          <w:b w:val="1"/>
          <w:bCs w:val="1"/>
          <w:color w:val="auto"/>
        </w:rPr>
      </w:pPr>
    </w:p>
    <w:p>
      <w:pPr>
        <w:ind w:left="1140" w:hanging="383"/>
        <w:spacing w:after="0"/>
        <w:tabs>
          <w:tab w:leader="none" w:pos="114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officers and directors of the Company;</w:t>
      </w:r>
    </w:p>
    <w:p>
      <w:pPr>
        <w:spacing w:after="0" w:line="219"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Related Parties; and</w:t>
      </w:r>
    </w:p>
    <w:p>
      <w:pPr>
        <w:spacing w:after="0" w:line="219" w:lineRule="exact"/>
        <w:rPr>
          <w:rFonts w:ascii="Times New Roman" w:cs="Times New Roman" w:eastAsia="Times New Roman" w:hAnsi="Times New Roman"/>
          <w:sz w:val="22"/>
          <w:szCs w:val="22"/>
          <w:color w:val="auto"/>
        </w:rPr>
      </w:pPr>
    </w:p>
    <w:p>
      <w:pPr>
        <w:ind w:left="1140" w:right="180" w:hanging="383"/>
        <w:spacing w:after="0" w:line="258" w:lineRule="auto"/>
        <w:tabs>
          <w:tab w:leader="none" w:pos="114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anyone else designated by the Company, such as contractors or consultants, who have access to material nonpublic information.</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When these Guidelines refer to “you”, the Company means you and each of your Related Parties. Related Parties means (i) members of your immediate family with whom you share a household; (ii) other persons with whom you share a household; (iii) family members who do not share a household with you but whose transactions in securities are directed by you or are subject to your influence or control (such as parents or children who consult with you before they trade in securities); and (iv) any entities controlled by you.</w:t>
      </w:r>
    </w:p>
    <w:p>
      <w:pPr>
        <w:spacing w:after="0" w:line="19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You are responsible for the compliance with this policy by your Related Parties, and as such, you should make sure that each Related Party is aware of the need to confer with the insider before they engage in transactions in “securities” of CoreCivic.</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Securities and Transactions Covered.</w:t>
      </w:r>
      <w:r>
        <w:rPr>
          <w:rFonts w:ascii="Times New Roman" w:cs="Times New Roman" w:eastAsia="Times New Roman" w:hAnsi="Times New Roman"/>
          <w:sz w:val="22"/>
          <w:szCs w:val="22"/>
          <w:color w:val="auto"/>
        </w:rPr>
        <w:t xml:space="preserve"> These Guidelines prohibit certain transactions in the “securities” of CoreCivic. Although it is usually the case that the information you gain will be material with respect to CoreCivic common stock, any securities CoreCivic issues, such as debt securities or preferred stock, also are subject to these Guidelines. The scope of these Guidelines with respect to certain specific types of securities and transactions, including stock options, 401(k) plan transactions, derivative securities and hedging transactions, is discussed further in Section VI below.</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Securities of Other Companies.</w:t>
      </w:r>
      <w:r>
        <w:rPr>
          <w:rFonts w:ascii="Times New Roman" w:cs="Times New Roman" w:eastAsia="Times New Roman" w:hAnsi="Times New Roman"/>
          <w:sz w:val="22"/>
          <w:szCs w:val="22"/>
          <w:color w:val="auto"/>
        </w:rPr>
        <w:t xml:space="preserve"> While these Guidelines focus primarily on trading in CoreCivic securities, it also prohibits trading in securities of any other public company about which you learn material nonpublic information in the course of performing your duties for CoreCivic. While in possession or material nonpublic information about any other public company gained in the course of employment with the Company, you may not (a) trade in the securities of the other public company, (b) “tip” or disclose such material nonpublic information concerning the other public company to anyone, or (c) give trading advice of any kinds to anyone concerning the other public company.</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80" w:lineRule="exact"/>
        <w:rPr>
          <w:sz w:val="20"/>
          <w:szCs w:val="20"/>
          <w:color w:val="auto"/>
        </w:rPr>
      </w:pPr>
    </w:p>
    <w:p>
      <w:pPr>
        <w:ind w:left="760" w:hanging="752"/>
        <w:spacing w:after="0"/>
        <w:tabs>
          <w:tab w:leader="none" w:pos="7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Groups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purposes of these Guidelines, each CoreCivic employee, officer and director will be categorized into one of three groups. Different restrictions apply to each group. You will be notified regarding the group into which you are placed initially and if at any time you are placed into a different group.</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following is a summary of the restrictions that apply to each group under these Guidelines: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Group 1</w:t>
      </w:r>
      <w:r>
        <w:rPr>
          <w:rFonts w:ascii="Times New Roman" w:cs="Times New Roman" w:eastAsia="Times New Roman" w:hAnsi="Times New Roman"/>
          <w:sz w:val="22"/>
          <w:szCs w:val="22"/>
          <w:color w:val="auto"/>
        </w:rPr>
        <w:t xml:space="preserve"> -- Most employees are in Group 1. Members of Group 1 are required to comply with the restrictions on (1) trading in securities while in possession of material nonpublic information (“insider trading”), as described in Section IV, and (2) disclosing material nonpublic information to others (“tipping”), as described in Section V.</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Group 2</w:t>
      </w:r>
      <w:r>
        <w:rPr>
          <w:rFonts w:ascii="Times New Roman" w:cs="Times New Roman" w:eastAsia="Times New Roman" w:hAnsi="Times New Roman"/>
          <w:sz w:val="22"/>
          <w:szCs w:val="22"/>
          <w:color w:val="auto"/>
        </w:rPr>
        <w:t xml:space="preserve"> -- Certain of our managers and other employees are in Group 2. In addition to the general prohibitions against insider trading and tipping applicable to Group 1, members of Group 2 may only engage in transactions of CoreCivic securities during designated trading windows and also may be prohibited from trading during certain special “blackout” periods.</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Group 3</w:t>
      </w:r>
      <w:r>
        <w:rPr>
          <w:rFonts w:ascii="Times New Roman" w:cs="Times New Roman" w:eastAsia="Times New Roman" w:hAnsi="Times New Roman"/>
          <w:sz w:val="22"/>
          <w:szCs w:val="22"/>
          <w:color w:val="auto"/>
        </w:rPr>
        <w:t xml:space="preserve"> -- Members of our board of directors and our “executive officers” for purposes of Section 16 of the Securities Exchange Act of 1934 (the “Exchange Act”) are in Group 3. Members of Group 3 are subject to the trading window restrictions that apply to Group 2 as well as pre-clearance requirements described in these Guidelines that are designed to ensure compliance with Section 16’s reporting requirements.</w:t>
      </w:r>
    </w:p>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Insider Trading Prohibited</w:t>
      </w:r>
    </w:p>
    <w:p>
      <w:pPr>
        <w:spacing w:after="0" w:line="19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xml:space="preserve"> You may not buy, sell or otherwise transact in (including gifting of) CoreCivic securities, directly or through family members or other persons or entities, while you are in possession of material nonpublic information concerning CoreCivic. Similarly, you may not trade in the securities of any other publicly traded company if you are aware of material nonpublic information about that company that you obtained in the course of your employment with CoreCivic.</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Material Nonpublic Information Defined.</w:t>
      </w:r>
      <w:r>
        <w:rPr>
          <w:rFonts w:ascii="Times New Roman" w:cs="Times New Roman" w:eastAsia="Times New Roman" w:hAnsi="Times New Roman"/>
          <w:sz w:val="22"/>
          <w:szCs w:val="22"/>
          <w:color w:val="auto"/>
        </w:rPr>
        <w:t xml:space="preserve"> Inside information has two important elements: materiality and public availability. Information is “material” if a reasonable investor would consider it important in making a decision on whether to buy, sell or hold the security. Any information that could reasonably be expected to affect the price of the security is material. Information may be material whether it is favorable or unfavorable.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Common examples of material information include but are not limited to:</w:t>
      </w:r>
    </w:p>
    <w:p>
      <w:pPr>
        <w:spacing w:after="0" w:line="220" w:lineRule="exact"/>
        <w:rPr>
          <w:sz w:val="20"/>
          <w:szCs w:val="20"/>
          <w:color w:val="auto"/>
        </w:rPr>
      </w:pPr>
    </w:p>
    <w:p>
      <w:pPr>
        <w:ind w:left="1140" w:hanging="383"/>
        <w:spacing w:after="0" w:line="258" w:lineRule="auto"/>
        <w:tabs>
          <w:tab w:leader="none" w:pos="11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earnings that are inconsistent with the consensus expectations of the market;</w:t>
      </w:r>
    </w:p>
    <w:p>
      <w:pPr>
        <w:spacing w:after="0" w:line="171"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performance, especially quarterly and year-end earnings or significant changes in financial performance or liquidity;</w:t>
      </w:r>
    </w:p>
    <w:p>
      <w:pPr>
        <w:spacing w:after="0" w:line="185"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joint venture, merger or acquisition or disposition of significant assets;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98" w:lineRule="exact"/>
        <w:rPr>
          <w:sz w:val="20"/>
          <w:szCs w:val="20"/>
          <w:color w:val="auto"/>
        </w:rPr>
      </w:pPr>
    </w:p>
    <w:p>
      <w:pPr>
        <w:ind w:left="1140" w:hanging="383"/>
        <w:spacing w:after="0"/>
        <w:tabs>
          <w:tab w:leader="none" w:pos="11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legislation or regulations;</w:t>
      </w:r>
    </w:p>
    <w:p>
      <w:pPr>
        <w:spacing w:after="0" w:line="23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or developments in products or product lines or technologies;</w:t>
      </w:r>
    </w:p>
    <w:p>
      <w:pPr>
        <w:spacing w:after="0" w:line="219"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senior management;</w:t>
      </w:r>
    </w:p>
    <w:p>
      <w:pPr>
        <w:spacing w:after="0" w:line="219"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accounting developments such as the change in the Company’s auditor or auditor notification that the Company may no longer rely on an auditor report;</w:t>
      </w:r>
    </w:p>
    <w:p>
      <w:pPr>
        <w:spacing w:after="0" w:line="171"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or threatened major litigation, or the resolution of such litigation;</w:t>
      </w:r>
    </w:p>
    <w:p>
      <w:pPr>
        <w:spacing w:after="0" w:line="219"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events regarding our securities, such as declaration of a dividend, stock split or the offering of additional securities;</w:t>
      </w:r>
    </w:p>
    <w:p>
      <w:pPr>
        <w:spacing w:after="0" w:line="171"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breaches of information technology systems or other events impacting cybersecurity;</w:t>
      </w:r>
    </w:p>
    <w:p>
      <w:pPr>
        <w:spacing w:after="0" w:line="23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imminent change in the Company’s credit rating by a rating agency;</w:t>
      </w:r>
    </w:p>
    <w:p>
      <w:pPr>
        <w:spacing w:after="0" w:line="219"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bank borrowings or any significant financing transaction (including an offering of stock or debt securities);</w:t>
      </w:r>
    </w:p>
    <w:p>
      <w:pPr>
        <w:spacing w:after="0" w:line="171"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compensation policy;</w:t>
      </w:r>
    </w:p>
    <w:p>
      <w:pPr>
        <w:spacing w:after="0" w:line="219"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Liquidity concerns;</w:t>
      </w:r>
    </w:p>
    <w:p>
      <w:pPr>
        <w:spacing w:after="0" w:line="219"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contents of forthcoming publications that may affect the market price of the Company’s securities; and</w:t>
      </w:r>
    </w:p>
    <w:p>
      <w:pPr>
        <w:spacing w:after="0" w:line="219"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major contracts, orders, suppliers, customers or finance sources, or the loss thereof.</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Because trading that receives scrutiny will be evaluated after the fact with the benefit of hindsight, questions concerning the materiality of particular information should be resolved in favor of materiality and trading should be avoided if there is any question as to the materiality of the information.</w:t>
      </w:r>
    </w:p>
    <w:p>
      <w:pPr>
        <w:spacing w:after="0" w:line="17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Information is “nonpublic” if it is not generally known or available to the public. Note that information does not lose its nonpublic status immediately upon issuance of a press release or filing with the Securities and Exchange Commission (the “SEC”). Rather, information is considered to be available to the public only after it has been:</w:t>
      </w:r>
    </w:p>
    <w:p>
      <w:pPr>
        <w:spacing w:after="0" w:line="187" w:lineRule="exact"/>
        <w:rPr>
          <w:sz w:val="20"/>
          <w:szCs w:val="20"/>
          <w:color w:val="auto"/>
        </w:rPr>
      </w:pPr>
    </w:p>
    <w:p>
      <w:pPr>
        <w:ind w:left="1140" w:hanging="383"/>
        <w:spacing w:after="0" w:line="258" w:lineRule="auto"/>
        <w:tabs>
          <w:tab w:leader="none" w:pos="11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published in such a way as to provide broad, non-exclusionary distribution of the information to the public, such as through a press release or SEC filing; and</w:t>
      </w:r>
    </w:p>
    <w:p>
      <w:pPr>
        <w:spacing w:after="0" w:line="131"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investing public has had time to absorb the information fully, at which time the information could be expected to be reflected in the price of the related securities.</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As a general rule, information is considered nonpublic until the expiration of a period of </w:t>
      </w:r>
      <w:r>
        <w:rPr>
          <w:rFonts w:ascii="Times New Roman" w:cs="Times New Roman" w:eastAsia="Times New Roman" w:hAnsi="Times New Roman"/>
          <w:sz w:val="22"/>
          <w:szCs w:val="22"/>
          <w:u w:val="single" w:color="auto"/>
          <w:color w:val="auto"/>
        </w:rPr>
        <w:t>two (2) full trading days</w:t>
      </w:r>
      <w:r>
        <w:rPr>
          <w:rFonts w:ascii="Times New Roman" w:cs="Times New Roman" w:eastAsia="Times New Roman" w:hAnsi="Times New Roman"/>
          <w:sz w:val="22"/>
          <w:szCs w:val="22"/>
          <w:color w:val="auto"/>
        </w:rPr>
        <w:t xml:space="preserve"> after the information is released to the general public.</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80"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If you are unsure whether the information that you possess is material or nonpublic, you should consult the Compliance Officer for guidance before trading in any Company securities.</w:t>
      </w:r>
    </w:p>
    <w:p>
      <w:pPr>
        <w:spacing w:after="0" w:line="150" w:lineRule="exact"/>
        <w:rPr>
          <w:sz w:val="20"/>
          <w:szCs w:val="20"/>
          <w:color w:val="auto"/>
        </w:rPr>
      </w:pPr>
    </w:p>
    <w:p>
      <w:pPr>
        <w:ind w:left="760" w:hanging="752"/>
        <w:spacing w:after="0"/>
        <w:tabs>
          <w:tab w:leader="none" w:pos="76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Unauthorized Disclosure of Material Nonpublic Information Prohibited</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xml:space="preserve"> You may not disclose material nonpublic information about CoreCivic or any company with which CoreCivic deals to anyone outside CoreCivic or recommend to anyone the purchase, sale, or other transaction involving any securities when you are aware of such information.</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Tipping.</w:t>
      </w:r>
      <w:r>
        <w:rPr>
          <w:rFonts w:ascii="Times New Roman" w:cs="Times New Roman" w:eastAsia="Times New Roman" w:hAnsi="Times New Roman"/>
          <w:sz w:val="22"/>
          <w:szCs w:val="22"/>
          <w:color w:val="auto"/>
        </w:rPr>
        <w:t xml:space="preserve"> You can be held responsible not only for your own insider trading, but also for providing material nonpublic information to another person who may trade or advise others to trade on the basis of that information, a practice known as “tipping.” Even if those to whom you disclose such information do not trade while aware of the information, you can be responsible for the trades of persons who received material nonpublic information indirectly from you if you are the ultimate source of their information. Tipping is subject to the same civil and criminal penalties that apply to insider trading, even though you did not trade and did not gain any benefit from another’s trading.</w:t>
      </w:r>
    </w:p>
    <w:p>
      <w:pPr>
        <w:spacing w:after="0" w:line="18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Discussing or Recommending CoreCivic Securities.</w:t>
      </w:r>
      <w:r>
        <w:rPr>
          <w:rFonts w:ascii="Times New Roman" w:cs="Times New Roman" w:eastAsia="Times New Roman" w:hAnsi="Times New Roman"/>
          <w:sz w:val="22"/>
          <w:szCs w:val="22"/>
          <w:color w:val="auto"/>
        </w:rPr>
        <w:t xml:space="preserve"> You should use extreme caution when discussing CoreCivic securities with anyone outside CoreCivic and should not recommend the purchase, sale, or other transaction involving CoreCivic securities. Making recommendations can easily result in accidental disclosure of material nonpublic information or be viewed as tipping. Likewise, recommendations can also result in embarrassing situations for you or CoreCivic if you make a recommendation at a time when there is a pending announcement of material nonpublic information, even if you are unaware of that information.</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Dissemination of Information within CoreCivic.</w:t>
      </w:r>
      <w:r>
        <w:rPr>
          <w:rFonts w:ascii="Times New Roman" w:cs="Times New Roman" w:eastAsia="Times New Roman" w:hAnsi="Times New Roman"/>
          <w:sz w:val="22"/>
          <w:szCs w:val="22"/>
          <w:color w:val="auto"/>
        </w:rPr>
        <w:t xml:space="preserve"> Even with respect to others subject to these Guidelines, the dissemination of material nonpublic information should be restricted to those having a need to know in order to serve CoreCivic’s interests.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Authorization to Disclose Material Nonpublic Information.</w:t>
      </w:r>
      <w:r>
        <w:rPr>
          <w:rFonts w:ascii="Times New Roman" w:cs="Times New Roman" w:eastAsia="Times New Roman" w:hAnsi="Times New Roman"/>
          <w:sz w:val="22"/>
          <w:szCs w:val="22"/>
          <w:color w:val="auto"/>
        </w:rPr>
        <w:t xml:space="preserve"> CoreCivic authorizes only certain employees, officers and directors to make disclosures of material nonpublic information. Unless you are authorized to do so by senior management, you may not discuss material nonpublic information with anyone outside CoreCivic.</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Non-Disclosure Agreements.</w:t>
      </w:r>
      <w:r>
        <w:rPr>
          <w:rFonts w:ascii="Times New Roman" w:cs="Times New Roman" w:eastAsia="Times New Roman" w:hAnsi="Times New Roman"/>
          <w:sz w:val="22"/>
          <w:szCs w:val="22"/>
          <w:color w:val="auto"/>
        </w:rPr>
        <w:t xml:space="preserve"> Employees, officers and directors involved in transactions, negotiations and ongoing business relationships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vendors and consultants and other service providers) that may result in disclosure of material nonpublic information to a party outside CoreCivic should ensure that such a party is subject to appropriate nondisclosure obligations. You should confer with the General Counsel whenever a nondisclosure agreement is needed.</w:t>
      </w:r>
    </w:p>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color w:val="auto"/>
        </w:rPr>
        <w:t>Status of Certain Transactions under these Guidelines</w:t>
      </w:r>
    </w:p>
    <w:p>
      <w:pPr>
        <w:spacing w:after="0" w:line="19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Transactions Generally Not Covered.</w:t>
      </w:r>
      <w:r>
        <w:rPr>
          <w:rFonts w:ascii="Times New Roman" w:cs="Times New Roman" w:eastAsia="Times New Roman" w:hAnsi="Times New Roman"/>
          <w:sz w:val="22"/>
          <w:szCs w:val="22"/>
          <w:color w:val="auto"/>
        </w:rPr>
        <w:t xml:space="preserve"> Certain transactions that involve or relate to CoreCivic securities generally are not subject to these Guidelines, either because they are deemed not to involve a “purchase” or “sale” under applicable securities laws or because they are subject to a “safe harbor” under such laws. Some of the more common types of such transactions are described below. However, Group 3 members may be required to report some of the transactions discussed below and must provide notification of all transactions in CoreCivic securities according to the procedures described in Section VII and Section VIII.</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309880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8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401(k) Plan Transactions.</w:t>
      </w:r>
      <w:r>
        <w:rPr>
          <w:rFonts w:ascii="Times New Roman" w:cs="Times New Roman" w:eastAsia="Times New Roman" w:hAnsi="Times New Roman"/>
          <w:sz w:val="22"/>
          <w:szCs w:val="22"/>
          <w:color w:val="auto"/>
        </w:rPr>
        <w:t xml:space="preserve"> The trading restrictions in these Guidelines do not apply to your purchases of CoreCivic stock in the CoreCivic 401(k) plan resulting from your periodic contribution of money to the plan pursuant to your payroll deduction election.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the trading restrictions do apply to elections you make under the 401(k) plan to (i) increase or decrease the percentage of your periodic contributions that will be allocated to the CoreCivic stock fund, (ii) make an intra-plan transfer of an existing account balance into or out of the CoreCivic stock fund, (iii) borrow money against your 401(k) plan account if the loan will result in a liquidation of some or all of your CoreCivic stock fund balance, and (iv) pre-pay a plan loan if the pre-payment will result in allocation of loan proceeds to the CoreCivic stock fund.</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Stock Options and Restricted Stock.</w:t>
      </w:r>
      <w:r>
        <w:rPr>
          <w:rFonts w:ascii="Times New Roman" w:cs="Times New Roman" w:eastAsia="Times New Roman" w:hAnsi="Times New Roman"/>
          <w:sz w:val="22"/>
          <w:szCs w:val="22"/>
          <w:color w:val="auto"/>
        </w:rPr>
        <w:t xml:space="preserve"> The receipt and vesting of stock options and shares of restricted stock and, generally, the exercise of stock options for cash are not subject to the restrictions in these Guidelines. You also can engage in stock-for-stock exercises or elect stock withholding without violating the Guidelines.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the trading restrictions do apply to the sale of shares of restricted stock (once the shares have vested and the restrictions have lapsed), the sale of stock acquired on exercise of stock options and the “cashless exercise” of stock options through a broker (as this entails selling a portion of the underlying stock to cover the costs of exercise). In addition, members of Group 3 must pre-clear all stock option exercises and sales of stock acquired upon exercise.</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Dividend Reinvestment Plans.</w:t>
      </w:r>
      <w:r>
        <w:rPr>
          <w:rFonts w:ascii="Times New Roman" w:cs="Times New Roman" w:eastAsia="Times New Roman" w:hAnsi="Times New Roman"/>
          <w:sz w:val="22"/>
          <w:szCs w:val="22"/>
          <w:color w:val="auto"/>
        </w:rPr>
        <w:t xml:space="preserve"> The trading restrictions in these Guidelines do not apply to your purchases of CoreCivic stock resulting from automatic reinvestment of dividends paid on CoreCivic stock pursuant to preexisting elections under a dividend reinvestment plan.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the trading restrictions do apply to changes you make under such plans (including initial elections and changes to elections).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Other Permitted Transactions.</w:t>
      </w:r>
      <w:r>
        <w:rPr>
          <w:rFonts w:ascii="Times New Roman" w:cs="Times New Roman" w:eastAsia="Times New Roman" w:hAnsi="Times New Roman"/>
          <w:sz w:val="22"/>
          <w:szCs w:val="22"/>
          <w:color w:val="auto"/>
        </w:rPr>
        <w:t xml:space="preserve"> Other transactions that generally are not subject to the restrictions set forth in these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Guidelines include:</w:t>
      </w:r>
    </w:p>
    <w:p>
      <w:pPr>
        <w:spacing w:after="0" w:line="196" w:lineRule="exact"/>
        <w:rPr>
          <w:sz w:val="20"/>
          <w:szCs w:val="20"/>
          <w:color w:val="auto"/>
        </w:rPr>
      </w:pPr>
    </w:p>
    <w:p>
      <w:pPr>
        <w:ind w:left="1140" w:hanging="383"/>
        <w:spacing w:after="0" w:line="282" w:lineRule="auto"/>
        <w:tabs>
          <w:tab w:leader="none" w:pos="114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grants and vesting events with respect to other stock related rights (such as stock appreciation rights) under one of CoreCivic’s equity incentive compensation plans, </w:t>
      </w:r>
      <w:r>
        <w:rPr>
          <w:rFonts w:ascii="Times New Roman" w:cs="Times New Roman" w:eastAsia="Times New Roman" w:hAnsi="Times New Roman"/>
          <w:sz w:val="21"/>
          <w:szCs w:val="21"/>
          <w:u w:val="single" w:color="auto"/>
          <w:color w:val="auto"/>
        </w:rPr>
        <w:t>but not</w:t>
      </w:r>
      <w:r>
        <w:rPr>
          <w:rFonts w:ascii="Times New Roman" w:cs="Times New Roman" w:eastAsia="Times New Roman" w:hAnsi="Times New Roman"/>
          <w:sz w:val="21"/>
          <w:szCs w:val="21"/>
          <w:color w:val="auto"/>
        </w:rPr>
        <w:t xml:space="preserve"> the sale of any securities received pursuant to such plans;</w:t>
      </w:r>
    </w:p>
    <w:p>
      <w:pPr>
        <w:spacing w:after="0" w:line="148" w:lineRule="exact"/>
        <w:rPr>
          <w:rFonts w:ascii="Times New Roman" w:cs="Times New Roman" w:eastAsia="Times New Roman" w:hAnsi="Times New Roman"/>
          <w:sz w:val="21"/>
          <w:szCs w:val="21"/>
          <w:color w:val="auto"/>
        </w:rPr>
      </w:pPr>
    </w:p>
    <w:p>
      <w:pPr>
        <w:ind w:left="1140" w:hanging="383"/>
        <w:spacing w:after="0" w:line="258" w:lineRule="auto"/>
        <w:tabs>
          <w:tab w:leader="none" w:pos="11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election to participate or cease participation in a CoreCivic stock purchase plan, if such a plan is available to you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so long as the securities issued through such a plan are not purchased on the open market;</w:t>
      </w:r>
    </w:p>
    <w:p>
      <w:pPr>
        <w:spacing w:after="0" w:line="185" w:lineRule="exact"/>
        <w:rPr>
          <w:rFonts w:ascii="Times New Roman" w:cs="Times New Roman" w:eastAsia="Times New Roman" w:hAnsi="Times New Roman"/>
          <w:sz w:val="22"/>
          <w:szCs w:val="22"/>
          <w:color w:val="auto"/>
        </w:rPr>
      </w:pPr>
    </w:p>
    <w:p>
      <w:pPr>
        <w:ind w:left="1140" w:right="20" w:hanging="383"/>
        <w:spacing w:after="0" w:line="258" w:lineRule="auto"/>
        <w:tabs>
          <w:tab w:leader="none" w:pos="11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transfers of shares to an entity that does not involve a change in the beneficial ownership of the shares, for example, to an </w:t>
      </w:r>
      <w:r>
        <w:rPr>
          <w:rFonts w:ascii="Times New Roman" w:cs="Times New Roman" w:eastAsia="Times New Roman" w:hAnsi="Times New Roman"/>
          <w:sz w:val="22"/>
          <w:szCs w:val="22"/>
          <w:i w:val="1"/>
          <w:iCs w:val="1"/>
          <w:color w:val="auto"/>
        </w:rPr>
        <w:t>inter vivos</w:t>
      </w:r>
      <w:r>
        <w:rPr>
          <w:rFonts w:ascii="Times New Roman" w:cs="Times New Roman" w:eastAsia="Times New Roman" w:hAnsi="Times New Roman"/>
          <w:sz w:val="22"/>
          <w:szCs w:val="22"/>
          <w:color w:val="auto"/>
        </w:rPr>
        <w:t xml:space="preserve"> trust of which you are the sole beneficiary during your lifetime;</w:t>
      </w:r>
    </w:p>
    <w:p>
      <w:pPr>
        <w:spacing w:after="0" w:line="171"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execution of a transaction pursuant to an approved trading plan that complies with Securities Exchange Act Rule 10b5-1, as further described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and</w:t>
      </w:r>
    </w:p>
    <w:p>
      <w:pPr>
        <w:spacing w:after="0" w:line="171"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transaction designated, consistent with applicable law, as not subject to the restrictions in these Guidelines by CoreCivic’s Board of Directors, an appropriate committee of the Board or the General Counsel.</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309880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84" w:lineRule="exact"/>
        <w:rPr>
          <w:sz w:val="20"/>
          <w:szCs w:val="20"/>
          <w:color w:val="auto"/>
        </w:rPr>
      </w:pPr>
    </w:p>
    <w:p>
      <w:pPr>
        <w:ind w:right="40"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Restricted Transactions and Additional Guidance.</w:t>
      </w:r>
      <w:r>
        <w:rPr>
          <w:rFonts w:ascii="Times New Roman" w:cs="Times New Roman" w:eastAsia="Times New Roman" w:hAnsi="Times New Roman"/>
          <w:sz w:val="22"/>
          <w:szCs w:val="22"/>
          <w:color w:val="auto"/>
        </w:rPr>
        <w:t xml:space="preserve"> CoreCivic expects your investments in CoreCivic to be long-term investments and expects our employees, officers and directors not to engage in speculative transactions that are designed to result in profit based on short term fluctuations in the price of our securities. When purchasing CoreCivic securities, the Company strongly encourages you to do so with the expectation of owning those securities for an extended period of time -- at a minimum, for six (6) months. Accordingly, your trading in CoreCivic securities is subject to the following additional restrictions and guidance.</w:t>
      </w:r>
    </w:p>
    <w:p>
      <w:pPr>
        <w:spacing w:after="0" w:line="19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Short Sales.</w:t>
      </w:r>
      <w:r>
        <w:rPr>
          <w:rFonts w:ascii="Times New Roman" w:cs="Times New Roman" w:eastAsia="Times New Roman" w:hAnsi="Times New Roman"/>
          <w:sz w:val="22"/>
          <w:szCs w:val="22"/>
          <w:color w:val="auto"/>
        </w:rPr>
        <w:t xml:space="preserve"> Short sales of securities (sales of securities that are not then owned), including a “sale against the box” (a sale with delayed delivery), evidence an expectation on the part of the seller that the securities will decline in value and as such may signal a lack of confidence to the market and reduce the seller’s incentive to contribute to the Company’s success. Accordingly, our employees, officers and directors are prohibited from engaging in short sales of CoreCivic securities. Note that Section 16(c) of the Exchange Act prohibits short sales by directors and Section 16 officers (Group 3 members).</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Derivative Securities; Hedging Transactions.</w:t>
      </w:r>
      <w:r>
        <w:rPr>
          <w:rFonts w:ascii="Times New Roman" w:cs="Times New Roman" w:eastAsia="Times New Roman" w:hAnsi="Times New Roman"/>
          <w:sz w:val="22"/>
          <w:szCs w:val="22"/>
          <w:color w:val="auto"/>
        </w:rPr>
        <w:t xml:space="preserve"> Derivative securities are securities whose value varies in relation to the price of CoreCivic securities. For example, derivative securities would include exchange-traded put or call options, as well as individually arranged derivative transactions. Our employees, officers and directors are prohibited from purchasing or selling derivative securities.</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Long-term forward sales and other long-term hedging or monetization transactions that are used to hedge your existing ownership positions in CoreCivic securities may also result in option positions. You are prohibited from entering into such transactions.</w:t>
      </w:r>
    </w:p>
    <w:p>
      <w:pPr>
        <w:spacing w:after="0" w:line="18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Margin Accounts and Pledges.</w:t>
      </w:r>
      <w:r>
        <w:rPr>
          <w:rFonts w:ascii="Times New Roman" w:cs="Times New Roman" w:eastAsia="Times New Roman" w:hAnsi="Times New Roman"/>
          <w:sz w:val="22"/>
          <w:szCs w:val="22"/>
          <w:color w:val="auto"/>
        </w:rPr>
        <w:t xml:space="preserve"> Securities held in a margin account or pledged as collateral for a loan may be sold without your consent by the broker if you fail to meet a margin call or by the lender in foreclosure if you default on the loan. A margin or foreclosure sale that occurs when you are aware of material nonpublic information may, under some circumstances, result in unlawful insider trading. Because of this danger, you are prohibited from holding CoreCivic securities in a margin account or pledging CoreCivic securities as collateral for a loan.</w:t>
      </w:r>
    </w:p>
    <w:p>
      <w:pPr>
        <w:spacing w:after="0" w:line="14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Standing and Limit Orders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Standing and limit orders (excluding standing and limit orders pursuant to the terms of any Rule 10b5-1 plans, as described in these Guidelines) create heightened risks for insider trading violations similar to the use of margin accounts. There is no control over the timing of purchases or sales that result from standing instructions to a broker, and as a result the broker could execute a transaction when the owner is aware of material non-public information. The Company therefore strongly discourages placing standing or limit orders on the Company’s securities. If a person subject to these Guidelines determines that such person must use a standing or limit order with respect to Company securities, the order should be limited to a short duration and any transactions in connection therewith must otherwise comply with these Guidelines.</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Post-Termination Transactions.</w:t>
      </w:r>
      <w:r>
        <w:rPr>
          <w:rFonts w:ascii="Times New Roman" w:cs="Times New Roman" w:eastAsia="Times New Roman" w:hAnsi="Times New Roman"/>
          <w:sz w:val="22"/>
          <w:szCs w:val="22"/>
          <w:color w:val="auto"/>
        </w:rPr>
        <w:t xml:space="preserve"> If you are aware of material nonpublic information when you terminate service as an employee, officer or director of CoreCivic, you may not trade in Company securities until that information has become public or is no longer material. In all other respects, any procedures set forth in these Guidelines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pre-clearance requirements) that apply to you will cease to apply to your transactions in CoreCivic securities upon the expiration of any “blackout” period that is applicable to you at the time of your termination of service.</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8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color w:val="auto"/>
        </w:rPr>
        <w:t>Rule 10b5-1 Trading Plans.</w:t>
      </w:r>
    </w:p>
    <w:p>
      <w:pPr>
        <w:spacing w:after="0" w:line="21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 xml:space="preserve">Rule 10b5-1 presents an opportunity for you to establish arrangements to sell (or purchase) Company stock without the restrictions of trading windows and black-out periods, even when there is undisclosed material information. Rule 10b5-1 will protect directors, officers and employees from insider trading liability under Rule 10b5-1 for transactions under a previously established contract, plan or instruction to trade in the Company’s stock (a “Trading Plan”) entered into in good faith and in accordance with the terms of Rule 10b5-1 and all applicable state laws and will be exempt from the trading restrictions set forth in these Guidelines. All Trading Plans adopted by directors, officers and employees of the Company must comply with the Company’s Individual Rule 10b5-1 Trading Plan Guidelines, which are attached hereto as </w:t>
      </w:r>
      <w:r>
        <w:rPr>
          <w:rFonts w:ascii="Times New Roman" w:cs="Times New Roman" w:eastAsia="Times New Roman" w:hAnsi="Times New Roman"/>
          <w:sz w:val="21"/>
          <w:szCs w:val="21"/>
          <w:u w:val="single" w:color="auto"/>
          <w:color w:val="auto"/>
        </w:rPr>
        <w:t>Annex A</w:t>
      </w:r>
      <w:r>
        <w:rPr>
          <w:rFonts w:ascii="Times New Roman" w:cs="Times New Roman" w:eastAsia="Times New Roman" w:hAnsi="Times New Roman"/>
          <w:sz w:val="21"/>
          <w:szCs w:val="21"/>
          <w:color w:val="auto"/>
        </w:rPr>
        <w:t>. In addition, Trading Plans must fully comply with Rule 144 of the Securities Act of 1933, as amended (“SEC Rule 144”), including, in the case of affiliates (as defined in Rule 144), the Form 144 filing requirements and the volume limitations for every “rolling” three-month period.</w:t>
      </w:r>
    </w:p>
    <w:p>
      <w:pPr>
        <w:spacing w:after="0" w:line="17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Trading Plans do not exempt individuals from complying with Section 16 short-swing profit rules or liability. Furthermore, Trading Plans only provide an “affirmative defense” in the event there is an insider trading lawsuit. It does not prevent someone from bringing a lawsuit.</w:t>
      </w:r>
    </w:p>
    <w:p>
      <w:pPr>
        <w:spacing w:after="0" w:line="167" w:lineRule="exact"/>
        <w:rPr>
          <w:sz w:val="20"/>
          <w:szCs w:val="20"/>
          <w:color w:val="auto"/>
        </w:rPr>
      </w:pPr>
    </w:p>
    <w:p>
      <w:pPr>
        <w:ind w:right="4040"/>
        <w:spacing w:after="0" w:line="443" w:lineRule="auto"/>
        <w:rPr>
          <w:sz w:val="20"/>
          <w:szCs w:val="20"/>
          <w:color w:val="auto"/>
        </w:rPr>
      </w:pPr>
      <w:r>
        <w:rPr>
          <w:rFonts w:ascii="Times New Roman" w:cs="Times New Roman" w:eastAsia="Times New Roman" w:hAnsi="Times New Roman"/>
          <w:sz w:val="22"/>
          <w:szCs w:val="22"/>
          <w:b w:val="1"/>
          <w:bCs w:val="1"/>
          <w:color w:val="auto"/>
        </w:rPr>
        <w:t>VIII. Additional Restrictions for Section 16 Individuals and Key Employees Covered Persons</w:t>
      </w:r>
    </w:p>
    <w:p>
      <w:pPr>
        <w:spacing w:after="0" w:line="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Section VIII applies to members of Groups 2 and 3, as described in these Guidelines (together, the “Covered Persons”). Group 2 consists of certain other officers and employees who may routinely have access to material nonpublic information about the Company. Group 3 consists of members of our Board of Directors and the officers designated from time to time by the Board as “executive officers” under Section 16 of the Exchange Act.</w:t>
      </w:r>
    </w:p>
    <w:p>
      <w:pPr>
        <w:spacing w:after="0" w:line="16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The names or positions of the Covered Persons subject to this Section VIII are listed on the “</w:t>
      </w:r>
      <w:r>
        <w:rPr>
          <w:rFonts w:ascii="Times New Roman" w:cs="Times New Roman" w:eastAsia="Times New Roman" w:hAnsi="Times New Roman"/>
          <w:sz w:val="22"/>
          <w:szCs w:val="22"/>
          <w:i w:val="1"/>
          <w:iCs w:val="1"/>
          <w:color w:val="auto"/>
        </w:rPr>
        <w:t>Insider Trading Group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Designation List</w:t>
      </w:r>
      <w:r>
        <w:rPr>
          <w:rFonts w:ascii="Times New Roman" w:cs="Times New Roman" w:eastAsia="Times New Roman" w:hAnsi="Times New Roman"/>
          <w:sz w:val="22"/>
          <w:szCs w:val="22"/>
          <w:color w:val="auto"/>
        </w:rPr>
        <w:t>”, which are attached hereto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 The Company may from time-to-time designate other individuals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positions) as subject to this Section VIII. The Group Designation List will be amended from time to time to reflect such changes, as well as the appointment, resignation or change in status of any individual.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Trading Windows and Blackout Procedures</w:t>
      </w:r>
    </w:p>
    <w:p>
      <w:pPr>
        <w:spacing w:after="0" w:line="19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In addition to the restrictions set forth in the Guidelines, all Covered Persons are subject to the trading windows and special blackouts described below.</w:t>
      </w:r>
    </w:p>
    <w:p>
      <w:pPr>
        <w:spacing w:after="0" w:line="16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u w:val="single" w:color="auto"/>
          <w:color w:val="auto"/>
        </w:rPr>
        <w:t>Do not</w:t>
      </w:r>
      <w:r>
        <w:rPr>
          <w:rFonts w:ascii="Times New Roman" w:cs="Times New Roman" w:eastAsia="Times New Roman" w:hAnsi="Times New Roman"/>
          <w:sz w:val="22"/>
          <w:szCs w:val="22"/>
          <w:b w:val="1"/>
          <w:bCs w:val="1"/>
          <w:i w:val="1"/>
          <w:iCs w:val="1"/>
          <w:color w:val="auto"/>
        </w:rPr>
        <w:t xml:space="preserve"> confuse the applicability of a trading window or non-existence of a special blackout with the broader prohibition on trading when you are in possession of material nonpublic information described in the Guidelines. Regardless of whether the trading window is open or closed or whether a special blackout applies, you may not trade while in possession of material nonpublic information.</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Quarterly Trading Windows.</w:t>
      </w:r>
      <w:r>
        <w:rPr>
          <w:rFonts w:ascii="Times New Roman" w:cs="Times New Roman" w:eastAsia="Times New Roman" w:hAnsi="Times New Roman"/>
          <w:sz w:val="22"/>
          <w:szCs w:val="22"/>
          <w:color w:val="auto"/>
        </w:rPr>
        <w:t xml:space="preserve"> Our announcement of our quarterly financial results typically has the potential to have a material effect on the market for our securities. Accordingly, in order to avoid even the appearance of trading on the basis of material nonpublic information, you may not trade in</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CoreCivic securities outside of established quarterly window periods, even if you are not personally aware of any material nonpublic information.</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CoreCivic will communicate to you when each trading window will open and close. It is expected that the trading window generally will open after the close of trading on the second full trading day after our quarterly earnings press release or after the filing of our 10-K and will close at market close on the 15th calendar day of the third month of the then-current fiscal quarter. However, you should not expect that the window will open on any particular date or remain open for any minimum period of time. Significant corporate developments may require changes to the schedule.</w:t>
      </w:r>
    </w:p>
    <w:p>
      <w:pPr>
        <w:spacing w:after="0" w:line="163" w:lineRule="exact"/>
        <w:rPr>
          <w:sz w:val="20"/>
          <w:szCs w:val="20"/>
          <w:color w:val="auto"/>
        </w:rPr>
      </w:pPr>
    </w:p>
    <w:p>
      <w:pPr>
        <w:jc w:val="both"/>
        <w:ind w:right="80"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Special Blackouts.</w:t>
      </w:r>
      <w:r>
        <w:rPr>
          <w:rFonts w:ascii="Times New Roman" w:cs="Times New Roman" w:eastAsia="Times New Roman" w:hAnsi="Times New Roman"/>
          <w:sz w:val="22"/>
          <w:szCs w:val="22"/>
          <w:color w:val="auto"/>
        </w:rPr>
        <w:t xml:space="preserve"> From time to time the Company may become aware of a transaction or event that may be material and that has not been disclosed to the public. As a result, the Compliance Officer may impose a special blackout period that would preclude buying, selling or otherwise effecting transactions involving CoreCivic’s securities even during a trading window.</w:t>
      </w:r>
    </w:p>
    <w:p>
      <w:pPr>
        <w:spacing w:after="0" w:line="180" w:lineRule="exact"/>
        <w:rPr>
          <w:sz w:val="20"/>
          <w:szCs w:val="20"/>
          <w:color w:val="auto"/>
        </w:rPr>
      </w:pPr>
    </w:p>
    <w:p>
      <w:pPr>
        <w:jc w:val="both"/>
        <w:ind w:right="80" w:firstLine="749"/>
        <w:spacing w:after="0" w:line="235" w:lineRule="auto"/>
        <w:rPr>
          <w:sz w:val="20"/>
          <w:szCs w:val="20"/>
          <w:color w:val="auto"/>
        </w:rPr>
      </w:pPr>
      <w:r>
        <w:rPr>
          <w:rFonts w:ascii="Times New Roman" w:cs="Times New Roman" w:eastAsia="Times New Roman" w:hAnsi="Times New Roman"/>
          <w:sz w:val="22"/>
          <w:szCs w:val="22"/>
          <w:color w:val="auto"/>
        </w:rPr>
        <w:t xml:space="preserve">If you are subject to an event-specific blackout, you will be notified by the Compliance Officer (or his or her designee). However, the existence of an event-specific blackout generally will not be announced other than to those who are aware of the event giving rise to the blackout. Accordingly, if you are notified of a special blackout, you should not disclose the existence of the blackout to others. Further, to avoid unnecessary dissemination of information about the event giving rise to the special blackout, persons subject to pre-clearance (discussed below under the heading </w:t>
      </w:r>
      <w:r>
        <w:rPr>
          <w:rFonts w:ascii="Times New Roman" w:cs="Times New Roman" w:eastAsia="Times New Roman" w:hAnsi="Times New Roman"/>
          <w:sz w:val="22"/>
          <w:szCs w:val="22"/>
          <w:i w:val="1"/>
          <w:iCs w:val="1"/>
          <w:color w:val="auto"/>
        </w:rPr>
        <w:t>“Section VIII - Additional Restrictions for 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16 Individuals and Key Employees – Pre-Clearance of Transactions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who request pre-clearance during a special blackout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informed of the existence of the blackout period but not the reason for the blackout.</w:t>
      </w:r>
    </w:p>
    <w:p>
      <w:pPr>
        <w:spacing w:after="0" w:line="183"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2"/>
          <w:szCs w:val="22"/>
          <w:color w:val="auto"/>
        </w:rPr>
        <w:t>Members of Group 3 may also be subject to special blackouts pursuant to the SEC’s Regulation Blackout Trading Restriction, which prohibits certain sales and other transfers by members of Group 3 during certain pension plan blackout periods.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Pre-Clearance of Transactions</w:t>
      </w:r>
    </w:p>
    <w:p>
      <w:pPr>
        <w:spacing w:after="0" w:line="206" w:lineRule="exact"/>
        <w:rPr>
          <w:sz w:val="20"/>
          <w:szCs w:val="20"/>
          <w:color w:val="auto"/>
        </w:rPr>
      </w:pPr>
    </w:p>
    <w:p>
      <w:pPr>
        <w:jc w:val="both"/>
        <w:ind w:right="80"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In addition to the restrictions set forth in the Guidelines and under the heading </w:t>
      </w:r>
      <w:r>
        <w:rPr>
          <w:rFonts w:ascii="Times New Roman" w:cs="Times New Roman" w:eastAsia="Times New Roman" w:hAnsi="Times New Roman"/>
          <w:sz w:val="22"/>
          <w:szCs w:val="22"/>
          <w:i w:val="1"/>
          <w:iCs w:val="1"/>
          <w:color w:val="auto"/>
        </w:rPr>
        <w:t>“Section VIII - Additional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Restrictions for Section 16 Individuals and Key Employees – Trading Windows and Blackout Periods</w:t>
      </w:r>
      <w:r>
        <w:rPr>
          <w:rFonts w:ascii="Times New Roman" w:cs="Times New Roman" w:eastAsia="Times New Roman" w:hAnsi="Times New Roman"/>
          <w:sz w:val="22"/>
          <w:szCs w:val="22"/>
          <w:color w:val="auto"/>
        </w:rPr>
        <w:t>”, members of Group 3</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must obtain clearance prior to trading in CoreCivic securities. This clearance must be obtained before you place the order for, or otherwise initiate, any transaction in CoreCivic securities, </w:t>
      </w:r>
      <w:r>
        <w:rPr>
          <w:rFonts w:ascii="Times New Roman" w:cs="Times New Roman" w:eastAsia="Times New Roman" w:hAnsi="Times New Roman"/>
          <w:sz w:val="22"/>
          <w:szCs w:val="22"/>
          <w:u w:val="single" w:color="auto"/>
          <w:color w:val="auto"/>
        </w:rPr>
        <w:t>even</w:t>
      </w:r>
      <w:r>
        <w:rPr>
          <w:rFonts w:ascii="Times New Roman" w:cs="Times New Roman" w:eastAsia="Times New Roman" w:hAnsi="Times New Roman"/>
          <w:sz w:val="22"/>
          <w:szCs w:val="22"/>
          <w:color w:val="auto"/>
        </w:rPr>
        <w:t xml:space="preserve"> transactions that might otherwise not be subject to the Guidelines (including a stock plan transaction such as an option exercise, or a gift, loan, pledge or hedge, contribution to a trust or any other transfer). The purpose of the pre clearance procedures is to avoid inadvertent violations of the securities laws and the appearance of insider trading by our executive officers and directors, and to ensure compliance with the reporting requirements of Exchange Act Section 16(a). Pre-clearance may also assist you in avoiding “short swing” profit liability under Section 16(b).</w:t>
      </w:r>
    </w:p>
    <w:p>
      <w:pPr>
        <w:spacing w:after="0" w:line="160" w:lineRule="exact"/>
        <w:rPr>
          <w:sz w:val="20"/>
          <w:szCs w:val="20"/>
          <w:color w:val="auto"/>
        </w:rPr>
      </w:pPr>
    </w:p>
    <w:p>
      <w:pPr>
        <w:jc w:val="both"/>
        <w:ind w:right="80" w:firstLine="749"/>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Do not</w:t>
      </w:r>
      <w:r>
        <w:rPr>
          <w:rFonts w:ascii="Times New Roman" w:cs="Times New Roman" w:eastAsia="Times New Roman" w:hAnsi="Times New Roman"/>
          <w:sz w:val="22"/>
          <w:szCs w:val="22"/>
          <w:b w:val="1"/>
          <w:bCs w:val="1"/>
          <w:color w:val="auto"/>
        </w:rPr>
        <w:t xml:space="preserve"> confuse pre-clearance of transactions with the broader prohibition on trading when you are in possession of material, nonpublic information described in the Guidelines. Regardless of whether you have received pre-clearance for a transaction or whether a trading window</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80"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22"/>
          <w:szCs w:val="22"/>
          <w:b w:val="1"/>
          <w:bCs w:val="1"/>
          <w:color w:val="auto"/>
        </w:rPr>
        <w:t>applicable to you is open or closed, you may not trade in CoreCivic securities if you are in actual possession of material, nonpublic information about CoreCivic.</w:t>
      </w:r>
    </w:p>
    <w:p>
      <w:pPr>
        <w:spacing w:after="0" w:line="150" w:lineRule="exact"/>
        <w:rPr>
          <w:sz w:val="20"/>
          <w:szCs w:val="20"/>
          <w:color w:val="auto"/>
        </w:rPr>
      </w:pPr>
    </w:p>
    <w:p>
      <w:pPr>
        <w:jc w:val="both"/>
        <w:ind w:right="80" w:firstLine="749"/>
        <w:spacing w:after="0" w:line="241" w:lineRule="auto"/>
        <w:rPr>
          <w:sz w:val="20"/>
          <w:szCs w:val="20"/>
          <w:color w:val="auto"/>
        </w:rPr>
      </w:pPr>
      <w:r>
        <w:rPr>
          <w:rFonts w:ascii="Times New Roman" w:cs="Times New Roman" w:eastAsia="Times New Roman" w:hAnsi="Times New Roman"/>
          <w:sz w:val="22"/>
          <w:szCs w:val="22"/>
          <w:u w:val="single" w:color="auto"/>
          <w:color w:val="auto"/>
        </w:rPr>
        <w:t>Pre-Clearance Instructions.</w:t>
      </w:r>
      <w:r>
        <w:rPr>
          <w:rFonts w:ascii="Times New Roman" w:cs="Times New Roman" w:eastAsia="Times New Roman" w:hAnsi="Times New Roman"/>
          <w:sz w:val="22"/>
          <w:szCs w:val="22"/>
          <w:color w:val="auto"/>
        </w:rPr>
        <w:t xml:space="preserve"> Detailed instructions with respect to our pre-clearance procedures are set forth in the “</w:t>
      </w:r>
      <w:r>
        <w:rPr>
          <w:rFonts w:ascii="Times New Roman" w:cs="Times New Roman" w:eastAsia="Times New Roman" w:hAnsi="Times New Roman"/>
          <w:sz w:val="22"/>
          <w:szCs w:val="22"/>
          <w:i w:val="1"/>
          <w:iCs w:val="1"/>
          <w:color w:val="auto"/>
        </w:rPr>
        <w:t>Pre-Clearance Procedures</w:t>
      </w:r>
      <w:r>
        <w:rPr>
          <w:rFonts w:ascii="Times New Roman" w:cs="Times New Roman" w:eastAsia="Times New Roman" w:hAnsi="Times New Roman"/>
          <w:sz w:val="22"/>
          <w:szCs w:val="22"/>
          <w:color w:val="auto"/>
        </w:rPr>
        <w:t>”, which are attached hereto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Annex C</w:t>
      </w:r>
      <w:r>
        <w:rPr>
          <w:rFonts w:ascii="Times New Roman" w:cs="Times New Roman" w:eastAsia="Times New Roman" w:hAnsi="Times New Roman"/>
          <w:sz w:val="22"/>
          <w:szCs w:val="22"/>
          <w:color w:val="auto"/>
        </w:rPr>
        <w:t>. Pursuant to these procedures, a request for pre-clearance should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submitted at least three (3) trading days in advance of the proposed transaction. The requestor should also be prepared to comply with SEC Rule 144 and file Form 144, if necessary, at the time of any sale.</w:t>
      </w:r>
    </w:p>
    <w:p>
      <w:pPr>
        <w:spacing w:after="0" w:line="176"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Stock Option Exercises.</w:t>
      </w:r>
      <w:r>
        <w:rPr>
          <w:rFonts w:ascii="Times New Roman" w:cs="Times New Roman" w:eastAsia="Times New Roman" w:hAnsi="Times New Roman"/>
          <w:sz w:val="22"/>
          <w:szCs w:val="22"/>
          <w:color w:val="auto"/>
        </w:rPr>
        <w:t xml:space="preserve"> While stock option exercises not involving the sale of the underlying stock generally are not subject to the restrictions set forth in the Guidelines, members of Group 3 are required to pre-clear stock option exercises due to the fact that exercises are Section 16 reportable events.</w:t>
      </w:r>
    </w:p>
    <w:p>
      <w:pPr>
        <w:spacing w:after="0" w:line="173" w:lineRule="exact"/>
        <w:rPr>
          <w:sz w:val="20"/>
          <w:szCs w:val="20"/>
          <w:color w:val="auto"/>
        </w:rPr>
      </w:pPr>
    </w:p>
    <w:p>
      <w:pPr>
        <w:jc w:val="both"/>
        <w:ind w:right="8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Compliance Officer Trades</w:t>
      </w:r>
      <w:r>
        <w:rPr>
          <w:rFonts w:ascii="Times New Roman" w:cs="Times New Roman" w:eastAsia="Times New Roman" w:hAnsi="Times New Roman"/>
          <w:sz w:val="22"/>
          <w:szCs w:val="22"/>
          <w:color w:val="auto"/>
        </w:rPr>
        <w:t>. If the Compliance Officer desires to complete any trades involving Company securities, he or she must first obtain approval of the Chief Executive Officer of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193"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color w:val="auto"/>
        </w:rPr>
        <w:t>Covered Persons must certify their understanding of, and intent to comply with, the Guidelines on the “</w:t>
      </w:r>
      <w:r>
        <w:rPr>
          <w:rFonts w:ascii="Times New Roman" w:cs="Times New Roman" w:eastAsia="Times New Roman" w:hAnsi="Times New Roman"/>
          <w:sz w:val="21"/>
          <w:szCs w:val="21"/>
          <w:i w:val="1"/>
          <w:iCs w:val="1"/>
          <w:color w:val="auto"/>
        </w:rPr>
        <w:t>Insider Trading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Policy Acknowledgement Form</w:t>
      </w:r>
      <w:r>
        <w:rPr>
          <w:rFonts w:ascii="Times New Roman" w:cs="Times New Roman" w:eastAsia="Times New Roman" w:hAnsi="Times New Roman"/>
          <w:sz w:val="21"/>
          <w:szCs w:val="21"/>
          <w:color w:val="auto"/>
        </w:rPr>
        <w:t>”, which are attached hereto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Annex D</w:t>
      </w:r>
      <w:r>
        <w:rPr>
          <w:rFonts w:ascii="Times New Roman" w:cs="Times New Roman" w:eastAsia="Times New Roman" w:hAnsi="Times New Roman"/>
          <w:sz w:val="21"/>
          <w:szCs w:val="21"/>
          <w:color w:val="auto"/>
        </w:rPr>
        <w:t>, or similar form approved by the Policy Administrators.</w:t>
      </w:r>
    </w:p>
    <w:p>
      <w:pPr>
        <w:spacing w:after="0" w:line="14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2"/>
          <w:szCs w:val="22"/>
          <w:b w:val="1"/>
          <w:bCs w:val="1"/>
          <w:color w:val="auto"/>
        </w:rPr>
        <w:t>Administration of these Guidelines</w:t>
      </w:r>
    </w:p>
    <w:p>
      <w:pPr>
        <w:spacing w:after="0" w:line="17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Administration and Interpretation.</w:t>
      </w:r>
      <w:r>
        <w:rPr>
          <w:rFonts w:ascii="Times New Roman" w:cs="Times New Roman" w:eastAsia="Times New Roman" w:hAnsi="Times New Roman"/>
          <w:sz w:val="22"/>
          <w:szCs w:val="22"/>
          <w:color w:val="auto"/>
        </w:rPr>
        <w:t xml:space="preserve"> The day-to-day administration of these Guidelines will be carried out by the General Counsel (the “Compliance Officer”). The Compliance Officer may designate one or more individuals from the General Counsel’s office who may perform the Compliance Officer’s duties in the event that the Compliance Officer is unable or unavailable to perform such duties; provided, however, that any “Filing Coordinators” designated by the Compliance Officer to assist all Section 16 reporting persons in preparing and/or reviewing all Forms 3, 4 and 5 filings shall not be required to be in the General Counsel’s office.</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Reporting Violations.</w:t>
      </w:r>
      <w:r>
        <w:rPr>
          <w:rFonts w:ascii="Times New Roman" w:cs="Times New Roman" w:eastAsia="Times New Roman" w:hAnsi="Times New Roman"/>
          <w:sz w:val="22"/>
          <w:szCs w:val="22"/>
          <w:color w:val="auto"/>
        </w:rPr>
        <w:t xml:space="preserve"> If you become aware of any violation of these Guidelines, you should report it immediately to one of the persons named above or through other channels designated by CoreCivic for reports of misconduct.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Penalties for Noncompliance.</w:t>
      </w:r>
      <w:r>
        <w:rPr>
          <w:rFonts w:ascii="Times New Roman" w:cs="Times New Roman" w:eastAsia="Times New Roman" w:hAnsi="Times New Roman"/>
          <w:sz w:val="22"/>
          <w:szCs w:val="22"/>
          <w:color w:val="auto"/>
        </w:rPr>
        <w:t xml:space="preserve"> Violation of these Guidelines or federal or state insider trading or tipping laws by any individual may, in the case of a director, subject the director to dismissal proceedings and, in the case of an officer or employee, subject the officer or employee to disciplinary action by the Company including termination for cause.</w:t>
      </w:r>
    </w:p>
    <w:p>
      <w:pPr>
        <w:spacing w:after="0" w:line="20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Amendment of the Guidelines.</w:t>
      </w:r>
      <w:r>
        <w:rPr>
          <w:rFonts w:ascii="Times New Roman" w:cs="Times New Roman" w:eastAsia="Times New Roman" w:hAnsi="Times New Roman"/>
          <w:sz w:val="22"/>
          <w:szCs w:val="22"/>
          <w:color w:val="auto"/>
        </w:rPr>
        <w:t xml:space="preserve"> These Guidelines may be amended from time to time. CoreCivic will communicate the substance of any material amendments to you through normal communications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CoreCivic,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Individual Rule 10b5-1 Trading Plan Guidelines</w:t>
      </w:r>
    </w:p>
    <w:p>
      <w:pPr>
        <w:spacing w:after="0" w:line="20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Securities and Exchange Commission enacted Rule 10b5-1 (the “Rule”) to give directors, officers and employees who were often in possession of material, nonpublic information (“Insiders”) greater flexibility to engage in transactions in their Company’s stock. If Insiders follow the requirements of the Rule, Insiders will have an affirmative defense from insider trading liability for trades made under an effective written plan for trading securities (commonly referred to as a Rule 10b5-1 Plan). In each case, Insiders must act in good faith with respect to the Plan and not as part of a scheme to evade the prohibitions against unlawful insider trading.</w:t>
      </w:r>
    </w:p>
    <w:p>
      <w:pPr>
        <w:spacing w:after="0" w:line="18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As set forth in the CoreCivic, Inc. Second Amended and Restated Insider Trading Guidelines (the “Policy”), CoreCivic, Inc. (the “Company”) permits its Insiders to purchase or sell shares of Company common stock pursuant to a Rule 10b5-1 plan (a “Plan”) under certain circumstances. The office of the General Counsel has set forth the following guidelines (the “Guidelines”) to provide Insiders with clarity as to what parameters must be followed in order to adopt a Plan that is compliant with the Company’s Policy. These Guidelines are in addition to, and not in lieu of, the requirements and conditions of the Rule. Any questions regarding the Guidelines should be directed to the General Counsel.</w:t>
      </w:r>
    </w:p>
    <w:p>
      <w:pPr>
        <w:spacing w:after="0" w:line="208" w:lineRule="exact"/>
        <w:rPr>
          <w:sz w:val="20"/>
          <w:szCs w:val="20"/>
          <w:color w:val="auto"/>
        </w:rPr>
      </w:pPr>
    </w:p>
    <w:p>
      <w:pPr>
        <w:jc w:val="both"/>
        <w:ind w:firstLine="757"/>
        <w:spacing w:after="0" w:line="239" w:lineRule="auto"/>
        <w:tabs>
          <w:tab w:leader="none" w:pos="1018"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Pre-Clearance</w:t>
      </w:r>
      <w:r>
        <w:rPr>
          <w:rFonts w:ascii="Times New Roman" w:cs="Times New Roman" w:eastAsia="Times New Roman" w:hAnsi="Times New Roman"/>
          <w:sz w:val="22"/>
          <w:szCs w:val="22"/>
          <w:color w:val="auto"/>
        </w:rPr>
        <w:t>. All Plans must be submitted in writing and pre-cleared by the Company’s General Counsel (or his or her designee) at least five (5) business days prior to the entry into the Plan. The Company reserves the right to withhold pre-clearance of any Plan that the Company determines is not consistent with the rules regarding such Plans. Notwithstanding any pre-clearance of a Plan, the Company assumes no liability for the consequences of any transaction made pursuant to such Plan.</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Adoption</w:t>
      </w:r>
      <w:r>
        <w:rPr>
          <w:rFonts w:ascii="Times New Roman" w:cs="Times New Roman" w:eastAsia="Times New Roman" w:hAnsi="Times New Roman"/>
          <w:sz w:val="22"/>
          <w:szCs w:val="22"/>
          <w:color w:val="auto"/>
        </w:rPr>
        <w:t>. All Plans must be entered into during an open trading window and when the Insider is not in possession of any material, nonpublic information.</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Format</w:t>
      </w:r>
      <w:r>
        <w:rPr>
          <w:rFonts w:ascii="Times New Roman" w:cs="Times New Roman" w:eastAsia="Times New Roman" w:hAnsi="Times New Roman"/>
          <w:sz w:val="22"/>
          <w:szCs w:val="22"/>
          <w:color w:val="auto"/>
        </w:rPr>
        <w:t>. All Plans must be in writing and must not allow the Insider to exercise any subsequent influence over how, when or whether to effect trades in Company securities under the Plan. Additionally, Plans must (a) expressly state the amount, price and dates on which transactions may be executed, (b) provide a written formula for determining amounts, prices and dates or (c) delegate discretion on those matters to an independent third party.</w:t>
      </w:r>
    </w:p>
    <w:p>
      <w:pPr>
        <w:spacing w:after="0" w:line="180"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Cooling-Off Period</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Insider is a Company director or officer (as defined in Rule 16a-1 under the Securities Exchange Act of 1934, as amended (a “Section 16 Person”)), the Plan must not permit any trades to occur until the later of (a) 90 days following adoption or modification of the Plan or (b) two (2) business days following the disclosure of the Company’s financial results in a Form 10-Q or Form 10-K for the fiscal quarter in which the Plan was adopted or modified (but, in any event, this required cooling-off period is subject to a maximum of 120 days after adoption of the Plan).</w:t>
      </w:r>
    </w:p>
    <w:p>
      <w:pPr>
        <w:spacing w:after="0" w:line="17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Insider is not a Section 16 Person (but is also not the Company), the Plan must not permit any trades to occur until the expiration of a cooling-off period 30 days after the adoption or modification of such Plan.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757"/>
        <w:spacing w:after="0" w:line="239" w:lineRule="auto"/>
        <w:tabs>
          <w:tab w:leader="none" w:pos="101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Multiple Plans</w:t>
      </w:r>
      <w:r>
        <w:rPr>
          <w:rFonts w:ascii="Times New Roman" w:cs="Times New Roman" w:eastAsia="Times New Roman" w:hAnsi="Times New Roman"/>
          <w:sz w:val="22"/>
          <w:szCs w:val="22"/>
          <w:color w:val="auto"/>
        </w:rPr>
        <w:t>. Pursuant to the Rule, a person may only rely on the affirmative defense for a single-trade plan once during any consecutive 12-month period. A single-trade plan is a 10b5-1 trading plan designed to effect the purchase or sale of the total amount of the securities subject to the plan as a single transaction. Further, only one Plan may be in effect at any time, unless one of three exemptions is met, which are:</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may enter into more than one Plan with different broker-dealers or other agents and treat the Plans as a single Plan so long as, when taken as a whole, the “plan” complies with all of the rule’s requirements;</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may adopt one later-commencing Plan so long as trading under the later-commencing Plan is not authorized to begin until after all trades under the earlier-commencing Plan are completed or expire without execution. If the earlier-commencing Plan is terminated earlier, the later-commencing Plan must have a cooling-off period that starts when the first Plan terminates; and</w:t>
      </w:r>
    </w:p>
    <w:p>
      <w:pPr>
        <w:spacing w:after="0" w:line="180"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203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may have an additional Plan set up solely to sell securities as necessary to satisfy tax-withholding obligations arising exclusively from the vesting of a compensatory award, otherwise known as “sell-to-cover” transactions.</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Trades Outside of the Plan</w:t>
      </w:r>
      <w:r>
        <w:rPr>
          <w:rFonts w:ascii="Times New Roman" w:cs="Times New Roman" w:eastAsia="Times New Roman" w:hAnsi="Times New Roman"/>
          <w:sz w:val="22"/>
          <w:szCs w:val="22"/>
          <w:color w:val="auto"/>
        </w:rPr>
        <w:t>. Once a Plan is established, Insiders may transact in securities that are not subject to the currently existing Plan. Such transactions continue to be subject to the Company’s Policy, including, to the extent applicable, the pre-clearance provisions and procedures of the Policy. Under no circumstances will opposite-way open market transactions be permitted.</w:t>
      </w:r>
    </w:p>
    <w:p>
      <w:pPr>
        <w:spacing w:after="0" w:line="180"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Duration</w:t>
      </w:r>
      <w:r>
        <w:rPr>
          <w:rFonts w:ascii="Times New Roman" w:cs="Times New Roman" w:eastAsia="Times New Roman" w:hAnsi="Times New Roman"/>
          <w:sz w:val="22"/>
          <w:szCs w:val="22"/>
          <w:color w:val="auto"/>
        </w:rPr>
        <w:t>. The minimum duration of a Plan is six (6) months and the maximum duration is two years.</w:t>
      </w:r>
    </w:p>
    <w:p>
      <w:pPr>
        <w:spacing w:after="0" w:line="20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Certification</w:t>
      </w:r>
      <w:r>
        <w:rPr>
          <w:rFonts w:ascii="Times New Roman" w:cs="Times New Roman" w:eastAsia="Times New Roman" w:hAnsi="Times New Roman"/>
          <w:sz w:val="22"/>
          <w:szCs w:val="22"/>
          <w:color w:val="auto"/>
        </w:rPr>
        <w:t>. When entering into a Plan, an Insider must certify that at the time of adoption of the Plan that the</w:t>
      </w:r>
    </w:p>
    <w:p>
      <w:pPr>
        <w:spacing w:after="0" w:line="14" w:lineRule="exact"/>
        <w:rPr>
          <w:rFonts w:ascii="Times New Roman" w:cs="Times New Roman" w:eastAsia="Times New Roman" w:hAnsi="Times New Roman"/>
          <w:sz w:val="22"/>
          <w:szCs w:val="22"/>
          <w:color w:val="auto"/>
        </w:rPr>
      </w:pPr>
    </w:p>
    <w:p>
      <w:pPr>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Insider: (1) is not aware of any material, non-public information; and (2) is adopting the Plan in good faith and not as part of a plan or scheme to evade the prohibitions of the Rule.</w:t>
      </w:r>
    </w:p>
    <w:p>
      <w:pPr>
        <w:spacing w:after="0" w:line="178"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w:t>
      </w:r>
      <w:r>
        <w:rPr>
          <w:rFonts w:ascii="Times New Roman" w:cs="Times New Roman" w:eastAsia="Times New Roman" w:hAnsi="Times New Roman"/>
          <w:sz w:val="22"/>
          <w:szCs w:val="22"/>
          <w:color w:val="auto"/>
        </w:rPr>
        <w:t>. Plan modifications are prohibited. As provided in the Rule, any modification or change to the amount, price, or timing of the purchase or sale of the securities underlying a Plan is a termination of such Plan and the adoption of a new Plan. In addition, a Plan modification, such as the substitution or removal of a broker that is executing trades pursuant to a Rule 10b5-1 arrangement on behalf of the person, that changes the price or date on which purchases or sales are to be executed, is a termination of such Plan and the adoption of a new Plan.</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Early Terminations</w:t>
      </w:r>
      <w:r>
        <w:rPr>
          <w:rFonts w:ascii="Times New Roman" w:cs="Times New Roman" w:eastAsia="Times New Roman" w:hAnsi="Times New Roman"/>
          <w:sz w:val="22"/>
          <w:szCs w:val="22"/>
          <w:color w:val="auto"/>
        </w:rPr>
        <w:t xml:space="preserve">. The early termination of a Plan could affect the availability of the Rule’s affirmative defense for prior Plan transactions if it calls into question whether the Plan was entered into in good faith and not as part of a plan to avoid the insider trading rules. </w:t>
      </w:r>
      <w:r>
        <w:rPr>
          <w:rFonts w:ascii="Times New Roman" w:cs="Times New Roman" w:eastAsia="Times New Roman" w:hAnsi="Times New Roman"/>
          <w:sz w:val="22"/>
          <w:szCs w:val="22"/>
          <w:b w:val="1"/>
          <w:bCs w:val="1"/>
          <w:color w:val="auto"/>
        </w:rPr>
        <w:t>Because of this risk, early terminations are strongly discouraged.</w:t>
      </w:r>
      <w:r>
        <w:rPr>
          <w:rFonts w:ascii="Times New Roman" w:cs="Times New Roman" w:eastAsia="Times New Roman" w:hAnsi="Times New Roman"/>
          <w:sz w:val="22"/>
          <w:szCs w:val="22"/>
          <w:color w:val="auto"/>
        </w:rPr>
        <w:t xml:space="preserve"> In the event an Insider determines to terminate a Plan early, every effort should be taken to terminate the Plan during an open window. Early termination of a Plan during a quiet (or blackout) period requires extenuating circumstances and is subject to legal review. In the event an Insider early terminates his or her Plan, such Insider (i) will be subject to the cooling off period for the subsequent Plan that starts when the first Plan is terminated, as noted above, and (ii) may be (A) prohibited from adopting future Plans, (B) prohibited from transacting in securities outside of a Plan, or (C) subject to other restrictions at the sole discretion of the Company’s General Counsel.</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Brokers and Broker Reporting</w:t>
      </w:r>
      <w:r>
        <w:rPr>
          <w:rFonts w:ascii="Times New Roman" w:cs="Times New Roman" w:eastAsia="Times New Roman" w:hAnsi="Times New Roman"/>
          <w:sz w:val="22"/>
          <w:szCs w:val="22"/>
          <w:color w:val="auto"/>
        </w:rPr>
        <w:t xml:space="preserve">. Each Plan must require the broker counterparty to </w:t>
      </w:r>
      <w:r>
        <w:rPr>
          <w:rFonts w:ascii="Times New Roman" w:cs="Times New Roman" w:eastAsia="Times New Roman" w:hAnsi="Times New Roman"/>
          <w:sz w:val="22"/>
          <w:szCs w:val="22"/>
          <w:u w:val="single" w:color="auto"/>
          <w:color w:val="auto"/>
        </w:rPr>
        <w:t>promptly</w:t>
      </w:r>
      <w:r>
        <w:rPr>
          <w:rFonts w:ascii="Times New Roman" w:cs="Times New Roman" w:eastAsia="Times New Roman" w:hAnsi="Times New Roman"/>
          <w:sz w:val="22"/>
          <w:szCs w:val="22"/>
          <w:color w:val="auto"/>
        </w:rPr>
        <w:t xml:space="preserve"> report to the Company’s designated representative the details of every transaction executed under a Plan, but in any event, such detail shall be provided no later than one (1) trading day after the execution date.</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Public Disclosure of Plan Transactions</w:t>
      </w:r>
      <w:r>
        <w:rPr>
          <w:rFonts w:ascii="Times New Roman" w:cs="Times New Roman" w:eastAsia="Times New Roman" w:hAnsi="Times New Roman"/>
          <w:sz w:val="22"/>
          <w:szCs w:val="22"/>
          <w:color w:val="auto"/>
        </w:rPr>
        <w:t>. Transactions executed pursuant to a Plan will be indicated as such on the Insider’s Form 4. In addition, beginning with the first periodic filing that covers the Company’s first full fiscal period that begins on or after April 1, 2023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Form 10-Q for the fiscal quarter ended June 30, 2023), the Company will be required to disclose in its periodic reports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10-Qs and 10-Ks) the adoption or termination of a Plan by any Section 16 Person during the last completed quarter, including a description of the material terms of such a Plan, other than terms with respect to price.</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Securities Laws</w:t>
      </w:r>
      <w:r>
        <w:rPr>
          <w:rFonts w:ascii="Times New Roman" w:cs="Times New Roman" w:eastAsia="Times New Roman" w:hAnsi="Times New Roman"/>
          <w:sz w:val="22"/>
          <w:szCs w:val="22"/>
          <w:color w:val="auto"/>
        </w:rPr>
        <w:t>. A Plan does not relieve Insiders from their obligations to comply with the requirements of applicable securities laws. You will need to coordinate with your broker and the Company to ensure that all of these requirements are satisfied and that all required notices and reports are timely and accurately filed.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Annex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Insider Trading</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Group Designation List*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Group 1 </w:t>
      </w:r>
      <w:r>
        <w:rPr>
          <w:rFonts w:ascii="Times New Roman" w:cs="Times New Roman" w:eastAsia="Times New Roman" w:hAnsi="Times New Roman"/>
          <w:sz w:val="22"/>
          <w:szCs w:val="22"/>
          <w:color w:val="auto"/>
        </w:rPr>
        <w:t>includes all employees not identified as members of Group 2 or Group 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Group 2 </w:t>
      </w:r>
      <w:r>
        <w:rPr>
          <w:rFonts w:ascii="Times New Roman" w:cs="Times New Roman" w:eastAsia="Times New Roman" w:hAnsi="Times New Roman"/>
          <w:sz w:val="22"/>
          <w:szCs w:val="22"/>
          <w:color w:val="auto"/>
        </w:rPr>
        <w:t>includes all persons who hold these titles/roles:</w:t>
      </w:r>
    </w:p>
    <w:p>
      <w:pPr>
        <w:sectPr>
          <w:pgSz w:w="11900" w:h="16838" w:orient="portrait"/>
          <w:cols w:equalWidth="0" w:num="1">
            <w:col w:w="11240"/>
          </w:cols>
          <w:pgMar w:left="320" w:top="756" w:right="339" w:bottom="1440" w:gutter="0" w:footer="0" w:header="0"/>
        </w:sect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Special Assistants to the CEO</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Special Advisors to the CEO</w:t>
      </w:r>
    </w:p>
    <w:p>
      <w:pPr>
        <w:ind w:left="20"/>
        <w:spacing w:after="0" w:line="230" w:lineRule="auto"/>
        <w:rPr>
          <w:sz w:val="20"/>
          <w:szCs w:val="20"/>
          <w:color w:val="auto"/>
        </w:rPr>
      </w:pPr>
      <w:r>
        <w:rPr>
          <w:rFonts w:ascii="Times New Roman" w:cs="Times New Roman" w:eastAsia="Times New Roman" w:hAnsi="Times New Roman"/>
          <w:sz w:val="22"/>
          <w:szCs w:val="22"/>
          <w:color w:val="auto"/>
        </w:rPr>
        <w:t>Special Assistants to the President</w:t>
      </w:r>
    </w:p>
    <w:p>
      <w:pPr>
        <w:ind w:left="20"/>
        <w:spacing w:after="0" w:line="231" w:lineRule="auto"/>
        <w:rPr>
          <w:sz w:val="20"/>
          <w:szCs w:val="20"/>
          <w:color w:val="auto"/>
        </w:rPr>
      </w:pPr>
      <w:r>
        <w:rPr>
          <w:rFonts w:ascii="Times New Roman" w:cs="Times New Roman" w:eastAsia="Times New Roman" w:hAnsi="Times New Roman"/>
          <w:sz w:val="22"/>
          <w:szCs w:val="22"/>
          <w:color w:val="auto"/>
        </w:rPr>
        <w:t>Special Advisors to the President</w:t>
      </w:r>
    </w:p>
    <w:p>
      <w:pPr>
        <w:ind w:left="20"/>
        <w:spacing w:after="0" w:line="230" w:lineRule="auto"/>
        <w:rPr>
          <w:sz w:val="20"/>
          <w:szCs w:val="20"/>
          <w:color w:val="auto"/>
        </w:rPr>
      </w:pPr>
      <w:r>
        <w:rPr>
          <w:rFonts w:ascii="Times New Roman" w:cs="Times New Roman" w:eastAsia="Times New Roman" w:hAnsi="Times New Roman"/>
          <w:sz w:val="22"/>
          <w:szCs w:val="22"/>
          <w:color w:val="auto"/>
        </w:rPr>
        <w:t>Special Assistants to the COO</w:t>
      </w:r>
    </w:p>
    <w:p>
      <w:pPr>
        <w:ind w:left="20"/>
        <w:spacing w:after="0" w:line="231" w:lineRule="auto"/>
        <w:rPr>
          <w:sz w:val="20"/>
          <w:szCs w:val="20"/>
          <w:color w:val="auto"/>
        </w:rPr>
      </w:pPr>
      <w:r>
        <w:rPr>
          <w:rFonts w:ascii="Times New Roman" w:cs="Times New Roman" w:eastAsia="Times New Roman" w:hAnsi="Times New Roman"/>
          <w:sz w:val="22"/>
          <w:szCs w:val="22"/>
          <w:color w:val="auto"/>
        </w:rPr>
        <w:t>Special Advisors to the COO</w:t>
      </w:r>
    </w:p>
    <w:p>
      <w:pPr>
        <w:ind w:left="20"/>
        <w:spacing w:after="0" w:line="230" w:lineRule="auto"/>
        <w:rPr>
          <w:sz w:val="20"/>
          <w:szCs w:val="20"/>
          <w:color w:val="auto"/>
        </w:rPr>
      </w:pPr>
      <w:r>
        <w:rPr>
          <w:rFonts w:ascii="Times New Roman" w:cs="Times New Roman" w:eastAsia="Times New Roman" w:hAnsi="Times New Roman"/>
          <w:sz w:val="22"/>
          <w:szCs w:val="22"/>
          <w:color w:val="auto"/>
        </w:rPr>
        <w:t>Special Assistants to any EVP or SVP</w:t>
      </w:r>
    </w:p>
    <w:p>
      <w:pPr>
        <w:ind w:left="20"/>
        <w:spacing w:after="0" w:line="231" w:lineRule="auto"/>
        <w:rPr>
          <w:sz w:val="20"/>
          <w:szCs w:val="20"/>
          <w:color w:val="auto"/>
        </w:rPr>
      </w:pPr>
      <w:r>
        <w:rPr>
          <w:rFonts w:ascii="Times New Roman" w:cs="Times New Roman" w:eastAsia="Times New Roman" w:hAnsi="Times New Roman"/>
          <w:sz w:val="22"/>
          <w:szCs w:val="22"/>
          <w:color w:val="auto"/>
        </w:rPr>
        <w:t>Special Advisors to any EVP or SVP</w:t>
      </w:r>
    </w:p>
    <w:p>
      <w:pPr>
        <w:ind w:left="20"/>
        <w:spacing w:after="0" w:line="230" w:lineRule="auto"/>
        <w:rPr>
          <w:sz w:val="20"/>
          <w:szCs w:val="20"/>
          <w:color w:val="auto"/>
        </w:rPr>
      </w:pPr>
      <w:r>
        <w:rPr>
          <w:rFonts w:ascii="Times New Roman" w:cs="Times New Roman" w:eastAsia="Times New Roman" w:hAnsi="Times New Roman"/>
          <w:sz w:val="22"/>
          <w:szCs w:val="22"/>
          <w:color w:val="auto"/>
        </w:rPr>
        <w:t>Chief of Staff, Operations</w:t>
      </w:r>
    </w:p>
    <w:p>
      <w:pPr>
        <w:ind w:left="20"/>
        <w:spacing w:after="0" w:line="231" w:lineRule="auto"/>
        <w:rPr>
          <w:sz w:val="20"/>
          <w:szCs w:val="20"/>
          <w:color w:val="auto"/>
        </w:rPr>
      </w:pPr>
      <w:r>
        <w:rPr>
          <w:rFonts w:ascii="Times New Roman" w:cs="Times New Roman" w:eastAsia="Times New Roman" w:hAnsi="Times New Roman"/>
          <w:sz w:val="22"/>
          <w:szCs w:val="22"/>
          <w:color w:val="auto"/>
        </w:rPr>
        <w:t>Vice Presidents, Partnership Development</w:t>
      </w:r>
    </w:p>
    <w:p>
      <w:pPr>
        <w:ind w:left="20"/>
        <w:spacing w:after="0"/>
        <w:rPr>
          <w:sz w:val="20"/>
          <w:szCs w:val="20"/>
          <w:color w:val="auto"/>
        </w:rPr>
      </w:pPr>
      <w:r>
        <w:rPr>
          <w:rFonts w:ascii="Times New Roman" w:cs="Times New Roman" w:eastAsia="Times New Roman" w:hAnsi="Times New Roman"/>
          <w:sz w:val="21"/>
          <w:szCs w:val="21"/>
          <w:color w:val="auto"/>
        </w:rPr>
        <w:t>Managing Directors, Partnership Development</w:t>
      </w:r>
    </w:p>
    <w:p>
      <w:pPr>
        <w:ind w:left="20"/>
        <w:spacing w:after="0" w:line="231" w:lineRule="auto"/>
        <w:rPr>
          <w:sz w:val="20"/>
          <w:szCs w:val="20"/>
          <w:color w:val="auto"/>
        </w:rPr>
      </w:pPr>
      <w:r>
        <w:rPr>
          <w:rFonts w:ascii="Times New Roman" w:cs="Times New Roman" w:eastAsia="Times New Roman" w:hAnsi="Times New Roman"/>
          <w:sz w:val="22"/>
          <w:szCs w:val="22"/>
          <w:color w:val="auto"/>
        </w:rPr>
        <w:t>Senior Advisors, Partnership Development</w:t>
      </w:r>
    </w:p>
    <w:p>
      <w:pPr>
        <w:ind w:left="20"/>
        <w:spacing w:after="0" w:line="231" w:lineRule="auto"/>
        <w:rPr>
          <w:sz w:val="20"/>
          <w:szCs w:val="20"/>
          <w:color w:val="auto"/>
        </w:rPr>
      </w:pPr>
      <w:r>
        <w:rPr>
          <w:rFonts w:ascii="Times New Roman" w:cs="Times New Roman" w:eastAsia="Times New Roman" w:hAnsi="Times New Roman"/>
          <w:sz w:val="22"/>
          <w:szCs w:val="22"/>
          <w:color w:val="auto"/>
        </w:rPr>
        <w:t>Senior Directors, Partnership Development</w:t>
      </w:r>
    </w:p>
    <w:p>
      <w:pPr>
        <w:ind w:left="20"/>
        <w:spacing w:after="0" w:line="231" w:lineRule="auto"/>
        <w:rPr>
          <w:sz w:val="20"/>
          <w:szCs w:val="20"/>
          <w:color w:val="auto"/>
        </w:rPr>
      </w:pPr>
      <w:r>
        <w:rPr>
          <w:rFonts w:ascii="Times New Roman" w:cs="Times New Roman" w:eastAsia="Times New Roman" w:hAnsi="Times New Roman"/>
          <w:sz w:val="22"/>
          <w:szCs w:val="22"/>
          <w:color w:val="auto"/>
        </w:rPr>
        <w:t>Vice Presidents, Finance</w:t>
      </w:r>
    </w:p>
    <w:p>
      <w:pPr>
        <w:ind w:left="20"/>
        <w:spacing w:after="0" w:line="230" w:lineRule="auto"/>
        <w:rPr>
          <w:sz w:val="20"/>
          <w:szCs w:val="20"/>
          <w:color w:val="auto"/>
        </w:rPr>
      </w:pPr>
      <w:r>
        <w:rPr>
          <w:rFonts w:ascii="Times New Roman" w:cs="Times New Roman" w:eastAsia="Times New Roman" w:hAnsi="Times New Roman"/>
          <w:sz w:val="22"/>
          <w:szCs w:val="22"/>
          <w:color w:val="auto"/>
        </w:rPr>
        <w:t>Managing Directors, Finance</w:t>
      </w:r>
    </w:p>
    <w:p>
      <w:pPr>
        <w:ind w:left="20"/>
        <w:spacing w:after="0" w:line="231" w:lineRule="auto"/>
        <w:rPr>
          <w:sz w:val="20"/>
          <w:szCs w:val="20"/>
          <w:color w:val="auto"/>
        </w:rPr>
      </w:pPr>
      <w:r>
        <w:rPr>
          <w:rFonts w:ascii="Times New Roman" w:cs="Times New Roman" w:eastAsia="Times New Roman" w:hAnsi="Times New Roman"/>
          <w:sz w:val="22"/>
          <w:szCs w:val="22"/>
          <w:color w:val="auto"/>
        </w:rPr>
        <w:t>Senior Directors, Finance</w:t>
      </w:r>
    </w:p>
    <w:p>
      <w:pPr>
        <w:ind w:left="20"/>
        <w:spacing w:after="0" w:line="230" w:lineRule="auto"/>
        <w:rPr>
          <w:sz w:val="20"/>
          <w:szCs w:val="20"/>
          <w:color w:val="auto"/>
        </w:rPr>
      </w:pPr>
      <w:r>
        <w:rPr>
          <w:rFonts w:ascii="Times New Roman" w:cs="Times New Roman" w:eastAsia="Times New Roman" w:hAnsi="Times New Roman"/>
          <w:sz w:val="22"/>
          <w:szCs w:val="22"/>
          <w:color w:val="auto"/>
        </w:rPr>
        <w:t>Vice Presidents, Technology</w:t>
      </w:r>
    </w:p>
    <w:p>
      <w:pPr>
        <w:ind w:left="20"/>
        <w:spacing w:after="0" w:line="231" w:lineRule="auto"/>
        <w:rPr>
          <w:sz w:val="20"/>
          <w:szCs w:val="20"/>
          <w:color w:val="auto"/>
        </w:rPr>
      </w:pPr>
      <w:r>
        <w:rPr>
          <w:rFonts w:ascii="Times New Roman" w:cs="Times New Roman" w:eastAsia="Times New Roman" w:hAnsi="Times New Roman"/>
          <w:sz w:val="22"/>
          <w:szCs w:val="22"/>
          <w:color w:val="auto"/>
        </w:rPr>
        <w:t>Managing Directors, Technology</w:t>
      </w:r>
    </w:p>
    <w:p>
      <w:pPr>
        <w:ind w:left="20"/>
        <w:spacing w:after="0"/>
        <w:rPr>
          <w:sz w:val="20"/>
          <w:szCs w:val="20"/>
          <w:color w:val="auto"/>
        </w:rPr>
      </w:pPr>
      <w:r>
        <w:rPr>
          <w:rFonts w:ascii="Times New Roman" w:cs="Times New Roman" w:eastAsia="Times New Roman" w:hAnsi="Times New Roman"/>
          <w:sz w:val="22"/>
          <w:szCs w:val="22"/>
          <w:color w:val="auto"/>
        </w:rPr>
        <w:t>Vice President, Quality Assurance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Managing Directors, Quality Assurance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Senior Directors, Quality Assurance</w:t>
      </w:r>
    </w:p>
    <w:p>
      <w:pPr>
        <w:spacing w:after="0" w:line="230" w:lineRule="auto"/>
        <w:rPr>
          <w:sz w:val="20"/>
          <w:szCs w:val="20"/>
          <w:color w:val="auto"/>
        </w:rPr>
      </w:pPr>
      <w:r>
        <w:rPr>
          <w:rFonts w:ascii="Times New Roman" w:cs="Times New Roman" w:eastAsia="Times New Roman" w:hAnsi="Times New Roman"/>
          <w:sz w:val="22"/>
          <w:szCs w:val="22"/>
          <w:color w:val="auto"/>
        </w:rPr>
        <w:t>Deputy General Counsels, Legal</w:t>
      </w:r>
    </w:p>
    <w:p>
      <w:pPr>
        <w:spacing w:after="0" w:line="231" w:lineRule="auto"/>
        <w:rPr>
          <w:sz w:val="20"/>
          <w:szCs w:val="20"/>
          <w:color w:val="auto"/>
        </w:rPr>
      </w:pPr>
      <w:r>
        <w:rPr>
          <w:rFonts w:ascii="Times New Roman" w:cs="Times New Roman" w:eastAsia="Times New Roman" w:hAnsi="Times New Roman"/>
          <w:sz w:val="22"/>
          <w:szCs w:val="22"/>
          <w:color w:val="auto"/>
        </w:rPr>
        <w:t>Associate General Counsels, Legal</w:t>
      </w:r>
    </w:p>
    <w:p>
      <w:pPr>
        <w:spacing w:after="0" w:line="230" w:lineRule="auto"/>
        <w:rPr>
          <w:sz w:val="20"/>
          <w:szCs w:val="20"/>
          <w:color w:val="auto"/>
        </w:rPr>
      </w:pPr>
      <w:r>
        <w:rPr>
          <w:rFonts w:ascii="Times New Roman" w:cs="Times New Roman" w:eastAsia="Times New Roman" w:hAnsi="Times New Roman"/>
          <w:sz w:val="22"/>
          <w:szCs w:val="22"/>
          <w:color w:val="auto"/>
        </w:rPr>
        <w:t>Managing Directors, Legal</w:t>
      </w:r>
    </w:p>
    <w:p>
      <w:pPr>
        <w:spacing w:after="0" w:line="231" w:lineRule="auto"/>
        <w:rPr>
          <w:sz w:val="20"/>
          <w:szCs w:val="20"/>
          <w:color w:val="auto"/>
        </w:rPr>
      </w:pPr>
      <w:r>
        <w:rPr>
          <w:rFonts w:ascii="Times New Roman" w:cs="Times New Roman" w:eastAsia="Times New Roman" w:hAnsi="Times New Roman"/>
          <w:sz w:val="22"/>
          <w:szCs w:val="22"/>
          <w:color w:val="auto"/>
        </w:rPr>
        <w:t>Assistant General Counsels, Legal</w:t>
      </w:r>
    </w:p>
    <w:p>
      <w:pPr>
        <w:spacing w:after="0" w:line="230" w:lineRule="auto"/>
        <w:rPr>
          <w:sz w:val="20"/>
          <w:szCs w:val="20"/>
          <w:color w:val="auto"/>
        </w:rPr>
      </w:pPr>
      <w:r>
        <w:rPr>
          <w:rFonts w:ascii="Times New Roman" w:cs="Times New Roman" w:eastAsia="Times New Roman" w:hAnsi="Times New Roman"/>
          <w:sz w:val="22"/>
          <w:szCs w:val="22"/>
          <w:color w:val="auto"/>
        </w:rPr>
        <w:t>Senior Directors, Legal</w:t>
      </w:r>
    </w:p>
    <w:p>
      <w:pPr>
        <w:spacing w:after="0" w:line="231" w:lineRule="auto"/>
        <w:rPr>
          <w:sz w:val="20"/>
          <w:szCs w:val="20"/>
          <w:color w:val="auto"/>
        </w:rPr>
      </w:pPr>
      <w:r>
        <w:rPr>
          <w:rFonts w:ascii="Times New Roman" w:cs="Times New Roman" w:eastAsia="Times New Roman" w:hAnsi="Times New Roman"/>
          <w:sz w:val="22"/>
          <w:szCs w:val="22"/>
          <w:color w:val="auto"/>
        </w:rPr>
        <w:t>Vice Presidents, Operations</w:t>
      </w:r>
    </w:p>
    <w:p>
      <w:pPr>
        <w:spacing w:after="0" w:line="230" w:lineRule="auto"/>
        <w:rPr>
          <w:sz w:val="20"/>
          <w:szCs w:val="20"/>
          <w:color w:val="auto"/>
        </w:rPr>
      </w:pPr>
      <w:r>
        <w:rPr>
          <w:rFonts w:ascii="Times New Roman" w:cs="Times New Roman" w:eastAsia="Times New Roman" w:hAnsi="Times New Roman"/>
          <w:sz w:val="22"/>
          <w:szCs w:val="22"/>
          <w:color w:val="auto"/>
        </w:rPr>
        <w:t>Managing Directors, Operations</w:t>
      </w:r>
    </w:p>
    <w:p>
      <w:pPr>
        <w:spacing w:after="0" w:line="231" w:lineRule="auto"/>
        <w:rPr>
          <w:sz w:val="20"/>
          <w:szCs w:val="20"/>
          <w:color w:val="auto"/>
        </w:rPr>
      </w:pPr>
      <w:r>
        <w:rPr>
          <w:rFonts w:ascii="Times New Roman" w:cs="Times New Roman" w:eastAsia="Times New Roman" w:hAnsi="Times New Roman"/>
          <w:sz w:val="22"/>
          <w:szCs w:val="22"/>
          <w:color w:val="auto"/>
        </w:rPr>
        <w:t>Vice Presidents, Human Resources</w:t>
      </w:r>
    </w:p>
    <w:p>
      <w:pPr>
        <w:spacing w:after="0" w:line="230" w:lineRule="auto"/>
        <w:rPr>
          <w:sz w:val="20"/>
          <w:szCs w:val="20"/>
          <w:color w:val="auto"/>
        </w:rPr>
      </w:pPr>
      <w:r>
        <w:rPr>
          <w:rFonts w:ascii="Times New Roman" w:cs="Times New Roman" w:eastAsia="Times New Roman" w:hAnsi="Times New Roman"/>
          <w:sz w:val="22"/>
          <w:szCs w:val="22"/>
          <w:color w:val="auto"/>
        </w:rPr>
        <w:t>Managing Directors, Human Resources</w:t>
      </w:r>
    </w:p>
    <w:p>
      <w:pPr>
        <w:spacing w:after="0" w:line="231" w:lineRule="auto"/>
        <w:rPr>
          <w:sz w:val="20"/>
          <w:szCs w:val="20"/>
          <w:color w:val="auto"/>
        </w:rPr>
      </w:pPr>
      <w:r>
        <w:rPr>
          <w:rFonts w:ascii="Times New Roman" w:cs="Times New Roman" w:eastAsia="Times New Roman" w:hAnsi="Times New Roman"/>
          <w:sz w:val="22"/>
          <w:szCs w:val="22"/>
          <w:color w:val="auto"/>
        </w:rPr>
        <w:t>Vice Presidents, Real Estate</w:t>
      </w:r>
    </w:p>
    <w:p>
      <w:pPr>
        <w:spacing w:after="0" w:line="230" w:lineRule="auto"/>
        <w:rPr>
          <w:sz w:val="20"/>
          <w:szCs w:val="20"/>
          <w:color w:val="auto"/>
        </w:rPr>
      </w:pPr>
      <w:r>
        <w:rPr>
          <w:rFonts w:ascii="Times New Roman" w:cs="Times New Roman" w:eastAsia="Times New Roman" w:hAnsi="Times New Roman"/>
          <w:sz w:val="22"/>
          <w:szCs w:val="22"/>
          <w:color w:val="auto"/>
        </w:rPr>
        <w:t>Vice Presidents, Strategy and Innovation</w:t>
      </w:r>
    </w:p>
    <w:p>
      <w:pPr>
        <w:spacing w:after="0" w:line="231" w:lineRule="auto"/>
        <w:rPr>
          <w:sz w:val="20"/>
          <w:szCs w:val="20"/>
          <w:color w:val="auto"/>
        </w:rPr>
      </w:pPr>
      <w:r>
        <w:rPr>
          <w:rFonts w:ascii="Times New Roman" w:cs="Times New Roman" w:eastAsia="Times New Roman" w:hAnsi="Times New Roman"/>
          <w:sz w:val="22"/>
          <w:szCs w:val="22"/>
          <w:color w:val="auto"/>
        </w:rPr>
        <w:t>Vice President, Ethics and Compliance</w:t>
      </w:r>
    </w:p>
    <w:p>
      <w:pPr>
        <w:spacing w:after="0" w:line="230" w:lineRule="auto"/>
        <w:rPr>
          <w:sz w:val="20"/>
          <w:szCs w:val="20"/>
          <w:color w:val="auto"/>
        </w:rPr>
      </w:pPr>
      <w:r>
        <w:rPr>
          <w:rFonts w:ascii="Times New Roman" w:cs="Times New Roman" w:eastAsia="Times New Roman" w:hAnsi="Times New Roman"/>
          <w:sz w:val="22"/>
          <w:szCs w:val="22"/>
          <w:color w:val="auto"/>
        </w:rPr>
        <w:t>Managing Directors, Real Estate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Managing Directors, Strategy &amp; Innovation</w:t>
      </w:r>
    </w:p>
    <w:p>
      <w:pPr>
        <w:spacing w:after="0" w:line="231" w:lineRule="auto"/>
        <w:rPr>
          <w:sz w:val="20"/>
          <w:szCs w:val="20"/>
          <w:color w:val="auto"/>
        </w:rPr>
      </w:pPr>
      <w:r>
        <w:rPr>
          <w:rFonts w:ascii="Times New Roman" w:cs="Times New Roman" w:eastAsia="Times New Roman" w:hAnsi="Times New Roman"/>
          <w:sz w:val="22"/>
          <w:szCs w:val="22"/>
          <w:color w:val="auto"/>
        </w:rPr>
        <w:t>President, TransCor America</w:t>
      </w:r>
    </w:p>
    <w:p>
      <w:pPr>
        <w:spacing w:after="0" w:line="231" w:lineRule="auto"/>
        <w:rPr>
          <w:sz w:val="20"/>
          <w:szCs w:val="20"/>
          <w:color w:val="auto"/>
        </w:rPr>
      </w:pPr>
      <w:r>
        <w:rPr>
          <w:rFonts w:ascii="Times New Roman" w:cs="Times New Roman" w:eastAsia="Times New Roman" w:hAnsi="Times New Roman"/>
          <w:sz w:val="22"/>
          <w:szCs w:val="22"/>
          <w:color w:val="auto"/>
        </w:rPr>
        <w:t>Chief Medical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Dental Officer</w:t>
      </w:r>
    </w:p>
    <w:p>
      <w:pPr>
        <w:spacing w:after="0" w:line="200" w:lineRule="exact"/>
        <w:rPr>
          <w:sz w:val="20"/>
          <w:szCs w:val="20"/>
          <w:color w:val="auto"/>
        </w:rPr>
      </w:pPr>
    </w:p>
    <w:p>
      <w:pPr>
        <w:sectPr>
          <w:pgSz w:w="11900" w:h="16838" w:orient="portrait"/>
          <w:cols w:equalWidth="0" w:num="2">
            <w:col w:w="5040" w:space="720"/>
            <w:col w:w="5480"/>
          </w:cols>
          <w:pgMar w:left="320" w:top="756" w:right="3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Group 3 </w:t>
      </w:r>
      <w:r>
        <w:rPr>
          <w:rFonts w:ascii="Times New Roman" w:cs="Times New Roman" w:eastAsia="Times New Roman" w:hAnsi="Times New Roman"/>
          <w:sz w:val="21"/>
          <w:szCs w:val="21"/>
          <w:color w:val="auto"/>
        </w:rPr>
        <w:t>includes all persons who hold these titles/roles:</w:t>
      </w:r>
    </w:p>
    <w:p>
      <w:pPr>
        <w:sectPr>
          <w:pgSz w:w="11900" w:h="16838" w:orient="portrait"/>
          <w:cols w:equalWidth="0" w:num="1">
            <w:col w:w="11240"/>
          </w:cols>
          <w:pgMar w:left="320" w:top="756" w:right="339" w:bottom="1440" w:gutter="0" w:footer="0" w:header="0"/>
          <w:type w:val="continuous"/>
        </w:sect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Members of the Board of Directors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Chairman of the Board of Directors</w:t>
      </w:r>
    </w:p>
    <w:p>
      <w:pPr>
        <w:ind w:left="20"/>
        <w:spacing w:after="0" w:line="231" w:lineRule="auto"/>
        <w:rPr>
          <w:sz w:val="20"/>
          <w:szCs w:val="20"/>
          <w:color w:val="auto"/>
        </w:rPr>
      </w:pPr>
      <w:r>
        <w:rPr>
          <w:rFonts w:ascii="Times New Roman" w:cs="Times New Roman" w:eastAsia="Times New Roman" w:hAnsi="Times New Roman"/>
          <w:sz w:val="22"/>
          <w:szCs w:val="22"/>
          <w:color w:val="auto"/>
        </w:rPr>
        <w:t>Chief Executive Officer</w:t>
      </w:r>
    </w:p>
    <w:p>
      <w:pPr>
        <w:ind w:left="20"/>
        <w:spacing w:after="0" w:line="231" w:lineRule="auto"/>
        <w:rPr>
          <w:sz w:val="20"/>
          <w:szCs w:val="20"/>
          <w:color w:val="auto"/>
        </w:rPr>
      </w:pPr>
      <w:r>
        <w:rPr>
          <w:rFonts w:ascii="Times New Roman" w:cs="Times New Roman" w:eastAsia="Times New Roman" w:hAnsi="Times New Roman"/>
          <w:sz w:val="22"/>
          <w:szCs w:val="22"/>
          <w:color w:val="auto"/>
        </w:rPr>
        <w:t>President</w:t>
      </w:r>
    </w:p>
    <w:p>
      <w:pPr>
        <w:ind w:left="20"/>
        <w:spacing w:after="0" w:line="231" w:lineRule="auto"/>
        <w:rPr>
          <w:sz w:val="20"/>
          <w:szCs w:val="20"/>
          <w:color w:val="auto"/>
        </w:rPr>
      </w:pPr>
      <w:r>
        <w:rPr>
          <w:rFonts w:ascii="Times New Roman" w:cs="Times New Roman" w:eastAsia="Times New Roman" w:hAnsi="Times New Roman"/>
          <w:sz w:val="22"/>
          <w:szCs w:val="22"/>
          <w:color w:val="auto"/>
        </w:rPr>
        <w:t>Chief Financial Officer</w:t>
      </w:r>
    </w:p>
    <w:p>
      <w:pPr>
        <w:ind w:left="20"/>
        <w:spacing w:after="0" w:line="230" w:lineRule="auto"/>
        <w:rPr>
          <w:sz w:val="20"/>
          <w:szCs w:val="20"/>
          <w:color w:val="auto"/>
        </w:rPr>
      </w:pPr>
      <w:r>
        <w:rPr>
          <w:rFonts w:ascii="Times New Roman" w:cs="Times New Roman" w:eastAsia="Times New Roman" w:hAnsi="Times New Roman"/>
          <w:sz w:val="22"/>
          <w:szCs w:val="22"/>
          <w:color w:val="auto"/>
        </w:rPr>
        <w:t>Chief Development Officer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Chief Innovation Officer</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General Counsel</w:t>
      </w:r>
    </w:p>
    <w:p>
      <w:pPr>
        <w:spacing w:after="0" w:line="230" w:lineRule="auto"/>
        <w:rPr>
          <w:sz w:val="20"/>
          <w:szCs w:val="20"/>
          <w:color w:val="auto"/>
        </w:rPr>
      </w:pPr>
      <w:r>
        <w:rPr>
          <w:rFonts w:ascii="Times New Roman" w:cs="Times New Roman" w:eastAsia="Times New Roman" w:hAnsi="Times New Roman"/>
          <w:sz w:val="22"/>
          <w:szCs w:val="22"/>
          <w:color w:val="auto"/>
        </w:rPr>
        <w:t>Compliance Officer</w:t>
      </w:r>
    </w:p>
    <w:p>
      <w:pPr>
        <w:spacing w:after="0" w:line="231" w:lineRule="auto"/>
        <w:rPr>
          <w:sz w:val="20"/>
          <w:szCs w:val="20"/>
          <w:color w:val="auto"/>
        </w:rPr>
      </w:pPr>
      <w:r>
        <w:rPr>
          <w:rFonts w:ascii="Times New Roman" w:cs="Times New Roman" w:eastAsia="Times New Roman" w:hAnsi="Times New Roman"/>
          <w:sz w:val="22"/>
          <w:szCs w:val="22"/>
          <w:color w:val="auto"/>
        </w:rPr>
        <w:t>Chief Operating Officer</w:t>
      </w:r>
    </w:p>
    <w:p>
      <w:pPr>
        <w:spacing w:after="0" w:line="230" w:lineRule="auto"/>
        <w:rPr>
          <w:sz w:val="20"/>
          <w:szCs w:val="20"/>
          <w:color w:val="auto"/>
        </w:rPr>
      </w:pPr>
      <w:r>
        <w:rPr>
          <w:rFonts w:ascii="Times New Roman" w:cs="Times New Roman" w:eastAsia="Times New Roman" w:hAnsi="Times New Roman"/>
          <w:sz w:val="22"/>
          <w:szCs w:val="22"/>
          <w:color w:val="auto"/>
        </w:rPr>
        <w:t>Senior Vice Presidents</w:t>
      </w:r>
    </w:p>
    <w:p>
      <w:pPr>
        <w:spacing w:after="0" w:line="231" w:lineRule="auto"/>
        <w:rPr>
          <w:sz w:val="20"/>
          <w:szCs w:val="20"/>
          <w:color w:val="auto"/>
        </w:rPr>
      </w:pPr>
      <w:r>
        <w:rPr>
          <w:rFonts w:ascii="Times New Roman" w:cs="Times New Roman" w:eastAsia="Times New Roman" w:hAnsi="Times New Roman"/>
          <w:sz w:val="22"/>
          <w:szCs w:val="22"/>
          <w:color w:val="auto"/>
        </w:rPr>
        <w:t>Executive Vice Presidents</w:t>
      </w:r>
    </w:p>
    <w:p>
      <w:pPr>
        <w:spacing w:after="0"/>
        <w:rPr>
          <w:sz w:val="20"/>
          <w:szCs w:val="20"/>
          <w:color w:val="auto"/>
        </w:rPr>
      </w:pPr>
      <w:r>
        <w:rPr>
          <w:rFonts w:ascii="Times New Roman" w:cs="Times New Roman" w:eastAsia="Times New Roman" w:hAnsi="Times New Roman"/>
          <w:sz w:val="21"/>
          <w:szCs w:val="21"/>
          <w:color w:val="auto"/>
        </w:rPr>
        <w:t>Vice President, Finance and Controller</w:t>
      </w:r>
    </w:p>
    <w:p>
      <w:pPr>
        <w:spacing w:after="0" w:line="211" w:lineRule="exact"/>
        <w:rPr>
          <w:sz w:val="20"/>
          <w:szCs w:val="20"/>
          <w:color w:val="auto"/>
        </w:rPr>
      </w:pPr>
    </w:p>
    <w:p>
      <w:pPr>
        <w:sectPr>
          <w:pgSz w:w="11900" w:h="16838" w:orient="portrait"/>
          <w:cols w:equalWidth="0" w:num="2">
            <w:col w:w="5040" w:space="720"/>
            <w:col w:w="5480"/>
          </w:cols>
          <w:pgMar w:left="320" w:top="75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22"/>
          <w:szCs w:val="22"/>
          <w:b w:val="1"/>
          <w:bCs w:val="1"/>
          <w:color w:val="auto"/>
        </w:rPr>
        <w:t>*Persons unable to determine their group membership from the list above should contact the Compliance Officer for clarification before transacting in Company securities.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309880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56" w:name="page157"/>
    <w:bookmarkEnd w:id="156"/>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Pre-Clearance Procedures</w:t>
      </w:r>
    </w:p>
    <w:p>
      <w:pPr>
        <w:spacing w:after="0" w:line="227" w:lineRule="exact"/>
        <w:rPr>
          <w:sz w:val="20"/>
          <w:szCs w:val="20"/>
          <w:color w:val="auto"/>
        </w:rPr>
      </w:pPr>
    </w:p>
    <w:p>
      <w:pPr>
        <w:jc w:val="both"/>
        <w:ind w:firstLine="823"/>
        <w:spacing w:after="0" w:line="238" w:lineRule="auto"/>
        <w:rPr>
          <w:sz w:val="20"/>
          <w:szCs w:val="20"/>
          <w:color w:val="auto"/>
        </w:rPr>
      </w:pPr>
      <w:r>
        <w:rPr>
          <w:rFonts w:ascii="Times New Roman" w:cs="Times New Roman" w:eastAsia="Times New Roman" w:hAnsi="Times New Roman"/>
          <w:sz w:val="22"/>
          <w:szCs w:val="22"/>
          <w:color w:val="auto"/>
        </w:rPr>
        <w:t>As a result of the adverse consequences which could result from Section 16 reporting violations, CoreCivic has adopted the following pre-clearance procedures for its Section 16 insiders. These procedures are designed to assist you in avoiding inadvertent securities laws violations and in meeting your filing responsibilities under Section 16(a). Capitalized terms used but not defined herein shall have the meanings ascribed to them in CoreCivic’s Second Amended and Restated Insider Trading Guidelines.</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The primary features of the pre-clearance procedures are:</w:t>
      </w:r>
    </w:p>
    <w:p>
      <w:pPr>
        <w:spacing w:after="0" w:line="206" w:lineRule="exact"/>
        <w:rPr>
          <w:sz w:val="20"/>
          <w:szCs w:val="20"/>
          <w:color w:val="auto"/>
        </w:rPr>
      </w:pPr>
    </w:p>
    <w:p>
      <w:pPr>
        <w:ind w:left="1220" w:hanging="374"/>
        <w:spacing w:after="0"/>
        <w:tabs>
          <w:tab w:leader="none" w:pos="122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a filing coordinator</w:t>
      </w:r>
      <w:r>
        <w:rPr>
          <w:rFonts w:ascii="Times New Roman" w:cs="Times New Roman" w:eastAsia="Times New Roman" w:hAnsi="Times New Roman"/>
          <w:sz w:val="22"/>
          <w:szCs w:val="22"/>
          <w:color w:val="auto"/>
        </w:rPr>
        <w:t xml:space="preserve"> to assist Section 16 insiders in preparing all Forms 3, 4 and 5 filings.</w:t>
      </w:r>
    </w:p>
    <w:p>
      <w:pPr>
        <w:spacing w:after="0" w:line="206" w:lineRule="exact"/>
        <w:rPr>
          <w:rFonts w:ascii="Times New Roman" w:cs="Times New Roman" w:eastAsia="Times New Roman" w:hAnsi="Times New Roman"/>
          <w:sz w:val="22"/>
          <w:szCs w:val="22"/>
          <w:color w:val="auto"/>
        </w:rPr>
      </w:pPr>
    </w:p>
    <w:p>
      <w:pPr>
        <w:jc w:val="both"/>
        <w:ind w:left="1220" w:hanging="374"/>
        <w:spacing w:after="0" w:line="244" w:lineRule="auto"/>
        <w:tabs>
          <w:tab w:leader="none" w:pos="122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pre-clearance of all transactions in CoreCivic securities</w:t>
      </w:r>
      <w:r>
        <w:rPr>
          <w:rFonts w:ascii="Times New Roman" w:cs="Times New Roman" w:eastAsia="Times New Roman" w:hAnsi="Times New Roman"/>
          <w:sz w:val="22"/>
          <w:szCs w:val="22"/>
          <w:color w:val="auto"/>
        </w:rPr>
        <w:t xml:space="preserve"> to ensure that, together with Item 3 below, all required Section 16 reports are filed on a timely basis and to otherwise avoid inadvertent violation of federal securities laws.</w:t>
      </w:r>
    </w:p>
    <w:p>
      <w:pPr>
        <w:spacing w:after="0" w:line="173" w:lineRule="exact"/>
        <w:rPr>
          <w:rFonts w:ascii="Times New Roman" w:cs="Times New Roman" w:eastAsia="Times New Roman" w:hAnsi="Times New Roman"/>
          <w:sz w:val="22"/>
          <w:szCs w:val="22"/>
          <w:color w:val="auto"/>
        </w:rPr>
      </w:pPr>
    </w:p>
    <w:p>
      <w:pPr>
        <w:ind w:left="1220" w:hanging="374"/>
        <w:spacing w:after="0"/>
        <w:tabs>
          <w:tab w:leader="none" w:pos="1220"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Filing of Forms 3, 4 and 5 on behalf of Section 16 insiders</w:t>
      </w:r>
      <w:r>
        <w:rPr>
          <w:rFonts w:ascii="Times New Roman" w:cs="Times New Roman" w:eastAsia="Times New Roman" w:hAnsi="Times New Roman"/>
          <w:sz w:val="21"/>
          <w:szCs w:val="21"/>
          <w:color w:val="auto"/>
        </w:rPr>
        <w:t xml:space="preserve"> to ensure timely filing of all required Section 16 reports.</w:t>
      </w:r>
    </w:p>
    <w:p>
      <w:pPr>
        <w:spacing w:after="0" w:line="217" w:lineRule="exact"/>
        <w:rPr>
          <w:rFonts w:ascii="Times New Roman" w:cs="Times New Roman" w:eastAsia="Times New Roman" w:hAnsi="Times New Roman"/>
          <w:sz w:val="21"/>
          <w:szCs w:val="21"/>
          <w:color w:val="auto"/>
        </w:rPr>
      </w:pPr>
    </w:p>
    <w:p>
      <w:pPr>
        <w:ind w:left="520" w:hanging="512"/>
        <w:spacing w:after="0"/>
        <w:tabs>
          <w:tab w:leader="none" w:pos="520" w:val="left"/>
        </w:tabs>
        <w:numPr>
          <w:ilvl w:val="0"/>
          <w:numId w:val="6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Designation of a Filing Coordinator</w:t>
      </w:r>
    </w:p>
    <w:p>
      <w:pPr>
        <w:spacing w:after="0" w:line="206" w:lineRule="exact"/>
        <w:rPr>
          <w:sz w:val="20"/>
          <w:szCs w:val="20"/>
          <w:color w:val="auto"/>
        </w:rPr>
      </w:pPr>
    </w:p>
    <w:p>
      <w:pPr>
        <w:jc w:val="both"/>
        <w:ind w:firstLine="823"/>
        <w:spacing w:after="0" w:line="239" w:lineRule="auto"/>
        <w:rPr>
          <w:sz w:val="20"/>
          <w:szCs w:val="20"/>
          <w:color w:val="auto"/>
        </w:rPr>
      </w:pPr>
      <w:r>
        <w:rPr>
          <w:rFonts w:ascii="Times New Roman" w:cs="Times New Roman" w:eastAsia="Times New Roman" w:hAnsi="Times New Roman"/>
          <w:sz w:val="22"/>
          <w:szCs w:val="22"/>
          <w:color w:val="auto"/>
        </w:rPr>
        <w:t>In order to ensure that all Section 16 reports (Forms 3, 4 and 5) are filed accurately and in a timely fashion, the Company has designated “Filing Coordinators” to assist all Section 16 reporting persons in preparing and/or reviewing all Form 3, Form 4 and Form 5 filings. The Company’s Filing Coordinators are the Managing Director, Investor Relations, and such person(s) as may be appointed from time to time by the General Counsel.</w:t>
      </w:r>
    </w:p>
    <w:p>
      <w:pPr>
        <w:spacing w:after="0" w:line="180" w:lineRule="exact"/>
        <w:rPr>
          <w:sz w:val="20"/>
          <w:szCs w:val="20"/>
          <w:color w:val="auto"/>
        </w:rPr>
      </w:pPr>
    </w:p>
    <w:p>
      <w:pPr>
        <w:jc w:val="both"/>
        <w:ind w:firstLine="823"/>
        <w:spacing w:after="0" w:line="235" w:lineRule="auto"/>
        <w:rPr>
          <w:sz w:val="20"/>
          <w:szCs w:val="20"/>
          <w:color w:val="auto"/>
        </w:rPr>
      </w:pPr>
      <w:r>
        <w:rPr>
          <w:rFonts w:ascii="Times New Roman" w:cs="Times New Roman" w:eastAsia="Times New Roman" w:hAnsi="Times New Roman"/>
          <w:sz w:val="22"/>
          <w:szCs w:val="22"/>
          <w:color w:val="auto"/>
        </w:rPr>
        <w:t>The Filing Coordinators keep a record of each reporting person’s beneficial ownership (based on information provided by such person) and makes any required filings with the SEC. The SEC permits all required Forms to be signed and filed with the SEC by a party other than the reporting person, provided that a power of attorney authorizing such is filed with the SEC. This allows us to make timely filings, for example, when you are unavailable or do not have access to the means to make a filing. A standing power of attorney provides certain CoreCivic officers with the authority to sign and file Section 16 forms on your behalf, and is required of all Section 16 insiders. If the Company has not already done so, you will be contacted to obtain a power of attorney.</w:t>
      </w:r>
    </w:p>
    <w:p>
      <w:pPr>
        <w:spacing w:after="0" w:line="183"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Mandatory Pre-Clearance of All Transactions in the Company’s Securities</w:t>
      </w:r>
    </w:p>
    <w:p>
      <w:pPr>
        <w:spacing w:after="0" w:line="206" w:lineRule="exact"/>
        <w:rPr>
          <w:sz w:val="20"/>
          <w:szCs w:val="20"/>
          <w:color w:val="auto"/>
        </w:rPr>
      </w:pPr>
    </w:p>
    <w:p>
      <w:pPr>
        <w:jc w:val="both"/>
        <w:ind w:firstLine="823"/>
        <w:spacing w:after="0" w:line="236" w:lineRule="auto"/>
        <w:rPr>
          <w:sz w:val="20"/>
          <w:szCs w:val="20"/>
          <w:color w:val="auto"/>
        </w:rPr>
      </w:pPr>
      <w:r>
        <w:rPr>
          <w:rFonts w:ascii="Times New Roman" w:cs="Times New Roman" w:eastAsia="Times New Roman" w:hAnsi="Times New Roman"/>
          <w:sz w:val="22"/>
          <w:szCs w:val="22"/>
          <w:color w:val="auto"/>
        </w:rPr>
        <w:t xml:space="preserve">You may not engage in any transaction involving CoreCivic securities (including a stock plan transaction such as an option exercise, a gift, a dividend reinvestment plan, a contribution to a trust, or any other transfer) without first obtaining pre-clearance of the transaction from the Compliance Officer. A request for pre-clearance must be submitted to the Compliance Officer </w:t>
      </w:r>
      <w:r>
        <w:rPr>
          <w:rFonts w:ascii="Times New Roman" w:cs="Times New Roman" w:eastAsia="Times New Roman" w:hAnsi="Times New Roman"/>
          <w:sz w:val="22"/>
          <w:szCs w:val="22"/>
          <w:u w:val="single" w:color="auto"/>
          <w:color w:val="auto"/>
        </w:rPr>
        <w:t>at least three (3) trading days</w:t>
      </w:r>
      <w:r>
        <w:rPr>
          <w:rFonts w:ascii="Times New Roman" w:cs="Times New Roman" w:eastAsia="Times New Roman" w:hAnsi="Times New Roman"/>
          <w:sz w:val="22"/>
          <w:szCs w:val="22"/>
          <w:color w:val="auto"/>
        </w:rPr>
        <w:t xml:space="preserve"> in advance of the proposed transaction. A form Securities Transaction Clearance Form is attached. You may also make the request by phone or through your broker, as long as the required information is provided. The Compliance Officer will then determine whether the transaction may proceed and you or your broker will be notified.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7" w:name="page158"/>
    <w:bookmarkEnd w:id="157"/>
    <w:p>
      <w:pPr>
        <w:ind w:left="10440"/>
        <w:spacing w:after="0"/>
        <w:rPr>
          <w:sz w:val="20"/>
          <w:szCs w:val="20"/>
          <w:color w:val="auto"/>
        </w:rPr>
      </w:pPr>
      <w:r>
        <w:rPr>
          <w:rFonts w:ascii="Times New Roman" w:cs="Times New Roman" w:eastAsia="Times New Roman" w:hAnsi="Times New Roman"/>
          <w:sz w:val="21"/>
          <w:szCs w:val="21"/>
          <w:b w:val="1"/>
          <w:bCs w:val="1"/>
          <w:u w:val="single" w:color="auto"/>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749"/>
        <w:spacing w:after="0" w:line="227" w:lineRule="auto"/>
        <w:rPr>
          <w:sz w:val="20"/>
          <w:szCs w:val="20"/>
          <w:color w:val="auto"/>
        </w:rPr>
      </w:pPr>
      <w:r>
        <w:rPr>
          <w:rFonts w:ascii="Times New Roman" w:cs="Times New Roman" w:eastAsia="Times New Roman" w:hAnsi="Times New Roman"/>
          <w:sz w:val="22"/>
          <w:szCs w:val="22"/>
          <w:color w:val="auto"/>
        </w:rPr>
        <w:t xml:space="preserve">Following authorization, you will be required to complete the transaction prior to the end of the </w:t>
      </w:r>
      <w:r>
        <w:rPr>
          <w:rFonts w:ascii="Times New Roman" w:cs="Times New Roman" w:eastAsia="Times New Roman" w:hAnsi="Times New Roman"/>
          <w:sz w:val="22"/>
          <w:szCs w:val="22"/>
          <w:u w:val="single" w:color="auto"/>
          <w:color w:val="auto"/>
        </w:rPr>
        <w:t>third (3</w:t>
      </w:r>
      <w:r>
        <w:rPr>
          <w:rFonts w:ascii="Times New Roman" w:cs="Times New Roman" w:eastAsia="Times New Roman" w:hAnsi="Times New Roman"/>
          <w:sz w:val="28"/>
          <w:szCs w:val="28"/>
          <w:u w:val="single" w:color="auto"/>
          <w:color w:val="auto"/>
          <w:vertAlign w:val="superscript"/>
        </w:rPr>
        <w:t>rd</w:t>
      </w:r>
      <w:r>
        <w:rPr>
          <w:rFonts w:ascii="Times New Roman" w:cs="Times New Roman" w:eastAsia="Times New Roman" w:hAnsi="Times New Roman"/>
          <w:sz w:val="22"/>
          <w:szCs w:val="22"/>
          <w:u w:val="single" w:color="auto"/>
          <w:color w:val="auto"/>
        </w:rPr>
        <w:t>) trading day</w:t>
      </w:r>
      <w:r>
        <w:rPr>
          <w:rFonts w:ascii="Times New Roman" w:cs="Times New Roman" w:eastAsia="Times New Roman" w:hAnsi="Times New Roman"/>
          <w:sz w:val="22"/>
          <w:szCs w:val="22"/>
          <w:color w:val="auto"/>
        </w:rPr>
        <w:t xml:space="preserve"> following the date of receipt of authorization. In the event the transaction cannot be completed within the prescribed time period, you must specify this fact in your clearance request and obtain a special exemption to complete the transaction within an extended time period. A Filing Coordinator should be notified immediately following the completion of any authorized transaction (as well as with respect to any transaction in CoreCivic’s securities, whether authorized or otherwise). A form Notification of Transaction Completion is attached. You may also make the notification by phone or through your broker, as long as the required information is provided.</w:t>
      </w:r>
    </w:p>
    <w:p>
      <w:pPr>
        <w:spacing w:after="0" w:line="177"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Broker Interface</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In order to ensure compliance with the pre-clearance procedures outlined above and further help prevent inadvertent violations, an effective interface between the Compliance Officer, a Filing Coordinator and your broker is important. Accordingly, you are encouraged to provide a copy of the Company's Second Amended and Restated Insider Trading Guidelines, including these procedures and related forms, to your broker, to provide contact information to your broker for relevant Company officials and to instruct your broker to interface with Company officials well in advance of any planned transaction in CoreCivic securities.</w:t>
      </w:r>
    </w:p>
    <w:p>
      <w:pPr>
        <w:spacing w:after="0" w:line="141"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Preparing and Filing Forms 3, 4 and 5</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 Filing Coordinator will prepare a Form 3 upon an individual’s assumption of insider status. In addition, a Filing Coordinator will assist all Section 16 insiders in preparing a Form 4 whenever there is an acquisition or disposition of securities that would require a filing.</w:t>
      </w:r>
    </w:p>
    <w:p>
      <w:pPr>
        <w:spacing w:after="0" w:line="13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Because transactions under employee benefit plans can raise complex reporting issues and because, if reported improperly, such transactions can create the appearance of short-swing profit violations, a Filing Coordinator will automatically prepare the appropriate Form on your behalf whenever you acquire shares pursuant to an employee stock plan.</w:t>
      </w:r>
    </w:p>
    <w:p>
      <w:pPr>
        <w:spacing w:after="0" w:line="133"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Short-Swing Profits under Exchange Act Section 16(b)</w:t>
      </w:r>
    </w:p>
    <w:p>
      <w:pPr>
        <w:spacing w:after="0" w:line="17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In addition to the transaction reporting provisions of Section 16(a), Section 16(b) requires that a reporting person remit to the issuer (CoreCivic) any “short-swing profit” realized in either a purchase and sale, or a sale and purchase, which take place within a period of </w:t>
      </w:r>
      <w:r>
        <w:rPr>
          <w:rFonts w:ascii="Times New Roman" w:cs="Times New Roman" w:eastAsia="Times New Roman" w:hAnsi="Times New Roman"/>
          <w:sz w:val="22"/>
          <w:szCs w:val="22"/>
          <w:u w:val="single" w:color="auto"/>
          <w:color w:val="auto"/>
        </w:rPr>
        <w:t>less than six (6) months.</w:t>
      </w:r>
      <w:r>
        <w:rPr>
          <w:rFonts w:ascii="Times New Roman" w:cs="Times New Roman" w:eastAsia="Times New Roman" w:hAnsi="Times New Roman"/>
          <w:sz w:val="22"/>
          <w:szCs w:val="22"/>
          <w:color w:val="auto"/>
        </w:rPr>
        <w:t xml:space="preserve"> Regardless of the economic realities and whether the sale and purchase involved the same shares, the “profit” is calculated as the highest sale price and lowest purchase price of </w:t>
      </w:r>
      <w:r>
        <w:rPr>
          <w:rFonts w:ascii="Times New Roman" w:cs="Times New Roman" w:eastAsia="Times New Roman" w:hAnsi="Times New Roman"/>
          <w:sz w:val="22"/>
          <w:szCs w:val="22"/>
          <w:u w:val="single" w:color="auto"/>
          <w:color w:val="auto"/>
        </w:rPr>
        <w:t>any</w:t>
      </w:r>
      <w:r>
        <w:rPr>
          <w:rFonts w:ascii="Times New Roman" w:cs="Times New Roman" w:eastAsia="Times New Roman" w:hAnsi="Times New Roman"/>
          <w:sz w:val="22"/>
          <w:szCs w:val="22"/>
          <w:color w:val="auto"/>
        </w:rPr>
        <w:t xml:space="preserve"> transactions conducted within the six-month period. For several transactions, the difference between the next highest sale price and the next lowest sale price is calculated, and so forth.</w:t>
      </w:r>
    </w:p>
    <w:p>
      <w:pPr>
        <w:spacing w:after="0" w:line="14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As a part of obtaining pre-clearance, you should check with the Compliance Officer to review with you any actual or potential Section 16 matchable transactions that may result due to your trading activity.</w:t>
      </w:r>
    </w:p>
    <w:p>
      <w:pPr>
        <w:spacing w:after="0" w:line="118" w:lineRule="exact"/>
        <w:rPr>
          <w:sz w:val="20"/>
          <w:szCs w:val="20"/>
          <w:color w:val="auto"/>
        </w:rPr>
      </w:pPr>
    </w:p>
    <w:p>
      <w:pPr>
        <w:ind w:left="440" w:hanging="432"/>
        <w:spacing w:after="0"/>
        <w:tabs>
          <w:tab w:leader="none" w:pos="4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Your Responsibility for Section 16 Compliance</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While the Company has decided to assist you in complying with Section 16, you should recognize that, as with insider trading generally, it will ultimately remain your obligation to see that your filings are made timely and correctly and that you do not engage in unlawful short-swing transactions. CoreCivic cannot assume any legal responsibility in this regard.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Annex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CORECIVIC, INC. INSIDER TRADING POLICY</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ACKNOWLEDGMENT FORM</w:t>
      </w:r>
    </w:p>
    <w:p>
      <w:pPr>
        <w:spacing w:after="0" w:line="209" w:lineRule="exact"/>
        <w:rPr>
          <w:sz w:val="20"/>
          <w:szCs w:val="20"/>
          <w:color w:val="auto"/>
        </w:rPr>
      </w:pPr>
    </w:p>
    <w:p>
      <w:pPr>
        <w:jc w:val="both"/>
        <w:ind w:left="160" w:right="1280"/>
        <w:spacing w:after="0" w:line="258" w:lineRule="auto"/>
        <w:rPr>
          <w:sz w:val="20"/>
          <w:szCs w:val="20"/>
          <w:color w:val="auto"/>
        </w:rPr>
      </w:pPr>
      <w:r>
        <w:rPr>
          <w:rFonts w:ascii="Times New Roman" w:cs="Times New Roman" w:eastAsia="Times New Roman" w:hAnsi="Times New Roman"/>
          <w:sz w:val="22"/>
          <w:szCs w:val="22"/>
          <w:color w:val="auto"/>
        </w:rPr>
        <w:t>I have received and been provided the opportunity to read and understand those portions of CoreCivic’s Second Amended and Restated Insider Trading Guidelines that apply to me.</w:t>
      </w:r>
    </w:p>
    <w:p>
      <w:pPr>
        <w:spacing w:after="0" w:line="185" w:lineRule="exact"/>
        <w:rPr>
          <w:sz w:val="20"/>
          <w:szCs w:val="20"/>
          <w:color w:val="auto"/>
        </w:rPr>
      </w:pPr>
    </w:p>
    <w:p>
      <w:pPr>
        <w:jc w:val="both"/>
        <w:ind w:left="160" w:right="1280"/>
        <w:spacing w:after="0" w:line="239" w:lineRule="auto"/>
        <w:rPr>
          <w:sz w:val="20"/>
          <w:szCs w:val="20"/>
          <w:color w:val="auto"/>
        </w:rPr>
      </w:pPr>
      <w:r>
        <w:rPr>
          <w:rFonts w:ascii="Times New Roman" w:cs="Times New Roman" w:eastAsia="Times New Roman" w:hAnsi="Times New Roman"/>
          <w:sz w:val="22"/>
          <w:szCs w:val="22"/>
          <w:color w:val="auto"/>
        </w:rPr>
        <w:t>I understand that the Second Amended and Restated Insider Trading Guidelines represent official CoreCivic policies and procedures and that I am responsible for being familiar and complying with them. I acknowledge I should seek guidance if I have questions or am unsure about any matter covered in the Guidelines.</w:t>
      </w:r>
    </w:p>
    <w:p>
      <w:pPr>
        <w:spacing w:after="0" w:line="207" w:lineRule="exact"/>
        <w:rPr>
          <w:sz w:val="20"/>
          <w:szCs w:val="20"/>
          <w:color w:val="auto"/>
        </w:rPr>
      </w:pPr>
    </w:p>
    <w:p>
      <w:pPr>
        <w:jc w:val="both"/>
        <w:ind w:left="160" w:right="1280"/>
        <w:spacing w:after="0" w:line="244" w:lineRule="auto"/>
        <w:rPr>
          <w:sz w:val="20"/>
          <w:szCs w:val="20"/>
          <w:color w:val="auto"/>
        </w:rPr>
      </w:pPr>
      <w:r>
        <w:rPr>
          <w:rFonts w:ascii="Times New Roman" w:cs="Times New Roman" w:eastAsia="Times New Roman" w:hAnsi="Times New Roman"/>
          <w:sz w:val="22"/>
          <w:szCs w:val="22"/>
          <w:color w:val="auto"/>
        </w:rPr>
        <w:t>I agree to abide by the policies and procedures in the Second Amended and Restated Insider Trading Guidelines. I understand that my failure to do so may result in disciplinary action, up to and including termination of my employment or service relationship with CoreCivic.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152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-151130</wp:posOffset>
            </wp:positionV>
            <wp:extent cx="257175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 &amp; Position (Print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-151130</wp:posOffset>
            </wp:positionV>
            <wp:extent cx="257175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-151130</wp:posOffset>
            </wp:positionV>
            <wp:extent cx="257175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1">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318770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159" w:name="page160"/>
    <w:bookmarkEnd w:id="159"/>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CoreCivic</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Transaction Clearance Form</w:t>
      </w:r>
    </w:p>
    <w:p>
      <w:pPr>
        <w:spacing w:after="0" w:line="11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If you intend to transact in any of CoreCivic’s securities, please complete this form and hand deliver, fax or e-mail it to the office of the General Counsel (fax: 615-263-3050) at least three (3) trading days prior to the proposed transaction date. This clearance is valid only through the end of the third trading day following the date of authorization, unless otherwise authorized by the Company. </w:t>
      </w:r>
      <w:r>
        <w:rPr>
          <w:rFonts w:ascii="Times New Roman" w:cs="Times New Roman" w:eastAsia="Times New Roman" w:hAnsi="Times New Roman"/>
          <w:sz w:val="22"/>
          <w:szCs w:val="22"/>
          <w:i w:val="1"/>
          <w:iCs w:val="1"/>
          <w:color w:val="auto"/>
        </w:rPr>
        <w:t>Please complete one form for each type of security transaction requested.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 an Officer/Director of CoreCivic (the “Company”), hereby requests clearance to complete the following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transaction(s) in the Company’s securities: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Estimated Number or Range of Shares:__________________________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Security:</w:t>
      </w:r>
    </w:p>
    <w:p>
      <w:pPr>
        <w:sectPr>
          <w:pgSz w:w="11900" w:h="16838" w:orient="portrait"/>
          <w:cols w:equalWidth="0" w:num="1">
            <w:col w:w="11240"/>
          </w:cols>
          <w:pgMar w:left="320" w:top="1440" w:right="339" w:bottom="1440" w:gutter="0" w:footer="0" w:header="0"/>
        </w:sectPr>
      </w:pPr>
    </w:p>
    <w:p>
      <w:pPr>
        <w:spacing w:after="0" w:line="2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w:t>
      </w:r>
    </w:p>
    <w:p>
      <w:pPr>
        <w:spacing w:after="0" w:line="200" w:lineRule="exact"/>
        <w:rPr>
          <w:sz w:val="20"/>
          <w:szCs w:val="20"/>
          <w:color w:val="auto"/>
        </w:rPr>
      </w:pPr>
    </w:p>
    <w:p>
      <w:pPr>
        <w:sectPr>
          <w:pgSz w:w="11900" w:h="16838" w:orient="portrait"/>
          <w:cols w:equalWidth="0" w:num="2">
            <w:col w:w="2240" w:space="720"/>
            <w:col w:w="8280"/>
          </w:cols>
          <w:pgMar w:left="320" w:top="1440" w:right="3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Type of Transaction Requested:</w:t>
      </w:r>
    </w:p>
    <w:p>
      <w:pPr>
        <w:sectPr>
          <w:pgSz w:w="11900" w:h="16838" w:orient="portrait"/>
          <w:cols w:equalWidth="0" w:num="1">
            <w:col w:w="11240"/>
          </w:cols>
          <w:pgMar w:left="320" w:top="1440" w:right="339" w:bottom="1440" w:gutter="0" w:footer="0" w:header="0"/>
          <w:type w:val="continuous"/>
        </w:sectPr>
      </w:pPr>
    </w:p>
    <w:p>
      <w:pPr>
        <w:spacing w:after="0" w:line="2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Buy</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Sell</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Transfer</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Exercise a Stock Option</w:t>
      </w:r>
    </w:p>
    <w:p>
      <w:pPr>
        <w:spacing w:after="0" w:line="200" w:lineRule="exact"/>
        <w:rPr>
          <w:sz w:val="20"/>
          <w:szCs w:val="20"/>
          <w:color w:val="auto"/>
        </w:rPr>
      </w:pPr>
    </w:p>
    <w:p>
      <w:pPr>
        <w:sectPr>
          <w:pgSz w:w="11900" w:h="16838" w:orient="portrait"/>
          <w:cols w:equalWidth="0" w:num="4">
            <w:col w:w="1040" w:space="720"/>
            <w:col w:w="480" w:space="720"/>
            <w:col w:w="880" w:space="720"/>
            <w:col w:w="6680"/>
          </w:cols>
          <w:pgMar w:left="320" w:top="1440" w:right="3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Timing Details or Range of Proposed Trading Dates: ___________________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broker or other person who will file the SEC Form 144 (if required): __________________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Are you in possession of information that may be viewed as material nonpublic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 Yes __________ No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Each transaction must generally be reported as it occurs, regardless of whether or not it is a part of a series of transactions.</w:t>
      </w:r>
    </w:p>
    <w:p>
      <w:pPr>
        <w:spacing w:after="0" w:line="245" w:lineRule="exact"/>
        <w:rPr>
          <w:sz w:val="20"/>
          <w:szCs w:val="20"/>
          <w:color w:val="auto"/>
        </w:rPr>
      </w:pPr>
    </w:p>
    <w:p>
      <w:pPr>
        <w:ind w:firstLine="8"/>
        <w:spacing w:after="0" w:line="264" w:lineRule="auto"/>
        <w:tabs>
          <w:tab w:leader="none" w:pos="277" w:val="left"/>
        </w:tabs>
        <w:numPr>
          <w:ilvl w:val="0"/>
          <w:numId w:val="7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This clearance is valid only through the end of the third trading day following the date of the authorizing signature or the last date set forth above, whichever is later, unless otherwise authorized by the Company.</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In the event you receive clearance to complete the requested transaction, please </w:t>
      </w:r>
      <w:r>
        <w:rPr>
          <w:rFonts w:ascii="Times New Roman" w:cs="Times New Roman" w:eastAsia="Times New Roman" w:hAnsi="Times New Roman"/>
          <w:sz w:val="22"/>
          <w:szCs w:val="22"/>
          <w:i w:val="1"/>
          <w:iCs w:val="1"/>
          <w:u w:val="single" w:color="auto"/>
          <w:color w:val="auto"/>
        </w:rPr>
        <w:t>notify the Company through the Filing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Coordinators in writing and by telephone (615-263-3000)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transaction immediately following the completion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transaction. Written notification should be made using the "Notification of Transaction Completion" form or another form of writing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e-mail) from you or your broker containing the information required by the form.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Requestor’s Signature: ___________________ Date: ___________________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Please provide e-mail address or facsimile number to send response: </w:t>
      </w:r>
      <w:r>
        <w:rPr>
          <w:rFonts w:ascii="Times New Roman" w:cs="Times New Roman" w:eastAsia="Times New Roman" w:hAnsi="Times New Roman"/>
          <w:sz w:val="22"/>
          <w:szCs w:val="22"/>
          <w:color w:val="auto"/>
        </w:rPr>
        <w:t>___________________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Authorizing Signature: </w:t>
      </w:r>
      <w:r>
        <w:rPr>
          <w:rFonts w:ascii="Times New Roman" w:cs="Times New Roman" w:eastAsia="Times New Roman" w:hAnsi="Times New Roman"/>
          <w:sz w:val="22"/>
          <w:szCs w:val="22"/>
          <w:color w:val="auto"/>
        </w:rPr>
        <w:t>___________________</w:t>
      </w:r>
      <w:r>
        <w:rPr>
          <w:rFonts w:ascii="Times New Roman" w:cs="Times New Roman" w:eastAsia="Times New Roman" w:hAnsi="Times New Roman"/>
          <w:sz w:val="22"/>
          <w:szCs w:val="22"/>
          <w:b w:val="1"/>
          <w:bCs w:val="1"/>
          <w:color w:val="auto"/>
        </w:rPr>
        <w:t xml:space="preserve"> Date: </w:t>
      </w:r>
      <w:r>
        <w:rPr>
          <w:rFonts w:ascii="Times New Roman" w:cs="Times New Roman" w:eastAsia="Times New Roman" w:hAnsi="Times New Roman"/>
          <w:sz w:val="22"/>
          <w:szCs w:val="22"/>
          <w:color w:val="auto"/>
        </w:rPr>
        <w:t>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0" w:name="page161"/>
    <w:bookmarkEnd w:id="160"/>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CoreCivic</w:t>
      </w:r>
    </w:p>
    <w:p>
      <w:pPr>
        <w:spacing w:after="0" w:line="1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Notification of Transaction Completion</w:t>
      </w:r>
    </w:p>
    <w:p>
      <w:pPr>
        <w:spacing w:after="0" w:line="200" w:lineRule="exact"/>
        <w:rPr>
          <w:sz w:val="20"/>
          <w:szCs w:val="20"/>
          <w:color w:val="auto"/>
        </w:rPr>
      </w:pP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I ___________________ hereby notify CoreCivic (the “Company”) that I have completed the following</w:t>
      </w:r>
    </w:p>
    <w:p>
      <w:pPr>
        <w:spacing w:after="0" w:line="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transaction(s) in the following Company securities: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560" w:type="dxa"/>
            <w:vAlign w:val="bottom"/>
            <w:tcBorders>
              <w:top w:val="single" w:sz="8" w:color="auto"/>
              <w:left w:val="single" w:sz="8" w:color="auto"/>
              <w:right w:val="single" w:sz="8" w:color="auto"/>
            </w:tcBorders>
            <w:shd w:val="clear" w:color="auto" w:fill="E4E4E4"/>
          </w:tcPr>
          <w:p>
            <w:pPr>
              <w:ind w:left="500"/>
              <w:spacing w:after="0"/>
              <w:rPr>
                <w:sz w:val="20"/>
                <w:szCs w:val="20"/>
                <w:color w:val="auto"/>
              </w:rPr>
            </w:pPr>
            <w:r>
              <w:rPr>
                <w:rFonts w:ascii="Times New Roman" w:cs="Times New Roman" w:eastAsia="Times New Roman" w:hAnsi="Times New Roman"/>
                <w:sz w:val="16"/>
                <w:szCs w:val="16"/>
                <w:b w:val="1"/>
                <w:bCs w:val="1"/>
                <w:color w:val="auto"/>
              </w:rPr>
              <w:t>Type of</w:t>
            </w:r>
          </w:p>
        </w:tc>
        <w:tc>
          <w:tcPr>
            <w:tcW w:w="2240" w:type="dxa"/>
            <w:vAlign w:val="bottom"/>
            <w:tcBorders>
              <w:top w:val="single" w:sz="8" w:color="auto"/>
              <w:right w:val="single" w:sz="8" w:color="auto"/>
            </w:tcBorders>
            <w:shd w:val="clear" w:color="auto" w:fill="E4E4E4"/>
          </w:tcPr>
          <w:p>
            <w:pPr>
              <w:jc w:val="center"/>
              <w:spacing w:after="0"/>
              <w:rPr>
                <w:sz w:val="20"/>
                <w:szCs w:val="20"/>
                <w:color w:val="auto"/>
              </w:rPr>
            </w:pPr>
            <w:r>
              <w:rPr>
                <w:rFonts w:ascii="Times New Roman" w:cs="Times New Roman" w:eastAsia="Times New Roman" w:hAnsi="Times New Roman"/>
                <w:sz w:val="16"/>
                <w:szCs w:val="16"/>
                <w:b w:val="1"/>
                <w:bCs w:val="1"/>
                <w:color w:val="auto"/>
              </w:rPr>
              <w:t>Owner (direct, or</w:t>
            </w:r>
          </w:p>
        </w:tc>
        <w:tc>
          <w:tcPr>
            <w:tcW w:w="1420" w:type="dxa"/>
            <w:vAlign w:val="bottom"/>
            <w:tcBorders>
              <w:top w:val="single" w:sz="8" w:color="auto"/>
              <w:right w:val="single" w:sz="8" w:color="auto"/>
            </w:tcBorders>
            <w:vMerge w:val="restart"/>
            <w:shd w:val="clear" w:color="auto" w:fill="E4E4E4"/>
          </w:tcPr>
          <w:p>
            <w:pPr>
              <w:jc w:val="center"/>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1420" w:type="dxa"/>
            <w:vAlign w:val="bottom"/>
            <w:tcBorders>
              <w:top w:val="single" w:sz="8" w:color="auto"/>
              <w:right w:val="single" w:sz="8" w:color="auto"/>
            </w:tcBorders>
            <w:vMerge w:val="restart"/>
            <w:shd w:val="clear" w:color="auto" w:fill="E4E4E4"/>
          </w:tcPr>
          <w:p>
            <w:pPr>
              <w:jc w:val="center"/>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1200" w:type="dxa"/>
            <w:vAlign w:val="bottom"/>
            <w:tcBorders>
              <w:top w:val="single" w:sz="8" w:color="auto"/>
              <w:right w:val="single" w:sz="8" w:color="auto"/>
            </w:tcBorders>
            <w:shd w:val="clear" w:color="auto" w:fill="E4E4E4"/>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440" w:type="dxa"/>
            <w:vAlign w:val="bottom"/>
            <w:tcBorders>
              <w:top w:val="single" w:sz="8" w:color="auto"/>
              <w:right w:val="single" w:sz="8" w:color="auto"/>
            </w:tcBorders>
            <w:shd w:val="clear" w:color="auto" w:fill="E4E4E4"/>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500" w:type="dxa"/>
            <w:vAlign w:val="bottom"/>
            <w:tcBorders>
              <w:top w:val="single" w:sz="8" w:color="auto"/>
              <w:right w:val="single" w:sz="8" w:color="auto"/>
            </w:tcBorders>
            <w:shd w:val="clear" w:color="auto" w:fill="E4E4E4"/>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 or</w:t>
            </w:r>
          </w:p>
        </w:tc>
        <w:tc>
          <w:tcPr>
            <w:tcW w:w="0" w:type="dxa"/>
            <w:vAlign w:val="bottom"/>
          </w:tcPr>
          <w:p>
            <w:pPr>
              <w:spacing w:after="0"/>
              <w:rPr>
                <w:sz w:val="1"/>
                <w:szCs w:val="1"/>
                <w:color w:val="auto"/>
              </w:rPr>
            </w:pPr>
          </w:p>
        </w:tc>
      </w:tr>
      <w:tr>
        <w:trPr>
          <w:trHeight w:val="121"/>
        </w:trPr>
        <w:tc>
          <w:tcPr>
            <w:tcW w:w="1560" w:type="dxa"/>
            <w:vAlign w:val="bottom"/>
            <w:tcBorders>
              <w:left w:val="single" w:sz="8" w:color="auto"/>
              <w:right w:val="single" w:sz="8" w:color="auto"/>
            </w:tcBorders>
            <w:vMerge w:val="restart"/>
            <w:shd w:val="clear" w:color="auto" w:fill="E4E4E4"/>
          </w:tcPr>
          <w:p>
            <w:pPr>
              <w:ind w:left="500"/>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2240" w:type="dxa"/>
            <w:vAlign w:val="bottom"/>
            <w:tcBorders>
              <w:right w:val="single" w:sz="8" w:color="auto"/>
            </w:tcBorders>
            <w:vMerge w:val="restart"/>
            <w:shd w:val="clear" w:color="auto" w:fill="E4E4E4"/>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indirect</w:t>
            </w:r>
          </w:p>
        </w:tc>
        <w:tc>
          <w:tcPr>
            <w:tcW w:w="1420" w:type="dxa"/>
            <w:vAlign w:val="bottom"/>
            <w:tcBorders>
              <w:right w:val="single" w:sz="8" w:color="auto"/>
            </w:tcBorders>
            <w:vMerge w:val="continue"/>
            <w:shd w:val="clear" w:color="auto" w:fill="E4E4E4"/>
          </w:tcPr>
          <w:p>
            <w:pPr>
              <w:spacing w:after="0"/>
              <w:rPr>
                <w:sz w:val="10"/>
                <w:szCs w:val="10"/>
                <w:color w:val="auto"/>
              </w:rPr>
            </w:pPr>
          </w:p>
        </w:tc>
        <w:tc>
          <w:tcPr>
            <w:tcW w:w="1420" w:type="dxa"/>
            <w:vAlign w:val="bottom"/>
            <w:tcBorders>
              <w:right w:val="single" w:sz="8" w:color="auto"/>
            </w:tcBorders>
            <w:vMerge w:val="continue"/>
            <w:shd w:val="clear" w:color="auto" w:fill="E4E4E4"/>
          </w:tcPr>
          <w:p>
            <w:pPr>
              <w:spacing w:after="0"/>
              <w:rPr>
                <w:sz w:val="10"/>
                <w:szCs w:val="10"/>
                <w:color w:val="auto"/>
              </w:rPr>
            </w:pPr>
          </w:p>
        </w:tc>
        <w:tc>
          <w:tcPr>
            <w:tcW w:w="1200" w:type="dxa"/>
            <w:vAlign w:val="bottom"/>
            <w:tcBorders>
              <w:right w:val="single" w:sz="8" w:color="auto"/>
            </w:tcBorders>
            <w:vMerge w:val="restart"/>
            <w:shd w:val="clear" w:color="auto" w:fill="E4E4E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440" w:type="dxa"/>
            <w:vAlign w:val="bottom"/>
            <w:tcBorders>
              <w:right w:val="single" w:sz="8" w:color="auto"/>
            </w:tcBorders>
            <w:vMerge w:val="restart"/>
            <w:shd w:val="clear" w:color="auto" w:fill="E4E4E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Securities Disposed</w:t>
            </w:r>
          </w:p>
        </w:tc>
        <w:tc>
          <w:tcPr>
            <w:tcW w:w="1500" w:type="dxa"/>
            <w:vAlign w:val="bottom"/>
            <w:tcBorders>
              <w:right w:val="single" w:sz="8" w:color="auto"/>
            </w:tcBorders>
            <w:vMerge w:val="restart"/>
            <w:shd w:val="clear" w:color="auto" w:fill="E4E4E4"/>
          </w:tcPr>
          <w:p>
            <w:pPr>
              <w:ind w:left="360"/>
              <w:spacing w:after="0"/>
              <w:rPr>
                <w:sz w:val="20"/>
                <w:szCs w:val="20"/>
                <w:color w:val="auto"/>
              </w:rPr>
            </w:pPr>
            <w:r>
              <w:rPr>
                <w:rFonts w:ascii="Times New Roman" w:cs="Times New Roman" w:eastAsia="Times New Roman" w:hAnsi="Times New Roman"/>
                <w:sz w:val="16"/>
                <w:szCs w:val="16"/>
                <w:b w:val="1"/>
                <w:bCs w:val="1"/>
                <w:color w:val="auto"/>
              </w:rPr>
              <w:t>Sale Price</w:t>
            </w:r>
          </w:p>
        </w:tc>
        <w:tc>
          <w:tcPr>
            <w:tcW w:w="0" w:type="dxa"/>
            <w:vAlign w:val="bottom"/>
          </w:tcPr>
          <w:p>
            <w:pPr>
              <w:spacing w:after="0"/>
              <w:rPr>
                <w:sz w:val="1"/>
                <w:szCs w:val="1"/>
                <w:color w:val="auto"/>
              </w:rPr>
            </w:pPr>
          </w:p>
        </w:tc>
      </w:tr>
      <w:tr>
        <w:trPr>
          <w:trHeight w:val="81"/>
        </w:trPr>
        <w:tc>
          <w:tcPr>
            <w:tcW w:w="1560" w:type="dxa"/>
            <w:vAlign w:val="bottom"/>
            <w:tcBorders>
              <w:left w:val="single" w:sz="8" w:color="auto"/>
              <w:right w:val="single" w:sz="8" w:color="auto"/>
            </w:tcBorders>
            <w:vMerge w:val="continue"/>
            <w:shd w:val="clear" w:color="auto" w:fill="E4E4E4"/>
          </w:tcPr>
          <w:p>
            <w:pPr>
              <w:spacing w:after="0"/>
              <w:rPr>
                <w:sz w:val="7"/>
                <w:szCs w:val="7"/>
                <w:color w:val="auto"/>
              </w:rPr>
            </w:pPr>
          </w:p>
        </w:tc>
        <w:tc>
          <w:tcPr>
            <w:tcW w:w="2240" w:type="dxa"/>
            <w:vAlign w:val="bottom"/>
            <w:tcBorders>
              <w:right w:val="single" w:sz="8" w:color="auto"/>
            </w:tcBorders>
            <w:vMerge w:val="continue"/>
            <w:shd w:val="clear" w:color="auto" w:fill="E4E4E4"/>
          </w:tcPr>
          <w:p>
            <w:pPr>
              <w:spacing w:after="0"/>
              <w:rPr>
                <w:sz w:val="7"/>
                <w:szCs w:val="7"/>
                <w:color w:val="auto"/>
              </w:rPr>
            </w:pPr>
          </w:p>
        </w:tc>
        <w:tc>
          <w:tcPr>
            <w:tcW w:w="1420" w:type="dxa"/>
            <w:vAlign w:val="bottom"/>
            <w:tcBorders>
              <w:right w:val="single" w:sz="8" w:color="auto"/>
            </w:tcBorders>
            <w:vMerge w:val="restart"/>
            <w:shd w:val="clear" w:color="auto" w:fill="E4E4E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420" w:type="dxa"/>
            <w:vAlign w:val="bottom"/>
            <w:tcBorders>
              <w:right w:val="single" w:sz="8" w:color="auto"/>
            </w:tcBorders>
            <w:vMerge w:val="restart"/>
            <w:shd w:val="clear" w:color="auto" w:fill="E4E4E4"/>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1200" w:type="dxa"/>
            <w:vAlign w:val="bottom"/>
            <w:tcBorders>
              <w:right w:val="single" w:sz="8" w:color="auto"/>
            </w:tcBorders>
            <w:vMerge w:val="continue"/>
            <w:shd w:val="clear" w:color="auto" w:fill="E4E4E4"/>
          </w:tcPr>
          <w:p>
            <w:pPr>
              <w:spacing w:after="0"/>
              <w:rPr>
                <w:sz w:val="7"/>
                <w:szCs w:val="7"/>
                <w:color w:val="auto"/>
              </w:rPr>
            </w:pPr>
          </w:p>
        </w:tc>
        <w:tc>
          <w:tcPr>
            <w:tcW w:w="1440" w:type="dxa"/>
            <w:vAlign w:val="bottom"/>
            <w:tcBorders>
              <w:right w:val="single" w:sz="8" w:color="auto"/>
            </w:tcBorders>
            <w:vMerge w:val="continue"/>
            <w:shd w:val="clear" w:color="auto" w:fill="E4E4E4"/>
          </w:tcPr>
          <w:p>
            <w:pPr>
              <w:spacing w:after="0"/>
              <w:rPr>
                <w:sz w:val="7"/>
                <w:szCs w:val="7"/>
                <w:color w:val="auto"/>
              </w:rPr>
            </w:pPr>
          </w:p>
        </w:tc>
        <w:tc>
          <w:tcPr>
            <w:tcW w:w="1500" w:type="dxa"/>
            <w:vAlign w:val="bottom"/>
            <w:tcBorders>
              <w:right w:val="single" w:sz="8" w:color="auto"/>
            </w:tcBorders>
            <w:vMerge w:val="continue"/>
            <w:shd w:val="clear" w:color="auto" w:fill="E4E4E4"/>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560" w:type="dxa"/>
            <w:vAlign w:val="bottom"/>
            <w:tcBorders>
              <w:left w:val="single" w:sz="8" w:color="auto"/>
              <w:right w:val="single" w:sz="8" w:color="auto"/>
            </w:tcBorders>
            <w:shd w:val="clear" w:color="auto" w:fill="E4E4E4"/>
          </w:tcPr>
          <w:p>
            <w:pPr>
              <w:spacing w:after="0"/>
              <w:rPr>
                <w:sz w:val="11"/>
                <w:szCs w:val="11"/>
                <w:color w:val="auto"/>
              </w:rPr>
            </w:pPr>
          </w:p>
        </w:tc>
        <w:tc>
          <w:tcPr>
            <w:tcW w:w="2240" w:type="dxa"/>
            <w:vAlign w:val="bottom"/>
            <w:tcBorders>
              <w:right w:val="single" w:sz="8" w:color="auto"/>
            </w:tcBorders>
            <w:vMerge w:val="restart"/>
            <w:shd w:val="clear" w:color="auto" w:fill="E4E4E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owner)</w:t>
            </w:r>
          </w:p>
        </w:tc>
        <w:tc>
          <w:tcPr>
            <w:tcW w:w="1420" w:type="dxa"/>
            <w:vAlign w:val="bottom"/>
            <w:tcBorders>
              <w:right w:val="single" w:sz="8" w:color="auto"/>
            </w:tcBorders>
            <w:vMerge w:val="continue"/>
            <w:shd w:val="clear" w:color="auto" w:fill="E4E4E4"/>
          </w:tcPr>
          <w:p>
            <w:pPr>
              <w:spacing w:after="0"/>
              <w:rPr>
                <w:sz w:val="11"/>
                <w:szCs w:val="11"/>
                <w:color w:val="auto"/>
              </w:rPr>
            </w:pPr>
          </w:p>
        </w:tc>
        <w:tc>
          <w:tcPr>
            <w:tcW w:w="1420" w:type="dxa"/>
            <w:vAlign w:val="bottom"/>
            <w:tcBorders>
              <w:right w:val="single" w:sz="8" w:color="auto"/>
            </w:tcBorders>
            <w:vMerge w:val="continue"/>
            <w:shd w:val="clear" w:color="auto" w:fill="E4E4E4"/>
          </w:tcPr>
          <w:p>
            <w:pPr>
              <w:spacing w:after="0"/>
              <w:rPr>
                <w:sz w:val="11"/>
                <w:szCs w:val="11"/>
                <w:color w:val="auto"/>
              </w:rPr>
            </w:pPr>
          </w:p>
        </w:tc>
        <w:tc>
          <w:tcPr>
            <w:tcW w:w="1200" w:type="dxa"/>
            <w:vAlign w:val="bottom"/>
            <w:tcBorders>
              <w:right w:val="single" w:sz="8" w:color="auto"/>
            </w:tcBorders>
            <w:vMerge w:val="restart"/>
            <w:shd w:val="clear" w:color="auto" w:fill="E4E4E4"/>
          </w:tcPr>
          <w:p>
            <w:pPr>
              <w:jc w:val="center"/>
              <w:spacing w:after="0"/>
              <w:rPr>
                <w:sz w:val="20"/>
                <w:szCs w:val="20"/>
                <w:color w:val="auto"/>
              </w:rPr>
            </w:pPr>
            <w:r>
              <w:rPr>
                <w:rFonts w:ascii="Times New Roman" w:cs="Times New Roman" w:eastAsia="Times New Roman" w:hAnsi="Times New Roman"/>
                <w:sz w:val="16"/>
                <w:szCs w:val="16"/>
                <w:b w:val="1"/>
                <w:bCs w:val="1"/>
                <w:color w:val="auto"/>
              </w:rPr>
              <w:t>Acquired</w:t>
            </w:r>
          </w:p>
        </w:tc>
        <w:tc>
          <w:tcPr>
            <w:tcW w:w="1440" w:type="dxa"/>
            <w:vAlign w:val="bottom"/>
            <w:tcBorders>
              <w:right w:val="single" w:sz="8" w:color="auto"/>
            </w:tcBorders>
            <w:vMerge w:val="restart"/>
            <w:shd w:val="clear" w:color="auto" w:fill="E4E4E4"/>
          </w:tcPr>
          <w:p>
            <w:pPr>
              <w:jc w:val="center"/>
              <w:spacing w:after="0"/>
              <w:rPr>
                <w:sz w:val="20"/>
                <w:szCs w:val="20"/>
                <w:color w:val="auto"/>
              </w:rPr>
            </w:pPr>
            <w:r>
              <w:rPr>
                <w:rFonts w:ascii="Times New Roman" w:cs="Times New Roman" w:eastAsia="Times New Roman" w:hAnsi="Times New Roman"/>
                <w:sz w:val="16"/>
                <w:szCs w:val="16"/>
                <w:b w:val="1"/>
                <w:bCs w:val="1"/>
                <w:color w:val="auto"/>
                <w:w w:val="89"/>
              </w:rPr>
              <w:t>of</w:t>
            </w:r>
          </w:p>
        </w:tc>
        <w:tc>
          <w:tcPr>
            <w:tcW w:w="1500" w:type="dxa"/>
            <w:vAlign w:val="bottom"/>
            <w:tcBorders>
              <w:right w:val="single" w:sz="8" w:color="auto"/>
            </w:tcBorders>
            <w:vMerge w:val="restart"/>
            <w:shd w:val="clear" w:color="auto" w:fill="E4E4E4"/>
          </w:tcPr>
          <w:p>
            <w:pPr>
              <w:jc w:val="center"/>
              <w:spacing w:after="0"/>
              <w:rPr>
                <w:sz w:val="20"/>
                <w:szCs w:val="20"/>
                <w:color w:val="auto"/>
              </w:rPr>
            </w:pPr>
            <w:r>
              <w:rPr>
                <w:rFonts w:ascii="Times New Roman" w:cs="Times New Roman" w:eastAsia="Times New Roman" w:hAnsi="Times New Roman"/>
                <w:sz w:val="16"/>
                <w:szCs w:val="16"/>
                <w:b w:val="1"/>
                <w:bCs w:val="1"/>
                <w:color w:val="auto"/>
              </w:rPr>
              <w:t>per unit</w:t>
            </w:r>
          </w:p>
        </w:tc>
        <w:tc>
          <w:tcPr>
            <w:tcW w:w="0" w:type="dxa"/>
            <w:vAlign w:val="bottom"/>
          </w:tcPr>
          <w:p>
            <w:pPr>
              <w:spacing w:after="0"/>
              <w:rPr>
                <w:sz w:val="1"/>
                <w:szCs w:val="1"/>
                <w:color w:val="auto"/>
              </w:rPr>
            </w:pPr>
          </w:p>
        </w:tc>
      </w:tr>
      <w:tr>
        <w:trPr>
          <w:trHeight w:val="97"/>
        </w:trPr>
        <w:tc>
          <w:tcPr>
            <w:tcW w:w="1560" w:type="dxa"/>
            <w:vAlign w:val="bottom"/>
            <w:tcBorders>
              <w:left w:val="single" w:sz="8" w:color="auto"/>
              <w:bottom w:val="single" w:sz="8" w:color="auto"/>
              <w:right w:val="single" w:sz="8" w:color="auto"/>
            </w:tcBorders>
            <w:shd w:val="clear" w:color="auto" w:fill="E4E4E4"/>
          </w:tcPr>
          <w:p>
            <w:pPr>
              <w:spacing w:after="0"/>
              <w:rPr>
                <w:sz w:val="8"/>
                <w:szCs w:val="8"/>
                <w:color w:val="auto"/>
              </w:rPr>
            </w:pPr>
          </w:p>
        </w:tc>
        <w:tc>
          <w:tcPr>
            <w:tcW w:w="2240" w:type="dxa"/>
            <w:vAlign w:val="bottom"/>
            <w:tcBorders>
              <w:bottom w:val="single" w:sz="8" w:color="auto"/>
              <w:right w:val="single" w:sz="8" w:color="auto"/>
            </w:tcBorders>
            <w:vMerge w:val="continue"/>
            <w:shd w:val="clear" w:color="auto" w:fill="E4E4E4"/>
          </w:tcPr>
          <w:p>
            <w:pPr>
              <w:spacing w:after="0"/>
              <w:rPr>
                <w:sz w:val="8"/>
                <w:szCs w:val="8"/>
                <w:color w:val="auto"/>
              </w:rPr>
            </w:pPr>
          </w:p>
        </w:tc>
        <w:tc>
          <w:tcPr>
            <w:tcW w:w="1420" w:type="dxa"/>
            <w:vAlign w:val="bottom"/>
            <w:tcBorders>
              <w:bottom w:val="single" w:sz="8" w:color="auto"/>
              <w:right w:val="single" w:sz="8" w:color="auto"/>
            </w:tcBorders>
            <w:shd w:val="clear" w:color="auto" w:fill="E4E4E4"/>
          </w:tcPr>
          <w:p>
            <w:pPr>
              <w:spacing w:after="0"/>
              <w:rPr>
                <w:sz w:val="8"/>
                <w:szCs w:val="8"/>
                <w:color w:val="auto"/>
              </w:rPr>
            </w:pPr>
          </w:p>
        </w:tc>
        <w:tc>
          <w:tcPr>
            <w:tcW w:w="1420" w:type="dxa"/>
            <w:vAlign w:val="bottom"/>
            <w:tcBorders>
              <w:bottom w:val="single" w:sz="8" w:color="auto"/>
              <w:right w:val="single" w:sz="8" w:color="auto"/>
            </w:tcBorders>
            <w:shd w:val="clear" w:color="auto" w:fill="E4E4E4"/>
          </w:tcPr>
          <w:p>
            <w:pPr>
              <w:spacing w:after="0"/>
              <w:rPr>
                <w:sz w:val="8"/>
                <w:szCs w:val="8"/>
                <w:color w:val="auto"/>
              </w:rPr>
            </w:pPr>
          </w:p>
        </w:tc>
        <w:tc>
          <w:tcPr>
            <w:tcW w:w="1200" w:type="dxa"/>
            <w:vAlign w:val="bottom"/>
            <w:tcBorders>
              <w:bottom w:val="single" w:sz="8" w:color="auto"/>
              <w:right w:val="single" w:sz="8" w:color="auto"/>
            </w:tcBorders>
            <w:vMerge w:val="continue"/>
            <w:shd w:val="clear" w:color="auto" w:fill="E4E4E4"/>
          </w:tcPr>
          <w:p>
            <w:pPr>
              <w:spacing w:after="0"/>
              <w:rPr>
                <w:sz w:val="8"/>
                <w:szCs w:val="8"/>
                <w:color w:val="auto"/>
              </w:rPr>
            </w:pPr>
          </w:p>
        </w:tc>
        <w:tc>
          <w:tcPr>
            <w:tcW w:w="1440" w:type="dxa"/>
            <w:vAlign w:val="bottom"/>
            <w:tcBorders>
              <w:bottom w:val="single" w:sz="8" w:color="auto"/>
              <w:right w:val="single" w:sz="8" w:color="auto"/>
            </w:tcBorders>
            <w:vMerge w:val="continue"/>
            <w:shd w:val="clear" w:color="auto" w:fill="E4E4E4"/>
          </w:tcPr>
          <w:p>
            <w:pPr>
              <w:spacing w:after="0"/>
              <w:rPr>
                <w:sz w:val="8"/>
                <w:szCs w:val="8"/>
                <w:color w:val="auto"/>
              </w:rPr>
            </w:pPr>
          </w:p>
        </w:tc>
        <w:tc>
          <w:tcPr>
            <w:tcW w:w="1500" w:type="dxa"/>
            <w:vAlign w:val="bottom"/>
            <w:tcBorders>
              <w:bottom w:val="single" w:sz="8" w:color="auto"/>
              <w:right w:val="single" w:sz="8" w:color="auto"/>
            </w:tcBorders>
            <w:vMerge w:val="continue"/>
            <w:shd w:val="clear" w:color="auto" w:fill="E4E4E4"/>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156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6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6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6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6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6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6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5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both"/>
        <w:ind w:left="480" w:right="500"/>
        <w:spacing w:after="0" w:line="236" w:lineRule="auto"/>
        <w:rPr>
          <w:sz w:val="20"/>
          <w:szCs w:val="20"/>
          <w:color w:val="auto"/>
        </w:rPr>
      </w:pPr>
      <w:r>
        <w:rPr>
          <w:rFonts w:ascii="Times New Roman" w:cs="Times New Roman" w:eastAsia="Times New Roman" w:hAnsi="Times New Roman"/>
          <w:sz w:val="22"/>
          <w:szCs w:val="22"/>
          <w:color w:val="auto"/>
        </w:rPr>
        <w:t xml:space="preserve">Please return this form to the Company immediately following the transaction(s) via facsimile to the attention of the Managing Director, Investor Relations (615-263-3000), and the office of the General Counsel (615-263-3000) or e-mail. Please confirm your transaction </w:t>
      </w:r>
      <w:r>
        <w:rPr>
          <w:rFonts w:ascii="Times New Roman" w:cs="Times New Roman" w:eastAsia="Times New Roman" w:hAnsi="Times New Roman"/>
          <w:sz w:val="22"/>
          <w:szCs w:val="22"/>
          <w:i w:val="1"/>
          <w:iCs w:val="1"/>
          <w:u w:val="single" w:color="auto"/>
          <w:color w:val="auto"/>
        </w:rPr>
        <w:t>immediately</w:t>
      </w:r>
      <w:r>
        <w:rPr>
          <w:rFonts w:ascii="Times New Roman" w:cs="Times New Roman" w:eastAsia="Times New Roman" w:hAnsi="Times New Roman"/>
          <w:sz w:val="22"/>
          <w:szCs w:val="22"/>
          <w:color w:val="auto"/>
        </w:rPr>
        <w:t xml:space="preserve"> by telephone at 615-263-3000 to one of the Filing Coordinators or, if unavailable, the Vice President, Finance and Controller, the Executive Vice President and General Counsel or the Executive Vice President and Chief Financial Officer - do </w:t>
      </w:r>
      <w:r>
        <w:rPr>
          <w:rFonts w:ascii="Times New Roman" w:cs="Times New Roman" w:eastAsia="Times New Roman" w:hAnsi="Times New Roman"/>
          <w:sz w:val="22"/>
          <w:szCs w:val="22"/>
          <w:i w:val="1"/>
          <w:iCs w:val="1"/>
          <w:u w:val="single" w:color="auto"/>
          <w:color w:val="auto"/>
        </w:rPr>
        <w:t>not</w:t>
      </w:r>
      <w:r>
        <w:rPr>
          <w:rFonts w:ascii="Times New Roman" w:cs="Times New Roman" w:eastAsia="Times New Roman" w:hAnsi="Times New Roman"/>
          <w:sz w:val="22"/>
          <w:szCs w:val="22"/>
          <w:color w:val="auto"/>
        </w:rPr>
        <w:t xml:space="preserve"> leave a voice mail in the event the individual you have called is not in the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625475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00" w:top="1440" w:right="71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LIST OF SUBSIDIARIES OF CORECIVIC,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ACS Corrections of Texas, L.L.C., a Texas limited liability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Corpus Christi Transitional Center,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Correctional Services, LLC, a Nevada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Transitional Center Dallas,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Tulsa,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Carver Transitional Center,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 Health Services,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 International,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 South Texas, LLC, a Maryland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 (UK) Ltd., a United Kingdom limited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of Kansas Holdings LLC, a Maryland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of Kansas LLC, a Maryland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of Tennessee,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Western Operations,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Correctional Alternatives, LLC, a California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Correctional Management,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 Horizon Management,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Transitional Center,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 Level Realty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Innovative Government Solutions, LLC, a Maryland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Offender Management Systems,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Prison Realty Management,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Recovery Monitoring Solutions,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Rocky Mountain Offender Management Systems,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Corrections Systems of Wyoming,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Technical and Business Institute of America,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Thrivur Health,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Change,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TransCor America,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TransCor Puerto Rico, Inc., a Puerto Rico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Turley Residential Center, L.L.C., an Oklahoma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1038860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2" w:name="page163"/>
    <w:bookmarkEnd w:id="162"/>
    <w:p>
      <w:pPr>
        <w:ind w:left="9240"/>
        <w:spacing w:after="0"/>
        <w:rPr>
          <w:sz w:val="20"/>
          <w:szCs w:val="20"/>
          <w:color w:val="auto"/>
        </w:rPr>
      </w:pPr>
      <w:r>
        <w:rPr>
          <w:rFonts w:ascii="Times New Roman" w:cs="Times New Roman" w:eastAsia="Times New Roman" w:hAnsi="Times New Roman"/>
          <w:sz w:val="20"/>
          <w:szCs w:val="20"/>
          <w:b w:val="1"/>
          <w:bCs w:val="1"/>
          <w:color w:val="auto"/>
        </w:rPr>
        <w:t>Exhibit 22.1</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List of Guarantor Subsidiaries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subsidiaries of CoreCivic, Inc. (the "Issuer") are guarantors of the Issuer's (i) 4.75% Senior Notes due 2027; and (ii) 8.25% Senior Notes due 2029:</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ACS Corrections of Texas, L.L.C., a Texas limited liability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Corpus Christi Transitional Center,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Correctional Services, LLC, a Nevada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Transitional Center Dallas,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Tulsa,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Carver Transitional Center,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 Health Services,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 International,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 South Texas, LLC, a Maryland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of Tennessee,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Western Operations,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Correctional Alternatives, LLC, a California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Correctional Management,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 Horizon Management,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Transitional Center,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 Level Realty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Innovative Government Solutions, LLC, a Maryland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Offender Management Systems,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Prison Realty Management,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Recovery Monitoring Solutions,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Rocky Mountain Offender Management Systems,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Corrections Systems of Wyoming,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Technical and Business Institute of America,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Thrivur Health,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Change,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TransCor America,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Turley Residential Center, L.L.C., an Oklahoma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12" w:lineRule="exact"/>
        <w:rPr>
          <w:sz w:val="20"/>
          <w:szCs w:val="20"/>
          <w:color w:val="auto"/>
        </w:rPr>
      </w:pPr>
    </w:p>
    <w:p>
      <w:pPr>
        <w:ind w:left="760" w:hanging="378"/>
        <w:spacing w:after="0"/>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333-115493) pertaining to the CoreCivic, Inc. Non-Employee Directors’ Compensation Plan,</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333-69358) pertaining to the CoreCivic, Inc. 401(k) Savings and Retirement Plan,</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333-264985) pertaining to the CoreCivic, Inc. Amended and Restated 2020 Stock Incentive Plan,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333-238479) pertaining to the CoreCivic, Inc. 2020 Stock Incentive Plan, and</w:t>
      </w:r>
    </w:p>
    <w:p>
      <w:pPr>
        <w:spacing w:after="0" w:line="252"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333-277631) pertaining to a shelf registration of debt securities, guarantees of debt securities, preferred stock, common stock, warrants, or units.</w:t>
      </w:r>
    </w:p>
    <w:p>
      <w:pPr>
        <w:spacing w:after="0" w:line="3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February 21, 2025 with respect to the consolidated financial statements and schedule of CoreCivic, Inc. and subsidiaries and the effectiveness of internal control over financial reporting of CoreCivic, Inc. and subsidiaries, included in this Annual Report (Form 10-K) of CoreCivic, Inc. and subsidiaries for the year ended December 31, 2024.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CEO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Damon T. Hininger, certify that:</w:t>
      </w:r>
    </w:p>
    <w:p>
      <w:pPr>
        <w:spacing w:after="0" w:line="225" w:lineRule="exact"/>
        <w:rPr>
          <w:sz w:val="20"/>
          <w:szCs w:val="20"/>
          <w:color w:val="auto"/>
        </w:rPr>
      </w:pPr>
    </w:p>
    <w:p>
      <w:pPr>
        <w:ind w:left="760" w:hanging="378"/>
        <w:spacing w:after="0"/>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CoreCivic, Inc.;</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 made, in light of the circumstances under which such statements were made, not misleading with respect to the period covered by this Annual Report;</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21, 2025</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Damon T. Hininger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Damon T. Hininger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CFO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M. Garfinkle, certify that:</w:t>
      </w:r>
    </w:p>
    <w:p>
      <w:pPr>
        <w:spacing w:after="0" w:line="333" w:lineRule="exact"/>
        <w:rPr>
          <w:sz w:val="20"/>
          <w:szCs w:val="20"/>
          <w:color w:val="auto"/>
        </w:rPr>
      </w:pP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CoreCivic, Inc.;</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 made, in light of the circumstances under which such statements were made, not misleading with respect to the period covered by this Annual Report;</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7"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21, 2025</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M. Garfinkle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Chief</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Officer, and Principal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CoreCivic, Inc. (the "Company") on Form 10-K for the period ending December 31, 2024, as filed with the Securities and Exchange Commission on the date hereof (the "Report"), I, Damon T. Hininger, Chief Executive Officer of the Company, certify, pursuant to 18 U.S.C. §1350, as adopted pursuant to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Damon T. Hininger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Damon T. Hininger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CoreCivic, Inc. (the "Company") on Form 10-K for the period ending December 31, 2024, as filed with the Securities and Exchange Commission on the date hereof (the "Report"), I, David M. Garfinkle, Executive Vice President, Chief Financial Officer, and Principal Accounting Officer of the Company, certify, pursuant to 18 U.S.C. §1350, as adopted pursuant to §906 of the Sarbanes-Oxley Act of 2002, that:</w:t>
      </w:r>
    </w:p>
    <w:p>
      <w:pPr>
        <w:spacing w:after="0" w:line="68" w:lineRule="exact"/>
        <w:rPr>
          <w:sz w:val="20"/>
          <w:szCs w:val="20"/>
          <w:color w:val="auto"/>
        </w:rPr>
      </w:pPr>
    </w:p>
    <w:p>
      <w:pPr>
        <w:ind w:left="1660" w:hanging="429"/>
        <w:spacing w:after="0"/>
        <w:tabs>
          <w:tab w:leader="none" w:pos="1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660" w:right="20" w:hanging="429"/>
        <w:spacing w:after="0" w:line="282" w:lineRule="auto"/>
        <w:tabs>
          <w:tab w:leader="none" w:pos="1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David M. Garfinkle</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Chief</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Financial Officer, and Principal</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68" w:name="page169"/>
    <w:bookmarkEnd w:id="1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1)"/>
      <w:numFmt w:val="upperLetter"/>
      <w:start w:val="1"/>
    </w:lvl>
  </w:abstractNum>
  <w:abstractNum w:abstractNumId="16">
    <w:nsid w:val="4B588F54"/>
    <w:multiLevelType w:val="hybridMultilevel"/>
    <w:lvl w:ilvl="0">
      <w:lvlJc w:val="left"/>
      <w:lvlText w:val="(%1)"/>
      <w:numFmt w:val="upperLetter"/>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1)"/>
      <w:numFmt w:val="decimal"/>
      <w:start w:val="2"/>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1."/>
      <w:numFmt w:val="lowerRoman"/>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decimal"/>
      <w:start w:val="1"/>
    </w:lvl>
    <w:lvl w:ilvl="1">
      <w:lvlJc w:val="left"/>
      <w:lvlText w:val="*"/>
      <w:numFmt w:val="bullet"/>
      <w:start w:val="1"/>
    </w:lvl>
  </w:abstractNum>
  <w:abstractNum w:abstractNumId="32">
    <w:nsid w:val="374A3FE6"/>
    <w:multiLevelType w:val="hybridMultilevel"/>
    <w:lvl w:ilvl="0">
      <w:lvlJc w:val="left"/>
      <w:lvlText w:val="%1"/>
      <w:numFmt w:val="decimal"/>
      <w:start w:val="1"/>
    </w:lvl>
    <w:lvl w:ilvl="1">
      <w:lvlJc w:val="left"/>
      <w:lvlText w:val="**"/>
      <w:numFmt w:val="bullet"/>
      <w:start w:val="1"/>
    </w:lvl>
  </w:abstractNum>
  <w:abstractNum w:abstractNumId="33">
    <w:nsid w:val="4F4EF005"/>
    <w:multiLevelType w:val="hybridMultilevel"/>
    <w:lvl w:ilvl="0">
      <w:lvlJc w:val="left"/>
      <w:lvlText w:val="%1"/>
      <w:numFmt w:val="decimal"/>
      <w:start w:val="1"/>
    </w:lvl>
    <w:lvl w:ilvl="1">
      <w:lvlJc w:val="left"/>
      <w:lvlText w:val="***"/>
      <w:numFmt w:val="bullet"/>
      <w:start w:val="1"/>
    </w:lvl>
  </w:abstractNum>
  <w:abstractNum w:abstractNumId="34">
    <w:nsid w:val="23F9C13C"/>
    <w:multiLevelType w:val="hybridMultilevel"/>
    <w:lvl w:ilvl="0">
      <w:lvlJc w:val="left"/>
      <w:lvlText w:val="%1"/>
      <w:numFmt w:val="decimal"/>
      <w:start w:val="97"/>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3"/>
    </w:lvl>
  </w:abstractNum>
  <w:abstractNum w:abstractNumId="37">
    <w:nsid w:val="39386575"/>
    <w:multiLevelType w:val="hybridMultilevel"/>
    <w:lvl w:ilvl="0">
      <w:lvlJc w:val="left"/>
      <w:lvlText w:val="%1."/>
      <w:numFmt w:val="decimal"/>
      <w:start w:val="4"/>
    </w:lvl>
  </w:abstractNum>
  <w:abstractNum w:abstractNumId="38">
    <w:nsid w:val="1CF10FD8"/>
    <w:multiLevelType w:val="hybridMultilevel"/>
    <w:lvl w:ilvl="0">
      <w:lvlJc w:val="left"/>
      <w:lvlText w:val="%1."/>
      <w:numFmt w:val="decimal"/>
      <w:start w:val="5"/>
    </w:lvl>
  </w:abstractNum>
  <w:abstractNum w:abstractNumId="39">
    <w:nsid w:val="180115BE"/>
    <w:multiLevelType w:val="hybridMultilevel"/>
    <w:lvl w:ilvl="0">
      <w:lvlJc w:val="left"/>
      <w:lvlText w:val="%1."/>
      <w:numFmt w:val="decimal"/>
      <w:start w:val="6"/>
    </w:lvl>
  </w:abstractNum>
  <w:abstractNum w:abstractNumId="40">
    <w:nsid w:val="235BA861"/>
    <w:multiLevelType w:val="hybridMultilevel"/>
    <w:lvl w:ilvl="0">
      <w:lvlJc w:val="left"/>
      <w:lvlText w:val="%1."/>
      <w:numFmt w:val="decimal"/>
      <w:start w:val="8"/>
    </w:lvl>
  </w:abstractNum>
  <w:abstractNum w:abstractNumId="41">
    <w:nsid w:val="47398C89"/>
    <w:multiLevelType w:val="hybridMultilevel"/>
    <w:lvl w:ilvl="0">
      <w:lvlJc w:val="left"/>
      <w:lvlText w:val="%1."/>
      <w:numFmt w:val="decimal"/>
      <w:start w:val="10"/>
    </w:lvl>
  </w:abstractNum>
  <w:abstractNum w:abstractNumId="42">
    <w:nsid w:val="354FE9F9"/>
    <w:multiLevelType w:val="hybridMultilevel"/>
    <w:lvl w:ilvl="0">
      <w:lvlJc w:val="left"/>
      <w:lvlText w:val="%1."/>
      <w:numFmt w:val="decimal"/>
      <w:start w:val="11"/>
    </w:lvl>
  </w:abstractNum>
  <w:abstractNum w:abstractNumId="43">
    <w:nsid w:val="15B5AF5C"/>
    <w:multiLevelType w:val="hybridMultilevel"/>
    <w:lvl w:ilvl="0">
      <w:lvlJc w:val="left"/>
      <w:lvlText w:val="%1."/>
      <w:numFmt w:val="decimal"/>
      <w:start w:val="12"/>
    </w:lvl>
  </w:abstractNum>
  <w:abstractNum w:abstractNumId="44">
    <w:nsid w:val="741226BB"/>
    <w:multiLevelType w:val="hybridMultilevel"/>
    <w:lvl w:ilvl="0">
      <w:lvlJc w:val="left"/>
      <w:lvlText w:val="%1."/>
      <w:numFmt w:val="decimal"/>
      <w:start w:val="13"/>
    </w:lvl>
  </w:abstractNum>
  <w:abstractNum w:abstractNumId="45">
    <w:nsid w:val="D34B6A8"/>
    <w:multiLevelType w:val="hybridMultilevel"/>
    <w:lvl w:ilvl="0">
      <w:lvlJc w:val="left"/>
      <w:lvlText w:val="%1."/>
      <w:numFmt w:val="decimal"/>
      <w:start w:val="14"/>
    </w:lvl>
  </w:abstractNum>
  <w:abstractNum w:abstractNumId="46">
    <w:nsid w:val="10233C99"/>
    <w:multiLevelType w:val="hybridMultilevel"/>
    <w:lvl w:ilvl="0">
      <w:lvlJc w:val="left"/>
      <w:lvlText w:val="%1."/>
      <w:numFmt w:val="decimal"/>
      <w:start w:val="15"/>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decimal"/>
      <w:start w:val="16"/>
    </w:lvl>
  </w:abstractNum>
  <w:abstractNum w:abstractNumId="50">
    <w:nsid w:val="77AE35EB"/>
    <w:multiLevelType w:val="hybridMultilevel"/>
    <w:lvl w:ilvl="0">
      <w:lvlJc w:val="left"/>
      <w:lvlText w:val="(%1)"/>
      <w:numFmt w:val="upperLetter"/>
      <w:start w:val="1"/>
    </w:lvl>
  </w:abstractNum>
  <w:abstractNum w:abstractNumId="51">
    <w:nsid w:val="579BE4F1"/>
    <w:multiLevelType w:val="hybridMultilevel"/>
    <w:lvl w:ilvl="0">
      <w:lvlJc w:val="left"/>
      <w:lvlText w:val="%1."/>
      <w:numFmt w:val="upperLetter"/>
      <w:start w:val="9"/>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1."/>
      <w:numFmt w:val="upperLetter"/>
      <w:start w:val="35"/>
    </w:lvl>
    <w:lvl w:ilvl="1">
      <w:lvlJc w:val="left"/>
      <w:lvlText w:val="·"/>
      <w:numFmt w:val="bullet"/>
      <w:start w:val="1"/>
    </w:lvl>
  </w:abstractNum>
  <w:abstractNum w:abstractNumId="54">
    <w:nsid w:val="2F305DEF"/>
    <w:multiLevelType w:val="hybridMultilevel"/>
    <w:lvl w:ilvl="0">
      <w:lvlJc w:val="left"/>
      <w:lvlText w:val="%1."/>
      <w:numFmt w:val="upperLetter"/>
      <w:start w:val="6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1."/>
      <w:numFmt w:val="upperLetter"/>
      <w:start w:val="22"/>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61">
    <w:nsid w:val="100F8FCA"/>
    <w:multiLevelType w:val="hybridMultilevel"/>
    <w:lvl w:ilvl="0">
      <w:lvlJc w:val="left"/>
      <w:lvlText w:val="%1."/>
      <w:numFmt w:val="decimal"/>
      <w:start w:val="4"/>
    </w:lvl>
    <w:lvl w:ilvl="1">
      <w:lvlJc w:val="left"/>
      <w:lvlText w:val="%2"/>
      <w:numFmt w:val="decimal"/>
      <w:start w:val="1"/>
    </w:lvl>
    <w:lvl w:ilvl="2">
      <w:lvlJc w:val="left"/>
      <w:lvlText w:val="%3."/>
      <w:numFmt w:val="upperLetter"/>
      <w:start w:val="1"/>
    </w:lvl>
  </w:abstractNum>
  <w:abstractNum w:abstractNumId="62">
    <w:nsid w:val="6590700B"/>
    <w:multiLevelType w:val="hybridMultilevel"/>
    <w:lvl w:ilvl="0">
      <w:lvlJc w:val="left"/>
      <w:lvlText w:val="%1."/>
      <w:numFmt w:val="decimal"/>
      <w:start w:val="5"/>
    </w:lvl>
    <w:lvl w:ilvl="1">
      <w:lvlJc w:val="left"/>
      <w:lvlText w:val="%2."/>
      <w:numFmt w:val="upperLetter"/>
      <w:start w:val="1"/>
    </w:lvl>
  </w:abstractNum>
  <w:abstractNum w:abstractNumId="63">
    <w:nsid w:val="15014ACB"/>
    <w:multiLevelType w:val="hybridMultilevel"/>
    <w:lvl w:ilvl="0">
      <w:lvlJc w:val="left"/>
      <w:lvlText w:val="%1."/>
      <w:numFmt w:val="decimal"/>
    </w:lvl>
    <w:lvl w:ilvl="1">
      <w:lvlJc w:val="left"/>
      <w:lvlText w:val="·"/>
      <w:numFmt w:val="bullet"/>
      <w:start w:val="1"/>
    </w:lvl>
  </w:abstractNum>
  <w:abstractNum w:abstractNumId="64">
    <w:nsid w:val="5F5E7FD0"/>
    <w:multiLevelType w:val="hybridMultilevel"/>
    <w:lvl w:ilvl="0">
      <w:lvlJc w:val="left"/>
      <w:lvlText w:val="%1."/>
      <w:numFmt w:val="decimal"/>
      <w:start w:val="2"/>
    </w:lvl>
  </w:abstractNum>
  <w:abstractNum w:abstractNumId="65">
    <w:nsid w:val="98A3148"/>
    <w:multiLevelType w:val="hybridMultilevel"/>
    <w:lvl w:ilvl="0">
      <w:lvlJc w:val="left"/>
      <w:lvlText w:val="%1."/>
      <w:numFmt w:val="decimal"/>
      <w:start w:val="3"/>
    </w:lvl>
  </w:abstractNum>
  <w:abstractNum w:abstractNumId="66">
    <w:nsid w:val="799D0247"/>
    <w:multiLevelType w:val="hybridMultilevel"/>
    <w:lvl w:ilvl="0">
      <w:lvlJc w:val="left"/>
      <w:lvlText w:val="%1."/>
      <w:numFmt w:val="decimal"/>
      <w:start w:val="4"/>
    </w:lvl>
  </w:abstractNum>
  <w:abstractNum w:abstractNumId="67">
    <w:nsid w:val="6B94764"/>
    <w:multiLevelType w:val="hybridMultilevel"/>
    <w:lvl w:ilvl="0">
      <w:lvlJc w:val="left"/>
      <w:lvlText w:val="%1."/>
      <w:numFmt w:val="decimal"/>
      <w:start w:val="5"/>
    </w:lvl>
  </w:abstractNum>
  <w:abstractNum w:abstractNumId="68">
    <w:nsid w:val="42C296BD"/>
    <w:multiLevelType w:val="hybridMultilevel"/>
    <w:lvl w:ilvl="0">
      <w:lvlJc w:val="left"/>
      <w:lvlText w:val="%1."/>
      <w:numFmt w:val="decimal"/>
      <w:start w:val="6"/>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50" Type="http://schemas.openxmlformats.org/officeDocument/2006/relationships/image" Target="media/image211.png"/><Relationship Id="rId251" Type="http://schemas.openxmlformats.org/officeDocument/2006/relationships/image" Target="media/image212.png"/><Relationship Id="rId263" Type="http://schemas.openxmlformats.org/officeDocument/2006/relationships/image" Target="media/image213.png"/><Relationship Id="rId264" Type="http://schemas.openxmlformats.org/officeDocument/2006/relationships/image" Target="media/image214.png"/><Relationship Id="rId266" Type="http://schemas.openxmlformats.org/officeDocument/2006/relationships/image" Target="media/image215.png"/><Relationship Id="rId267" Type="http://schemas.openxmlformats.org/officeDocument/2006/relationships/image" Target="media/image216.png"/><Relationship Id="rId268" Type="http://schemas.openxmlformats.org/officeDocument/2006/relationships/image" Target="media/image217.png"/><Relationship Id="rId269" Type="http://schemas.openxmlformats.org/officeDocument/2006/relationships/image" Target="media/image218.png"/><Relationship Id="rId270" Type="http://schemas.openxmlformats.org/officeDocument/2006/relationships/image" Target="media/image219.png"/><Relationship Id="rId271" Type="http://schemas.openxmlformats.org/officeDocument/2006/relationships/image" Target="media/image220.png"/><Relationship Id="rId272" Type="http://schemas.openxmlformats.org/officeDocument/2006/relationships/image" Target="media/image221.png"/><Relationship Id="rId273" Type="http://schemas.openxmlformats.org/officeDocument/2006/relationships/image" Target="media/image222.png"/><Relationship Id="rId274" Type="http://schemas.openxmlformats.org/officeDocument/2006/relationships/image" Target="media/image223.png"/><Relationship Id="rId275" Type="http://schemas.openxmlformats.org/officeDocument/2006/relationships/image" Target="media/image224.png"/><Relationship Id="rId276" Type="http://schemas.openxmlformats.org/officeDocument/2006/relationships/image" Target="media/image225.png"/><Relationship Id="rId277" Type="http://schemas.openxmlformats.org/officeDocument/2006/relationships/image" Target="media/image226.png"/><Relationship Id="rId278" Type="http://schemas.openxmlformats.org/officeDocument/2006/relationships/image" Target="media/image227.png"/><Relationship Id="rId279" Type="http://schemas.openxmlformats.org/officeDocument/2006/relationships/image" Target="media/image228.png"/><Relationship Id="rId280" Type="http://schemas.openxmlformats.org/officeDocument/2006/relationships/image" Target="media/image229.png"/><Relationship Id="rId281" Type="http://schemas.openxmlformats.org/officeDocument/2006/relationships/image" Target="media/image230.png"/><Relationship Id="rId282" Type="http://schemas.openxmlformats.org/officeDocument/2006/relationships/image" Target="media/image231.png"/><Relationship Id="rId283" Type="http://schemas.openxmlformats.org/officeDocument/2006/relationships/image" Target="media/image232.png"/><Relationship Id="rId284" Type="http://schemas.openxmlformats.org/officeDocument/2006/relationships/image" Target="media/image233.png"/><Relationship Id="rId285" Type="http://schemas.openxmlformats.org/officeDocument/2006/relationships/image" Target="media/image234.png"/><Relationship Id="rId286" Type="http://schemas.openxmlformats.org/officeDocument/2006/relationships/image" Target="media/image235.png"/><Relationship Id="rId287" Type="http://schemas.openxmlformats.org/officeDocument/2006/relationships/image" Target="media/image236.png"/><Relationship Id="rId288" Type="http://schemas.openxmlformats.org/officeDocument/2006/relationships/image" Target="media/image237.png"/><Relationship Id="rId289" Type="http://schemas.openxmlformats.org/officeDocument/2006/relationships/image" Target="media/image238.png"/><Relationship Id="rId290" Type="http://schemas.openxmlformats.org/officeDocument/2006/relationships/image" Target="media/image239.png"/><Relationship Id="rId291" Type="http://schemas.openxmlformats.org/officeDocument/2006/relationships/image" Target="media/image240.png"/><Relationship Id="rId292" Type="http://schemas.openxmlformats.org/officeDocument/2006/relationships/image" Target="media/image241.png"/><Relationship Id="rId293" Type="http://schemas.openxmlformats.org/officeDocument/2006/relationships/image" Target="media/image242.png"/><Relationship Id="rId294" Type="http://schemas.openxmlformats.org/officeDocument/2006/relationships/image" Target="media/image243.png"/><Relationship Id="rId295" Type="http://schemas.openxmlformats.org/officeDocument/2006/relationships/image" Target="media/image244.png"/><Relationship Id="rId296" Type="http://schemas.openxmlformats.org/officeDocument/2006/relationships/image" Target="media/image245.png"/><Relationship Id="rId297" Type="http://schemas.openxmlformats.org/officeDocument/2006/relationships/image" Target="media/image246.png"/><Relationship Id="rId298" Type="http://schemas.openxmlformats.org/officeDocument/2006/relationships/image" Target="media/image247.png"/><Relationship Id="rId299" Type="http://schemas.openxmlformats.org/officeDocument/2006/relationships/image" Target="media/image248.png"/><Relationship Id="rId300" Type="http://schemas.openxmlformats.org/officeDocument/2006/relationships/image" Target="media/image249.png"/><Relationship Id="rId301" Type="http://schemas.openxmlformats.org/officeDocument/2006/relationships/image" Target="media/image250.png"/><Relationship Id="rId302" Type="http://schemas.openxmlformats.org/officeDocument/2006/relationships/image" Target="media/image251.png"/><Relationship Id="rId303" Type="http://schemas.openxmlformats.org/officeDocument/2006/relationships/image" Target="media/image252.png"/><Relationship Id="rId304" Type="http://schemas.openxmlformats.org/officeDocument/2006/relationships/image" Target="media/image253.png"/><Relationship Id="rId305" Type="http://schemas.openxmlformats.org/officeDocument/2006/relationships/image" Target="media/image254.png"/><Relationship Id="rId306" Type="http://schemas.openxmlformats.org/officeDocument/2006/relationships/image" Target="media/image255.png"/><Relationship Id="rId307" Type="http://schemas.openxmlformats.org/officeDocument/2006/relationships/image" Target="media/image256.png"/><Relationship Id="rId308" Type="http://schemas.openxmlformats.org/officeDocument/2006/relationships/image" Target="media/image257.png"/><Relationship Id="rId309" Type="http://schemas.openxmlformats.org/officeDocument/2006/relationships/image" Target="media/image258.png"/><Relationship Id="rId310" Type="http://schemas.openxmlformats.org/officeDocument/2006/relationships/image" Target="media/image259.png"/><Relationship Id="rId311" Type="http://schemas.openxmlformats.org/officeDocument/2006/relationships/image" Target="media/image260.png"/><Relationship Id="rId312" Type="http://schemas.openxmlformats.org/officeDocument/2006/relationships/image" Target="media/image261.png"/><Relationship Id="rId313" Type="http://schemas.openxmlformats.org/officeDocument/2006/relationships/image" Target="media/image262.png"/><Relationship Id="rId314" Type="http://schemas.openxmlformats.org/officeDocument/2006/relationships/image" Target="media/image263.png"/><Relationship Id="rId315" Type="http://schemas.openxmlformats.org/officeDocument/2006/relationships/image" Target="media/image264.png"/><Relationship Id="rId316" Type="http://schemas.openxmlformats.org/officeDocument/2006/relationships/image" Target="media/image265.png"/><Relationship Id="rId317" Type="http://schemas.openxmlformats.org/officeDocument/2006/relationships/image" Target="media/image266.png"/><Relationship Id="rId318" Type="http://schemas.openxmlformats.org/officeDocument/2006/relationships/image" Target="media/image267.png"/><Relationship Id="rId319" Type="http://schemas.openxmlformats.org/officeDocument/2006/relationships/image" Target="media/image268.png"/><Relationship Id="rId320" Type="http://schemas.openxmlformats.org/officeDocument/2006/relationships/image" Target="media/image269.png"/><Relationship Id="rId321" Type="http://schemas.openxmlformats.org/officeDocument/2006/relationships/image" Target="media/image270.png"/><Relationship Id="rId322" Type="http://schemas.openxmlformats.org/officeDocument/2006/relationships/image" Target="media/image271.png"/><Relationship Id="rId323" Type="http://schemas.openxmlformats.org/officeDocument/2006/relationships/image" Target="media/image272.png"/><Relationship Id="rId324" Type="http://schemas.openxmlformats.org/officeDocument/2006/relationships/image" Target="media/image273.png"/><Relationship Id="rId325" Type="http://schemas.openxmlformats.org/officeDocument/2006/relationships/image" Target="media/image274.png"/><Relationship Id="rId326" Type="http://schemas.openxmlformats.org/officeDocument/2006/relationships/image" Target="media/image275.png"/><Relationship Id="rId327" Type="http://schemas.openxmlformats.org/officeDocument/2006/relationships/image" Target="media/image276.png"/><Relationship Id="rId328" Type="http://schemas.openxmlformats.org/officeDocument/2006/relationships/image" Target="media/image277.png"/><Relationship Id="rId329" Type="http://schemas.openxmlformats.org/officeDocument/2006/relationships/image" Target="media/image278.png"/><Relationship Id="rId330" Type="http://schemas.openxmlformats.org/officeDocument/2006/relationships/image" Target="media/image279.png"/><Relationship Id="rId331" Type="http://schemas.openxmlformats.org/officeDocument/2006/relationships/image" Target="media/image280.png"/><Relationship Id="rId332" Type="http://schemas.openxmlformats.org/officeDocument/2006/relationships/image" Target="media/image281.png"/><Relationship Id="rId333" Type="http://schemas.openxmlformats.org/officeDocument/2006/relationships/image" Target="media/image282.png"/><Relationship Id="rId334" Type="http://schemas.openxmlformats.org/officeDocument/2006/relationships/image" Target="media/image283.png"/><Relationship Id="rId335" Type="http://schemas.openxmlformats.org/officeDocument/2006/relationships/image" Target="media/image284.png"/><Relationship Id="rId336" Type="http://schemas.openxmlformats.org/officeDocument/2006/relationships/image" Target="media/image285.png"/><Relationship Id="rId337" Type="http://schemas.openxmlformats.org/officeDocument/2006/relationships/image" Target="media/image286.png"/><Relationship Id="rId338" Type="http://schemas.openxmlformats.org/officeDocument/2006/relationships/image" Target="media/image287.png"/><Relationship Id="rId339" Type="http://schemas.openxmlformats.org/officeDocument/2006/relationships/image" Target="media/image288.png"/><Relationship Id="rId340" Type="http://schemas.openxmlformats.org/officeDocument/2006/relationships/image" Target="media/image289.png"/><Relationship Id="rId341" Type="http://schemas.openxmlformats.org/officeDocument/2006/relationships/image" Target="media/image290.png"/><Relationship Id="rId342" Type="http://schemas.openxmlformats.org/officeDocument/2006/relationships/image" Target="media/image291.png"/><Relationship Id="rId343" Type="http://schemas.openxmlformats.org/officeDocument/2006/relationships/image" Target="media/image292.png"/><Relationship Id="rId344" Type="http://schemas.openxmlformats.org/officeDocument/2006/relationships/image" Target="media/image293.png"/><Relationship Id="rId345" Type="http://schemas.openxmlformats.org/officeDocument/2006/relationships/image" Target="media/image294.png"/><Relationship Id="rId346" Type="http://schemas.openxmlformats.org/officeDocument/2006/relationships/image" Target="media/image295.png"/><Relationship Id="rId347" Type="http://schemas.openxmlformats.org/officeDocument/2006/relationships/image" Target="media/image296.png"/><Relationship Id="rId348" Type="http://schemas.openxmlformats.org/officeDocument/2006/relationships/image" Target="media/image297.png"/><Relationship Id="rId349" Type="http://schemas.openxmlformats.org/officeDocument/2006/relationships/image" Target="media/image298.png"/><Relationship Id="rId350" Type="http://schemas.openxmlformats.org/officeDocument/2006/relationships/image" Target="media/image299.png"/><Relationship Id="rId351" Type="http://schemas.openxmlformats.org/officeDocument/2006/relationships/image" Target="media/image300.png"/><Relationship Id="rId352" Type="http://schemas.openxmlformats.org/officeDocument/2006/relationships/image" Target="media/image301.png"/><Relationship Id="rId353" Type="http://schemas.openxmlformats.org/officeDocument/2006/relationships/image" Target="media/image302.png"/><Relationship Id="rId354" Type="http://schemas.openxmlformats.org/officeDocument/2006/relationships/image" Target="media/image303.png"/><Relationship Id="rId355" Type="http://schemas.openxmlformats.org/officeDocument/2006/relationships/image" Target="media/image304.png"/><Relationship Id="rId356" Type="http://schemas.openxmlformats.org/officeDocument/2006/relationships/image" Target="media/image305.png"/><Relationship Id="rId357" Type="http://schemas.openxmlformats.org/officeDocument/2006/relationships/image" Target="media/image306.png"/><Relationship Id="rId358" Type="http://schemas.openxmlformats.org/officeDocument/2006/relationships/image" Target="media/image307.png"/><Relationship Id="rId359" Type="http://schemas.openxmlformats.org/officeDocument/2006/relationships/image" Target="media/image308.png"/><Relationship Id="rId360" Type="http://schemas.openxmlformats.org/officeDocument/2006/relationships/image" Target="media/image309.png"/><Relationship Id="rId361" Type="http://schemas.openxmlformats.org/officeDocument/2006/relationships/image" Target="media/image310.png"/><Relationship Id="rId362" Type="http://schemas.openxmlformats.org/officeDocument/2006/relationships/image" Target="media/image311.png"/><Relationship Id="rId363" Type="http://schemas.openxmlformats.org/officeDocument/2006/relationships/image" Target="media/image312.png"/><Relationship Id="rId364" Type="http://schemas.openxmlformats.org/officeDocument/2006/relationships/image" Target="media/image313.png"/><Relationship Id="rId365" Type="http://schemas.openxmlformats.org/officeDocument/2006/relationships/image" Target="media/image314.png"/><Relationship Id="rId366" Type="http://schemas.openxmlformats.org/officeDocument/2006/relationships/image" Target="media/image315.png"/><Relationship Id="rId367" Type="http://schemas.openxmlformats.org/officeDocument/2006/relationships/image" Target="media/image316.png"/><Relationship Id="rId368" Type="http://schemas.openxmlformats.org/officeDocument/2006/relationships/image" Target="media/image317.png"/><Relationship Id="rId369" Type="http://schemas.openxmlformats.org/officeDocument/2006/relationships/image" Target="media/image318.png"/><Relationship Id="rId370" Type="http://schemas.openxmlformats.org/officeDocument/2006/relationships/image" Target="media/image319.png"/><Relationship Id="rId371" Type="http://schemas.openxmlformats.org/officeDocument/2006/relationships/image" Target="media/image320.png"/><Relationship Id="rId372" Type="http://schemas.openxmlformats.org/officeDocument/2006/relationships/image" Target="media/image321.png"/><Relationship Id="rId373" Type="http://schemas.openxmlformats.org/officeDocument/2006/relationships/image" Target="media/image322.png"/><Relationship Id="rId374" Type="http://schemas.openxmlformats.org/officeDocument/2006/relationships/image" Target="media/image323.png"/><Relationship Id="rId375" Type="http://schemas.openxmlformats.org/officeDocument/2006/relationships/image" Target="media/image324.png"/><Relationship Id="rId376" Type="http://schemas.openxmlformats.org/officeDocument/2006/relationships/image" Target="media/image325.png"/><Relationship Id="rId377" Type="http://schemas.openxmlformats.org/officeDocument/2006/relationships/image" Target="media/image326.png"/><Relationship Id="rId378" Type="http://schemas.openxmlformats.org/officeDocument/2006/relationships/image" Target="media/image327.png"/><Relationship Id="rId379" Type="http://schemas.openxmlformats.org/officeDocument/2006/relationships/image" Target="media/image328.png"/><Relationship Id="rId380" Type="http://schemas.openxmlformats.org/officeDocument/2006/relationships/image" Target="media/image329.png"/><Relationship Id="rId381" Type="http://schemas.openxmlformats.org/officeDocument/2006/relationships/image" Target="media/image330.png"/><Relationship Id="rId382" Type="http://schemas.openxmlformats.org/officeDocument/2006/relationships/image" Target="media/image331.png"/><Relationship Id="rId383" Type="http://schemas.openxmlformats.org/officeDocument/2006/relationships/image" Target="media/image332.png"/><Relationship Id="rId384" Type="http://schemas.openxmlformats.org/officeDocument/2006/relationships/image" Target="media/image333.png"/><Relationship Id="rId385" Type="http://schemas.openxmlformats.org/officeDocument/2006/relationships/image" Target="media/image334.png"/><Relationship Id="rId386" Type="http://schemas.openxmlformats.org/officeDocument/2006/relationships/image" Target="media/image335.png"/><Relationship Id="rId387" Type="http://schemas.openxmlformats.org/officeDocument/2006/relationships/image" Target="media/image336.png"/><Relationship Id="rId388" Type="http://schemas.openxmlformats.org/officeDocument/2006/relationships/image" Target="media/image337.png"/><Relationship Id="rId389" Type="http://schemas.openxmlformats.org/officeDocument/2006/relationships/image" Target="media/image338.png"/><Relationship Id="rId390" Type="http://schemas.openxmlformats.org/officeDocument/2006/relationships/image" Target="media/image339.png"/><Relationship Id="rId391" Type="http://schemas.openxmlformats.org/officeDocument/2006/relationships/image" Target="media/image340.png"/><Relationship Id="rId392" Type="http://schemas.openxmlformats.org/officeDocument/2006/relationships/image" Target="media/image341.png"/><Relationship Id="rId393" Type="http://schemas.openxmlformats.org/officeDocument/2006/relationships/image" Target="media/image342.png"/><Relationship Id="rId394" Type="http://schemas.openxmlformats.org/officeDocument/2006/relationships/image" Target="media/image343.png"/><Relationship Id="rId395" Type="http://schemas.openxmlformats.org/officeDocument/2006/relationships/image" Target="media/image344.png"/><Relationship Id="rId396" Type="http://schemas.openxmlformats.org/officeDocument/2006/relationships/image" Target="media/image345.png"/><Relationship Id="rId397" Type="http://schemas.openxmlformats.org/officeDocument/2006/relationships/image" Target="media/image346.png"/><Relationship Id="rId398" Type="http://schemas.openxmlformats.org/officeDocument/2006/relationships/image" Target="media/image347.png"/><Relationship Id="rId399" Type="http://schemas.openxmlformats.org/officeDocument/2006/relationships/image" Target="media/image348.png"/><Relationship Id="rId400" Type="http://schemas.openxmlformats.org/officeDocument/2006/relationships/image" Target="media/image349.png"/><Relationship Id="rId401" Type="http://schemas.openxmlformats.org/officeDocument/2006/relationships/image" Target="media/image350.png"/><Relationship Id="rId402" Type="http://schemas.openxmlformats.org/officeDocument/2006/relationships/image" Target="media/image351.png"/><Relationship Id="rId403" Type="http://schemas.openxmlformats.org/officeDocument/2006/relationships/image" Target="media/image352.png"/><Relationship Id="rId404" Type="http://schemas.openxmlformats.org/officeDocument/2006/relationships/image" Target="media/image353.png"/><Relationship Id="rId405" Type="http://schemas.openxmlformats.org/officeDocument/2006/relationships/image" Target="media/image354.png"/><Relationship Id="rId406" Type="http://schemas.openxmlformats.org/officeDocument/2006/relationships/image" Target="media/image355.png"/><Relationship Id="rId407" Type="http://schemas.openxmlformats.org/officeDocument/2006/relationships/image" Target="media/image356.png"/><Relationship Id="rId408" Type="http://schemas.openxmlformats.org/officeDocument/2006/relationships/image" Target="media/image357.png"/><Relationship Id="rId409" Type="http://schemas.openxmlformats.org/officeDocument/2006/relationships/image" Target="media/image358.png"/><Relationship Id="rId410" Type="http://schemas.openxmlformats.org/officeDocument/2006/relationships/image" Target="media/image359.png"/><Relationship Id="rId411" Type="http://schemas.openxmlformats.org/officeDocument/2006/relationships/image" Target="media/image360.png"/><Relationship Id="rId412" Type="http://schemas.openxmlformats.org/officeDocument/2006/relationships/image" Target="media/image361.png"/><Relationship Id="rId413" Type="http://schemas.openxmlformats.org/officeDocument/2006/relationships/image" Target="media/image362.png"/><Relationship Id="rId414" Type="http://schemas.openxmlformats.org/officeDocument/2006/relationships/image" Target="media/image363.png"/><Relationship Id="rId415" Type="http://schemas.openxmlformats.org/officeDocument/2006/relationships/image" Target="media/image364.png"/><Relationship Id="rId416" Type="http://schemas.openxmlformats.org/officeDocument/2006/relationships/image" Target="media/image365.png"/><Relationship Id="rId417" Type="http://schemas.openxmlformats.org/officeDocument/2006/relationships/image" Target="media/image366.png"/><Relationship Id="rId418" Type="http://schemas.openxmlformats.org/officeDocument/2006/relationships/image" Target="media/image367.png"/><Relationship Id="rId419" Type="http://schemas.openxmlformats.org/officeDocument/2006/relationships/image" Target="media/image368.png"/><Relationship Id="rId420" Type="http://schemas.openxmlformats.org/officeDocument/2006/relationships/image" Target="media/image369.png"/><Relationship Id="rId421" Type="http://schemas.openxmlformats.org/officeDocument/2006/relationships/image" Target="media/image370.png"/><Relationship Id="rId422" Type="http://schemas.openxmlformats.org/officeDocument/2006/relationships/image" Target="media/image371.png"/><Relationship Id="rId423" Type="http://schemas.openxmlformats.org/officeDocument/2006/relationships/image" Target="media/image372.png"/><Relationship Id="rId424" Type="http://schemas.openxmlformats.org/officeDocument/2006/relationships/image" Target="media/image373.png"/><Relationship Id="rId425" Type="http://schemas.openxmlformats.org/officeDocument/2006/relationships/image" Target="media/image374.png"/><Relationship Id="rId426" Type="http://schemas.openxmlformats.org/officeDocument/2006/relationships/image" Target="media/image375.png"/><Relationship Id="rId427" Type="http://schemas.openxmlformats.org/officeDocument/2006/relationships/image" Target="media/image376.png"/><Relationship Id="rId428" Type="http://schemas.openxmlformats.org/officeDocument/2006/relationships/image" Target="media/image377.png"/><Relationship Id="rId429" Type="http://schemas.openxmlformats.org/officeDocument/2006/relationships/image" Target="media/image378.png"/><Relationship Id="rId430" Type="http://schemas.openxmlformats.org/officeDocument/2006/relationships/image" Target="media/image379.png"/><Relationship Id="rId431" Type="http://schemas.openxmlformats.org/officeDocument/2006/relationships/image" Target="media/image380.png"/><Relationship Id="rId432" Type="http://schemas.openxmlformats.org/officeDocument/2006/relationships/image" Target="media/image381.png"/><Relationship Id="rId433" Type="http://schemas.openxmlformats.org/officeDocument/2006/relationships/image" Target="media/image382.png"/><Relationship Id="rId434" Type="http://schemas.openxmlformats.org/officeDocument/2006/relationships/image" Target="media/image383.png"/><Relationship Id="rId435" Type="http://schemas.openxmlformats.org/officeDocument/2006/relationships/image" Target="media/image384.png"/><Relationship Id="rId436" Type="http://schemas.openxmlformats.org/officeDocument/2006/relationships/image" Target="media/image385.png"/><Relationship Id="rId437" Type="http://schemas.openxmlformats.org/officeDocument/2006/relationships/image" Target="media/image386.png"/><Relationship Id="rId438" Type="http://schemas.openxmlformats.org/officeDocument/2006/relationships/image" Target="media/image387.png"/><Relationship Id="rId439" Type="http://schemas.openxmlformats.org/officeDocument/2006/relationships/image" Target="media/image388.png"/><Relationship Id="rId440" Type="http://schemas.openxmlformats.org/officeDocument/2006/relationships/image" Target="media/image389.png"/><Relationship Id="rId441" Type="http://schemas.openxmlformats.org/officeDocument/2006/relationships/image" Target="media/image390.png"/><Relationship Id="rId442" Type="http://schemas.openxmlformats.org/officeDocument/2006/relationships/image" Target="media/image391.png"/><Relationship Id="rId443" Type="http://schemas.openxmlformats.org/officeDocument/2006/relationships/image" Target="media/image392.png"/><Relationship Id="rId444" Type="http://schemas.openxmlformats.org/officeDocument/2006/relationships/image" Target="media/image393.png"/><Relationship Id="rId445" Type="http://schemas.openxmlformats.org/officeDocument/2006/relationships/image" Target="media/image394.png"/><Relationship Id="rId446" Type="http://schemas.openxmlformats.org/officeDocument/2006/relationships/image" Target="media/image395.png"/><Relationship Id="rId447" Type="http://schemas.openxmlformats.org/officeDocument/2006/relationships/image" Target="media/image396.png"/><Relationship Id="rId448" Type="http://schemas.openxmlformats.org/officeDocument/2006/relationships/image" Target="media/image397.png"/><Relationship Id="rId449" Type="http://schemas.openxmlformats.org/officeDocument/2006/relationships/image" Target="media/image398.png"/><Relationship Id="rId450" Type="http://schemas.openxmlformats.org/officeDocument/2006/relationships/image" Target="media/image399.png"/><Relationship Id="rId451" Type="http://schemas.openxmlformats.org/officeDocument/2006/relationships/image" Target="media/image400.png"/><Relationship Id="rId452" Type="http://schemas.openxmlformats.org/officeDocument/2006/relationships/image" Target="media/image401.png"/><Relationship Id="rId453" Type="http://schemas.openxmlformats.org/officeDocument/2006/relationships/image" Target="media/image402.png"/><Relationship Id="rId454" Type="http://schemas.openxmlformats.org/officeDocument/2006/relationships/image" Target="media/image403.png"/><Relationship Id="rId455" Type="http://schemas.openxmlformats.org/officeDocument/2006/relationships/image" Target="media/image404.png"/><Relationship Id="rId456" Type="http://schemas.openxmlformats.org/officeDocument/2006/relationships/image" Target="media/image405.png"/><Relationship Id="rId457" Type="http://schemas.openxmlformats.org/officeDocument/2006/relationships/image" Target="media/image406.png"/><Relationship Id="rId458" Type="http://schemas.openxmlformats.org/officeDocument/2006/relationships/image" Target="media/image407.png"/><Relationship Id="rId459" Type="http://schemas.openxmlformats.org/officeDocument/2006/relationships/image" Target="media/image408.png"/><Relationship Id="rId460" Type="http://schemas.openxmlformats.org/officeDocument/2006/relationships/image" Target="media/image409.png"/><Relationship Id="rId461" Type="http://schemas.openxmlformats.org/officeDocument/2006/relationships/image" Target="media/image410.png"/><Relationship Id="rId462" Type="http://schemas.openxmlformats.org/officeDocument/2006/relationships/image" Target="media/image411.png"/><Relationship Id="rId463" Type="http://schemas.openxmlformats.org/officeDocument/2006/relationships/image" Target="media/image412.png"/><Relationship Id="rId464" Type="http://schemas.openxmlformats.org/officeDocument/2006/relationships/image" Target="media/image413.png"/><Relationship Id="rId465" Type="http://schemas.openxmlformats.org/officeDocument/2006/relationships/image" Target="media/image414.png"/><Relationship Id="rId466" Type="http://schemas.openxmlformats.org/officeDocument/2006/relationships/image" Target="media/image415.png"/><Relationship Id="rId467" Type="http://schemas.openxmlformats.org/officeDocument/2006/relationships/image" Target="media/image416.png"/><Relationship Id="rId468" Type="http://schemas.openxmlformats.org/officeDocument/2006/relationships/image" Target="media/image417.png"/><Relationship Id="rId469" Type="http://schemas.openxmlformats.org/officeDocument/2006/relationships/image" Target="media/image418.png"/><Relationship Id="rId470" Type="http://schemas.openxmlformats.org/officeDocument/2006/relationships/image" Target="media/image419.png"/><Relationship Id="rId471" Type="http://schemas.openxmlformats.org/officeDocument/2006/relationships/image" Target="media/image420.png"/><Relationship Id="rId472" Type="http://schemas.openxmlformats.org/officeDocument/2006/relationships/image" Target="media/image421.png"/><Relationship Id="rId473" Type="http://schemas.openxmlformats.org/officeDocument/2006/relationships/image" Target="media/image422.png"/><Relationship Id="rId474" Type="http://schemas.openxmlformats.org/officeDocument/2006/relationships/image" Target="media/image423.png"/><Relationship Id="rId475" Type="http://schemas.openxmlformats.org/officeDocument/2006/relationships/image" Target="media/image424.png"/><Relationship Id="rId476" Type="http://schemas.openxmlformats.org/officeDocument/2006/relationships/image" Target="media/image425.png"/><Relationship Id="rId477" Type="http://schemas.openxmlformats.org/officeDocument/2006/relationships/image" Target="media/image426.png"/><Relationship Id="rId478" Type="http://schemas.openxmlformats.org/officeDocument/2006/relationships/image" Target="media/image427.png"/><Relationship Id="rId479" Type="http://schemas.openxmlformats.org/officeDocument/2006/relationships/image" Target="media/image428.png"/><Relationship Id="rId480" Type="http://schemas.openxmlformats.org/officeDocument/2006/relationships/image" Target="media/image429.png"/><Relationship Id="rId481" Type="http://schemas.openxmlformats.org/officeDocument/2006/relationships/image" Target="media/image430.png"/><Relationship Id="rId482" Type="http://schemas.openxmlformats.org/officeDocument/2006/relationships/image" Target="media/image431.png"/><Relationship Id="rId483" Type="http://schemas.openxmlformats.org/officeDocument/2006/relationships/image" Target="media/image432.png"/><Relationship Id="rId484" Type="http://schemas.openxmlformats.org/officeDocument/2006/relationships/image" Target="media/image433.png"/><Relationship Id="rId485" Type="http://schemas.openxmlformats.org/officeDocument/2006/relationships/image" Target="media/image434.png"/><Relationship Id="rId486" Type="http://schemas.openxmlformats.org/officeDocument/2006/relationships/image" Target="media/image435.png"/><Relationship Id="rId487" Type="http://schemas.openxmlformats.org/officeDocument/2006/relationships/image" Target="media/image436.png"/><Relationship Id="rId488" Type="http://schemas.openxmlformats.org/officeDocument/2006/relationships/image" Target="media/image437.png"/><Relationship Id="rId489" Type="http://schemas.openxmlformats.org/officeDocument/2006/relationships/image" Target="media/image438.png"/><Relationship Id="rId490" Type="http://schemas.openxmlformats.org/officeDocument/2006/relationships/image" Target="media/image439.png"/><Relationship Id="rId491" Type="http://schemas.openxmlformats.org/officeDocument/2006/relationships/image" Target="media/image440.png"/><Relationship Id="rId492" Type="http://schemas.openxmlformats.org/officeDocument/2006/relationships/image" Target="media/image441.png"/><Relationship Id="rId493" Type="http://schemas.openxmlformats.org/officeDocument/2006/relationships/image" Target="media/image442.png"/><Relationship Id="rId494" Type="http://schemas.openxmlformats.org/officeDocument/2006/relationships/image" Target="media/image443.png"/><Relationship Id="rId495" Type="http://schemas.openxmlformats.org/officeDocument/2006/relationships/image" Target="media/image444.png"/><Relationship Id="rId496" Type="http://schemas.openxmlformats.org/officeDocument/2006/relationships/image" Target="media/image445.png"/><Relationship Id="rId497" Type="http://schemas.openxmlformats.org/officeDocument/2006/relationships/image" Target="media/image446.png"/><Relationship Id="rId498" Type="http://schemas.openxmlformats.org/officeDocument/2006/relationships/image" Target="media/image447.png"/><Relationship Id="rId499" Type="http://schemas.openxmlformats.org/officeDocument/2006/relationships/image" Target="media/image448.png"/><Relationship Id="rId500" Type="http://schemas.openxmlformats.org/officeDocument/2006/relationships/image" Target="media/image449.png"/><Relationship Id="rId501" Type="http://schemas.openxmlformats.org/officeDocument/2006/relationships/image" Target="media/image450.png"/><Relationship Id="rId502" Type="http://schemas.openxmlformats.org/officeDocument/2006/relationships/image" Target="media/image451.png"/><Relationship Id="rId503" Type="http://schemas.openxmlformats.org/officeDocument/2006/relationships/image" Target="media/image452.png"/><Relationship Id="rId504" Type="http://schemas.openxmlformats.org/officeDocument/2006/relationships/image" Target="media/image453.png"/><Relationship Id="rId505" Type="http://schemas.openxmlformats.org/officeDocument/2006/relationships/image" Target="media/image454.png"/><Relationship Id="rId506" Type="http://schemas.openxmlformats.org/officeDocument/2006/relationships/image" Target="media/image455.png"/><Relationship Id="rId507" Type="http://schemas.openxmlformats.org/officeDocument/2006/relationships/image" Target="media/image456.png"/><Relationship Id="rId508" Type="http://schemas.openxmlformats.org/officeDocument/2006/relationships/image" Target="media/image457.png"/><Relationship Id="rId509" Type="http://schemas.openxmlformats.org/officeDocument/2006/relationships/image" Target="media/image458.png"/><Relationship Id="rId510" Type="http://schemas.openxmlformats.org/officeDocument/2006/relationships/image" Target="media/image459.png"/><Relationship Id="rId511" Type="http://schemas.openxmlformats.org/officeDocument/2006/relationships/image" Target="media/image460.png"/><Relationship Id="rId512" Type="http://schemas.openxmlformats.org/officeDocument/2006/relationships/image" Target="media/image461.png"/><Relationship Id="rId513" Type="http://schemas.openxmlformats.org/officeDocument/2006/relationships/image" Target="media/image462.png"/><Relationship Id="rId514" Type="http://schemas.openxmlformats.org/officeDocument/2006/relationships/image" Target="media/image463.png"/><Relationship Id="rId515" Type="http://schemas.openxmlformats.org/officeDocument/2006/relationships/image" Target="media/image464.png"/><Relationship Id="rId516" Type="http://schemas.openxmlformats.org/officeDocument/2006/relationships/image" Target="media/image465.png"/><Relationship Id="rId517" Type="http://schemas.openxmlformats.org/officeDocument/2006/relationships/image" Target="media/image466.png"/><Relationship Id="rId518" Type="http://schemas.openxmlformats.org/officeDocument/2006/relationships/image" Target="media/image467.png"/><Relationship Id="rId519" Type="http://schemas.openxmlformats.org/officeDocument/2006/relationships/image" Target="media/image468.png"/><Relationship Id="rId520" Type="http://schemas.openxmlformats.org/officeDocument/2006/relationships/image" Target="media/image469.png"/><Relationship Id="rId521" Type="http://schemas.openxmlformats.org/officeDocument/2006/relationships/image" Target="media/image470.png"/><Relationship Id="rId522" Type="http://schemas.openxmlformats.org/officeDocument/2006/relationships/image" Target="media/image471.png"/><Relationship Id="rId523" Type="http://schemas.openxmlformats.org/officeDocument/2006/relationships/image" Target="media/image472.png"/><Relationship Id="rId524" Type="http://schemas.openxmlformats.org/officeDocument/2006/relationships/image" Target="media/image473.png"/><Relationship Id="rId525" Type="http://schemas.openxmlformats.org/officeDocument/2006/relationships/image" Target="media/image474.png"/><Relationship Id="rId526" Type="http://schemas.openxmlformats.org/officeDocument/2006/relationships/image" Target="media/image475.png"/><Relationship Id="rId527" Type="http://schemas.openxmlformats.org/officeDocument/2006/relationships/image" Target="media/image476.png"/><Relationship Id="rId528" Type="http://schemas.openxmlformats.org/officeDocument/2006/relationships/image" Target="media/image477.png"/><Relationship Id="rId529" Type="http://schemas.openxmlformats.org/officeDocument/2006/relationships/image" Target="media/image478.png"/><Relationship Id="rId530" Type="http://schemas.openxmlformats.org/officeDocument/2006/relationships/image" Target="media/image479.png"/><Relationship Id="rId531" Type="http://schemas.openxmlformats.org/officeDocument/2006/relationships/image" Target="media/image480.png"/><Relationship Id="rId532" Type="http://schemas.openxmlformats.org/officeDocument/2006/relationships/image" Target="media/image481.png"/><Relationship Id="rId533" Type="http://schemas.openxmlformats.org/officeDocument/2006/relationships/image" Target="media/image482.png"/><Relationship Id="rId534" Type="http://schemas.openxmlformats.org/officeDocument/2006/relationships/image" Target="media/image483.png"/><Relationship Id="rId535" Type="http://schemas.openxmlformats.org/officeDocument/2006/relationships/image" Target="media/image484.png"/><Relationship Id="rId536" Type="http://schemas.openxmlformats.org/officeDocument/2006/relationships/image" Target="media/image485.png"/><Relationship Id="rId537" Type="http://schemas.openxmlformats.org/officeDocument/2006/relationships/image" Target="media/image486.png"/><Relationship Id="rId538" Type="http://schemas.openxmlformats.org/officeDocument/2006/relationships/image" Target="media/image487.png"/><Relationship Id="rId539" Type="http://schemas.openxmlformats.org/officeDocument/2006/relationships/image" Target="media/image488.png"/><Relationship Id="rId540" Type="http://schemas.openxmlformats.org/officeDocument/2006/relationships/image" Target="media/image489.png"/><Relationship Id="rId541" Type="http://schemas.openxmlformats.org/officeDocument/2006/relationships/image" Target="media/image490.png"/><Relationship Id="rId542" Type="http://schemas.openxmlformats.org/officeDocument/2006/relationships/image" Target="media/image491.png"/><Relationship Id="rId543" Type="http://schemas.openxmlformats.org/officeDocument/2006/relationships/image" Target="media/image492.png"/><Relationship Id="rId544" Type="http://schemas.openxmlformats.org/officeDocument/2006/relationships/image" Target="media/image493.png"/><Relationship Id="rId545" Type="http://schemas.openxmlformats.org/officeDocument/2006/relationships/image" Target="media/image494.png"/><Relationship Id="rId214" Type="http://schemas.openxmlformats.org/officeDocument/2006/relationships/hyperlink" Target="https://www.sec.gov/Archives/edgar/data/1070985/000119312513228077/d541213dex31.htm" TargetMode="External"/><Relationship Id="rId215" Type="http://schemas.openxmlformats.org/officeDocument/2006/relationships/hyperlink" Target="https://www.sec.gov/Archives/edgar/data/1070985/000119312516764788/d256269dex31.htm" TargetMode="External"/><Relationship Id="rId216" Type="http://schemas.openxmlformats.org/officeDocument/2006/relationships/hyperlink" Target="https://www.sec.gov/Archives/edgar/data/1070985/000114036123057950/ef20016779_ex3-1.htm" TargetMode="External"/><Relationship Id="rId217" Type="http://schemas.openxmlformats.org/officeDocument/2006/relationships/hyperlink" Target="https://www.sec.gov/Archives/edgar/data/1070985/000119312516764788/d256269dex41.htm" TargetMode="External"/><Relationship Id="rId218" Type="http://schemas.openxmlformats.org/officeDocument/2006/relationships/hyperlink" Target="https://www.sec.gov/Archives/edgar/data/1070985/000119312513145814/d516910dex43.htm" TargetMode="External"/><Relationship Id="rId219" Type="http://schemas.openxmlformats.org/officeDocument/2006/relationships/hyperlink" Target="https://www.sec.gov/Archives/edgar/data/1070985/000119312515328313/d93789dex41.htm" TargetMode="External"/><Relationship Id="rId220" Type="http://schemas.openxmlformats.org/officeDocument/2006/relationships/hyperlink" Target="https://www.sec.gov/Archives/edgar/data/1070985/000114036124012872/ny20022920x7_ex4-1.htm" TargetMode="External"/><Relationship Id="rId223" Type="http://schemas.openxmlformats.org/officeDocument/2006/relationships/hyperlink" Target="https://www.sec.gov/Archives/edgar/data/1070985/000119312517309897/d449092dex42.htm" TargetMode="External"/><Relationship Id="rId224" Type="http://schemas.openxmlformats.org/officeDocument/2006/relationships/hyperlink" Target="https://www.sec.gov/Archives/edgar/data/1070985/000114036121012814/nt10022754x8_ex4-2.htm" TargetMode="External"/><Relationship Id="rId225" Type="http://schemas.openxmlformats.org/officeDocument/2006/relationships/hyperlink" Target="https://www.sec.gov/ix?doc=/Archives/edgar/data/1070985/000114036124012872/ny20022920x7_8k.htm" TargetMode="External"/><Relationship Id="rId226" Type="http://schemas.openxmlformats.org/officeDocument/2006/relationships/hyperlink" Target="https://www.sec.gov/Archives/edgar/data/1070985/000119312513432385/d609078dex42.htm" TargetMode="External"/><Relationship Id="rId227" Type="http://schemas.openxmlformats.org/officeDocument/2006/relationships/hyperlink" Target="https://www.sec.gov/Archives/edgar/data/1070985/000119312516477634/d121974dex412.htm" TargetMode="External"/><Relationship Id="rId228" Type="http://schemas.openxmlformats.org/officeDocument/2006/relationships/hyperlink" Target="https://www.sec.gov/Archives/edgar/data/1070985/000156459019017752/cxw-ex42_153.htm" TargetMode="External"/><Relationship Id="rId229" Type="http://schemas.openxmlformats.org/officeDocument/2006/relationships/hyperlink" Target="https://www.sec.gov/Archives/edgar/data/1070985/000156459019017752/cxw-ex44_155.htm" TargetMode="External"/><Relationship Id="rId230" Type="http://schemas.openxmlformats.org/officeDocument/2006/relationships/hyperlink" Target="https://www.sec.gov/Archives/edgar/data/1070985/000156459020022649/cxw-ex41_135.htm" TargetMode="External"/><Relationship Id="rId231" Type="http://schemas.openxmlformats.org/officeDocument/2006/relationships/hyperlink" Target="https://www.sec.gov/Archives/edgar/data/1070985/000156459020022649/cxw-ex43_134.htm" TargetMode="External"/><Relationship Id="rId232" Type="http://schemas.openxmlformats.org/officeDocument/2006/relationships/hyperlink" Target="https://www.sec.gov/Archives/edgar/data/1070985/000114036121032946/brhc10029352_ex4-3.htm" TargetMode="External"/><Relationship Id="rId233" Type="http://schemas.openxmlformats.org/officeDocument/2006/relationships/hyperlink" Target="https://www.sec.gov/Archives/edgar/data/1070985/000114036124012872/ny20022920x7_ex4-2.htm" TargetMode="External"/><Relationship Id="rId236" Type="http://schemas.openxmlformats.org/officeDocument/2006/relationships/hyperlink" Target="https://www.sec.gov/Archives/edgar/data/1070985/000095017024017235/cxw-ex4_16.htm" TargetMode="External"/><Relationship Id="rId237" Type="http://schemas.openxmlformats.org/officeDocument/2006/relationships/hyperlink" Target="https://www.sec.gov/Archives/edgar/data/1070985/000114036123047965/ef20012359_ex10-1.htm" TargetMode="External"/><Relationship Id="rId238" Type="http://schemas.openxmlformats.org/officeDocument/2006/relationships/hyperlink" Target="https://www.sec.gov/Archives/edgar/data/1070985/000114036122018956/brhc10037600_ex10-1.htm" TargetMode="External"/><Relationship Id="rId239" Type="http://schemas.openxmlformats.org/officeDocument/2006/relationships/hyperlink" Target="https://www.sec.gov/Archives/edgar/data/1070985/000119312518120636/d568607dex101.htm" TargetMode="External"/><Relationship Id="rId240" Type="http://schemas.openxmlformats.org/officeDocument/2006/relationships/hyperlink" Target="https://www.sec.gov/Archives/edgar/data/1070985/000119312520210766/d64606dex102.htm" TargetMode="External"/><Relationship Id="rId241" Type="http://schemas.openxmlformats.org/officeDocument/2006/relationships/hyperlink" Target="https://www.sec.gov/Archives/edgar/data/1070985/000095014403004789/g81913dedef14a.htm" TargetMode="External"/><Relationship Id="rId242" Type="http://schemas.openxmlformats.org/officeDocument/2006/relationships/hyperlink" Target="https://www.sec.gov/Archives/edgar/data/1070985/000095012311051326/g27277exv10w1.htm" TargetMode="External"/><Relationship Id="rId243" Type="http://schemas.openxmlformats.org/officeDocument/2006/relationships/hyperlink" Target="https://www.sec.gov/Archives/edgar/data/1070985/000119312512125275/d318887dex101.htm" TargetMode="External"/><Relationship Id="rId244" Type="http://schemas.openxmlformats.org/officeDocument/2006/relationships/hyperlink" Target="https://www.sec.gov/Archives/edgar/data/1070985/000119312512125275/d318887dex102.htm" TargetMode="External"/><Relationship Id="rId245" Type="http://schemas.openxmlformats.org/officeDocument/2006/relationships/hyperlink" Target="https://www.sec.gov/Archives/edgar/data/1070985/000119312512125275/d318887dex103.htm" TargetMode="External"/><Relationship Id="rId246" Type="http://schemas.openxmlformats.org/officeDocument/2006/relationships/hyperlink" Target="https://www.sec.gov/Archives/edgar/data/1070985/000119312513080296/d452767dex1023.htm" TargetMode="External"/><Relationship Id="rId247" Type="http://schemas.openxmlformats.org/officeDocument/2006/relationships/hyperlink" Target="https://www.sec.gov/Archives/edgar/data/1070985/000095014407007953/g08996exv10w1.htm" TargetMode="External"/><Relationship Id="rId248" Type="http://schemas.openxmlformats.org/officeDocument/2006/relationships/hyperlink" Target="https://www.sec.gov/Archives/edgar/data/1070985/000095012310016309/g22193exv10w35.htm" TargetMode="External"/><Relationship Id="rId249" Type="http://schemas.openxmlformats.org/officeDocument/2006/relationships/hyperlink" Target="https://www.sec.gov/Archives/edgar/data/1070985/000095014407007953/g08996exv10w2.htm" TargetMode="External"/><Relationship Id="rId252" Type="http://schemas.openxmlformats.org/officeDocument/2006/relationships/hyperlink" Target="https://www.sec.gov/Archives/edgar/data/1070985/000095012309035955/g20232exv10w1.htm" TargetMode="External"/><Relationship Id="rId253" Type="http://schemas.openxmlformats.org/officeDocument/2006/relationships/hyperlink" Target="https://www.sec.gov/Archives/edgar/data/1070985/000156459020005570/cxw-ex1019_129.htm" TargetMode="External"/><Relationship Id="rId254" Type="http://schemas.openxmlformats.org/officeDocument/2006/relationships/hyperlink" Target="https://www.sec.gov/Archives/edgar/data/1070985/000119312520210766/d64606dex101.htm" TargetMode="External"/><Relationship Id="rId255" Type="http://schemas.openxmlformats.org/officeDocument/2006/relationships/hyperlink" Target="https://www.sec.gov/Archives/edgar/data/1070985/000119312517168577/d395199dex101.htm" TargetMode="External"/><Relationship Id="rId256" Type="http://schemas.openxmlformats.org/officeDocument/2006/relationships/hyperlink" Target="https://www.sec.gov/Archives/edgar/data/1070985/000119312520145050/d930806dex101.htm" TargetMode="External"/><Relationship Id="rId257" Type="http://schemas.openxmlformats.org/officeDocument/2006/relationships/hyperlink" Target="https://www.sec.gov/Archives/edgar/data/1070985/000156459020037459/cxw-ex101_134.htm" TargetMode="External"/><Relationship Id="rId258" Type="http://schemas.openxmlformats.org/officeDocument/2006/relationships/hyperlink" Target="https://www.sec.gov/Archives/edgar/data/1070985/000156459020037459/cxw-ex102_135.htm" TargetMode="External"/><Relationship Id="rId259" Type="http://schemas.openxmlformats.org/officeDocument/2006/relationships/hyperlink" Target="https://www.sec.gov/Archives/edgar/data/1070985/000156459020037459/cxw-ex103_133.htm" TargetMode="External"/><Relationship Id="rId260" Type="http://schemas.openxmlformats.org/officeDocument/2006/relationships/hyperlink" Target="https://www.sec.gov/Archives/edgar/data/1070985/000156459020037459/cxw-ex104_132.htm" TargetMode="External"/><Relationship Id="rId261" Type="http://schemas.openxmlformats.org/officeDocument/2006/relationships/hyperlink" Target="https://www.sec.gov/Archives/edgar/data/1070985/000114036122019238/brhc10037661_ex10-1.htm" TargetMode="External"/><Relationship Id="rId262" Type="http://schemas.openxmlformats.org/officeDocument/2006/relationships/hyperlink" Target="https://www.sec.gov/Archives/edgar/data/1070985/000114036123057950/ef20016779_ex10-1.htm" TargetMode="External"/><Relationship Id="rId265" Type="http://schemas.openxmlformats.org/officeDocument/2006/relationships/hyperlink" Target="https://www.sec.gov/Archives/edgar/data/1070985/000095017024017235/cxw-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2025-02-21T13:53:14Z</dcterms:created>
  <dcterms:modified xsi:type="dcterms:W3CDTF">2025-02-21T13:53:14Z</dcterms:modified>
</cp:coreProperties>
</file>