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8053d8k.htm"/>
      <w:bookmarkStart w:id="1" w:name="ksd9805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13,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CoreCivic,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Maryland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001-16109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62-1763875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4370"/>
        <w:gridCol w:w="60"/>
        <w:gridCol w:w="1145"/>
      </w:tblGrid>
      <w:tr>
        <w:trPr/>
        <w:tc>
          <w:tcPr>
            <w:tcW w:w="4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283"/>
              <w:jc w:val="center"/>
              <w:rPr>
                <w:b/>
              </w:rPr>
            </w:pPr>
            <w:r>
              <w:rPr>
                <w:b/>
              </w:rPr>
              <w:t>5501 Virginia Way, Brentwood, Tennessee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37027</w:t>
            </w:r>
          </w:p>
        </w:tc>
      </w:tr>
      <w:tr>
        <w:trPr/>
        <w:tc>
          <w:tcPr>
            <w:tcW w:w="43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(615) 263-3000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5040" w:type="dxa"/>
        <w:jc w:val="left"/>
        <w:tblInd w:w="0" w:type="dxa"/>
        <w:tblLayout w:type="fixed"/>
        <w:tblCellMar>
          <w:top w:w="0" w:type="dxa"/>
          <w:left w:w="0" w:type="dxa"/>
          <w:bottom w:w="0" w:type="dxa"/>
          <w:right w:w="0" w:type="dxa"/>
        </w:tblCellMar>
      </w:tblPr>
      <w:tblGrid>
        <w:gridCol w:w="1520"/>
        <w:gridCol w:w="60"/>
        <w:gridCol w:w="740"/>
        <w:gridCol w:w="60"/>
        <w:gridCol w:w="266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CXW</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13, 2026, CoreCivic, Inc., a Maryland corporation (the “Company”), issued a press release announcing that it is delivering an irrevocable notice to the holders of all of the Company’s previously issued $250,000,000 original aggregate principal amount of 4.750% senior notes due 2027 (the “2027 Notes”) that the Company has elected to redeem in full the 2027 Notes that remain outstanding on August 12, 2026 (the “Redemption Date”). The 2027 Notes were otherwise scheduled to mature on October 15, 2027. The 2027 Notes will be redeemed at a redemption price equal to 100.000% of the principal amount of the then outstanding 2027 Notes, plus the applicable “make-whole” premium specified in the indenture, as supplemented, governing the 2027 Senior Notes, plus accrued and unpaid interest to, but not including, the Redemption Date (the “Redemption Price”). As of July 13, 2026, the principal amount of the outstanding 2027 Notes was $238,468,000. The Company intends to use cash on hand to fund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A copy of the Company’s press release is attached as Exhibit 99.1 to this Current Report on Form 8-K (this “Form 8-K”) and is incorporated herein by reference. The information contained in this Form 8-K and the press release attached hereto as Exhibit 99.1 do not constitute a notice of redemption of the 2027 Notes.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Form 8-K includes forward-looking statements including statements regarding the Company’s redemption of the 2027 Notes and its funding of the Redemption Price. These forward-looking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Such forward-looking statements may be affected by risks and uncertainties in the Company’s business and market conditions. These forward-looking statements are subject to risks and uncertainties that could cause actual results to differ materially from the statements made. Important factors that could cause actual results to differ are described in the filings made from time to time by the Company with the U.S. Securities and Exchange Commission (the “SEC”) and include the risk factors described in the Company’s Annual Report on Form 10-K for the fiscal year ended December 31, 2025, filed with the SEC on February 20, 2026. Except as required by applicable law, the Company undertakes no obligation to update forward-looking statements made by it to reflect events or circumstances occurring after the date hereof or the occurrence of unanticipated events.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455"/>
        <w:gridCol w:w="60"/>
        <w:gridCol w:w="7685"/>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98053dex991.htm">
              <w:r>
                <w:rPr>
                  <w:rStyle w:val="InternetLink"/>
                </w:rPr>
                <w:t xml:space="preserve">Press Release, dated July 13,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453" w:type="dxa"/>
        <w:jc w:val="left"/>
        <w:tblInd w:w="0" w:type="dxa"/>
        <w:tblLayout w:type="fixed"/>
        <w:tblCellMar>
          <w:top w:w="0" w:type="dxa"/>
          <w:left w:w="0" w:type="dxa"/>
          <w:bottom w:w="0" w:type="dxa"/>
          <w:right w:w="0" w:type="dxa"/>
        </w:tblCellMar>
      </w:tblPr>
      <w:tblGrid>
        <w:gridCol w:w="594"/>
        <w:gridCol w:w="938"/>
        <w:gridCol w:w="361"/>
        <w:gridCol w:w="60"/>
        <w:gridCol w:w="365"/>
        <w:gridCol w:w="60"/>
        <w:gridCol w:w="5075"/>
      </w:tblGrid>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pPr>
            <w:r>
              <w:rPr/>
              <w:t>Date: July 13, 2026</w:t>
            </w:r>
          </w:p>
        </w:tc>
        <w:tc>
          <w:tcPr>
            <w:tcW w:w="60" w:type="dxa"/>
            <w:tcBorders/>
            <w:vAlign w:val="center"/>
          </w:tcPr>
          <w:p>
            <w:pPr>
              <w:pStyle w:val="TableContents"/>
              <w:bidi w:val="0"/>
              <w:spacing w:before="0" w:after="283"/>
              <w:jc w:val="left"/>
              <w:rPr/>
            </w:pPr>
            <w:r>
              <w:rPr/>
              <w:t> </w:t>
            </w:r>
          </w:p>
        </w:tc>
        <w:tc>
          <w:tcPr>
            <w:tcW w:w="5500" w:type="dxa"/>
            <w:gridSpan w:val="3"/>
            <w:tcBorders/>
            <w:vAlign w:val="center"/>
          </w:tcPr>
          <w:p>
            <w:pPr>
              <w:pStyle w:val="TableContents"/>
              <w:bidi w:val="0"/>
              <w:spacing w:before="0" w:after="283"/>
              <w:jc w:val="left"/>
              <w:rPr/>
            </w:pPr>
            <w:r>
              <w:rPr/>
              <w:t>CORECIVIC, INC.</w:t>
            </w:r>
          </w:p>
        </w:tc>
      </w:tr>
      <w:tr>
        <w:trPr/>
        <w:tc>
          <w:tcPr>
            <w:tcW w:w="594" w:type="dxa"/>
            <w:tcBorders/>
            <w:vAlign w:val="center"/>
          </w:tcPr>
          <w:p>
            <w:pPr>
              <w:pStyle w:val="TableContents"/>
              <w:bidi w:val="0"/>
              <w:spacing w:before="0" w:after="283"/>
              <w:jc w:val="left"/>
              <w:rPr>
                <w:sz w:val="4"/>
                <w:szCs w:val="4"/>
              </w:rPr>
            </w:pPr>
            <w:r>
              <w:rPr>
                <w:sz w:val="4"/>
                <w:szCs w:val="4"/>
              </w:rPr>
            </w:r>
          </w:p>
        </w:tc>
        <w:tc>
          <w:tcPr>
            <w:tcW w:w="1299"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M. Garfinkle</w:t>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David M. Garfinkle</w:t>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0"/>
        <w:jc w:val="right"/>
        <w:rPr>
          <w:rFonts w:ascii="Times New Roman" w:hAnsi="Times New Roman"/>
          <w:b/>
          <w:sz w:val="20"/>
        </w:rPr>
      </w:pPr>
      <w:bookmarkStart w:id="2" w:name="d98053dex991.htm"/>
      <w:bookmarkStart w:id="3" w:name="ksd98053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News Release </w:t>
      </w:r>
    </w:p>
    <w:p>
      <w:pPr>
        <w:pStyle w:val="TextBody"/>
        <w:bidi w:val="0"/>
        <w:spacing w:before="0" w:after="0"/>
        <w:jc w:val="left"/>
        <w:rPr/>
      </w:pPr>
      <w:r>
        <w:rPr/>
        <w:t> </w:t>
      </w:r>
    </w:p>
    <w:p>
      <w:pPr>
        <w:pStyle w:val="TextBody"/>
        <w:bidi w:val="0"/>
        <w:spacing w:before="0" w:after="0"/>
        <w:jc w:val="right"/>
        <w:rPr/>
      </w:pPr>
      <w:r>
        <w:rPr/>
        <w:drawing>
          <wp:inline distT="0" distB="0" distL="0" distR="0">
            <wp:extent cx="34671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67100" cy="13430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Contact:  Investors: Jeb Bachmann - Managing Director, Investor Relations - (615) 263-3024 </w:t>
      </w:r>
    </w:p>
    <w:p>
      <w:pPr>
        <w:pStyle w:val="TextBody"/>
        <w:bidi w:val="0"/>
        <w:spacing w:before="0" w:after="0"/>
        <w:jc w:val="left"/>
        <w:rPr/>
      </w:pPr>
      <w:r>
        <w:rPr/>
        <w:t> </w:t>
      </w:r>
      <w:r>
        <w:rPr>
          <w:rFonts w:ascii="Times New Roman" w:hAnsi="Times New Roman"/>
          <w:sz w:val="20"/>
        </w:rPr>
        <w:t xml:space="preserve">Financial Media - David Gutierrez, Dresner Corporate Services - (312) 780-7204 </w:t>
      </w:r>
    </w:p>
    <w:p>
      <w:pPr>
        <w:pStyle w:val="TextBody"/>
        <w:bidi w:val="0"/>
        <w:spacing w:before="240" w:after="0"/>
        <w:jc w:val="center"/>
        <w:rPr>
          <w:rFonts w:ascii="Times New Roman" w:hAnsi="Times New Roman"/>
          <w:b/>
          <w:sz w:val="20"/>
        </w:rPr>
      </w:pPr>
      <w:r>
        <w:rPr>
          <w:rFonts w:ascii="Times New Roman" w:hAnsi="Times New Roman"/>
          <w:b/>
          <w:sz w:val="20"/>
        </w:rPr>
        <w:t xml:space="preserve">CORECIVIC TO REDEEM 4.750% SENIOR NOTES DUE 2027 </w:t>
      </w:r>
    </w:p>
    <w:p>
      <w:pPr>
        <w:pStyle w:val="TextBody"/>
        <w:bidi w:val="0"/>
        <w:spacing w:before="240" w:after="0"/>
        <w:jc w:val="left"/>
        <w:rPr>
          <w:rFonts w:ascii="Times New Roman" w:hAnsi="Times New Roman"/>
          <w:sz w:val="20"/>
        </w:rPr>
      </w:pPr>
      <w:r>
        <w:rPr>
          <w:rFonts w:ascii="Times New Roman" w:hAnsi="Times New Roman"/>
          <w:b/>
          <w:sz w:val="20"/>
        </w:rPr>
        <w:t>BRENTWOOD, Tenn.</w:t>
      </w:r>
      <w:r>
        <w:rPr>
          <w:rFonts w:ascii="Times New Roman" w:hAnsi="Times New Roman"/>
          <w:sz w:val="20"/>
        </w:rPr>
        <w:t xml:space="preserve"> (July 13, 2026) – CoreCivic, Inc. (NYSE: CXW) (“CoreCivic”) announced today that it is delivering an irrevocable notice to the holders of all of CoreCivic’s previously issued $250,000,000 original aggregate principal amount of 4.750% senior notes due 2027 (the “2027 Notes”) that CoreCivic has elected to redeem in full the 2027 Notes that remain outstanding on August 12, 2026 (the “Redemption Date”). The 2027 Notes were otherwise scheduled to mature on October 15, 2027. The 2027 Notes will be redeemed at a redemption price equal to 100.000% of the principal amount of the then outstanding 2027 Notes, plus the applicable “make-whole” premium specified in the indenture, as supplemented, governing the 2027 Senior Notes, plus accrued and unpaid interest to, but not including, the Redemption Date (the “Redemption Price”). As of July 13, 2026, the principal amount of the outstanding 2027 Notes was $238,468,000. CoreCivic intends to use cash on hand to fund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 notice of redemption of the 2027 Notes. </w:t>
      </w:r>
    </w:p>
    <w:p>
      <w:pPr>
        <w:pStyle w:val="TextBody"/>
        <w:bidi w:val="0"/>
        <w:spacing w:before="360" w:after="0"/>
        <w:jc w:val="left"/>
        <w:rPr>
          <w:rFonts w:ascii="Times New Roman" w:hAnsi="Times New Roman"/>
          <w:b/>
          <w:sz w:val="20"/>
        </w:rPr>
      </w:pPr>
      <w:r>
        <w:rPr>
          <w:rFonts w:ascii="Times New Roman" w:hAnsi="Times New Roman"/>
          <w:b/>
          <w:sz w:val="20"/>
        </w:rPr>
        <w:t xml:space="preserve">About CoreCivic </w:t>
      </w:r>
    </w:p>
    <w:p>
      <w:pPr>
        <w:pStyle w:val="TextBody"/>
        <w:bidi w:val="0"/>
        <w:spacing w:before="120" w:after="0"/>
        <w:jc w:val="left"/>
        <w:rPr>
          <w:rFonts w:ascii="Times New Roman" w:hAnsi="Times New Roman"/>
          <w:sz w:val="20"/>
        </w:rPr>
      </w:pPr>
      <w:r>
        <w:rPr>
          <w:rFonts w:ascii="Times New Roman" w:hAnsi="Times New Roman"/>
          <w:sz w:val="20"/>
        </w:rPr>
        <w:t xml:space="preserve">CoreCivic is a diversified, government-solutions company with the scale and experience needed to solve tough government challenges in flexible, cost-effective ways. CoreCivic provides a broad range of solutions to government partners that help build safer, healthier, and more productive communities one person at a time through residential corrections, detention and reentry management, adjacent service offerings that include pharmaceutical, transportation, and alternatives to incarceration, and government real estate solutions. CoreCivic is the nation’s largest owner of partnership correctional, detention and residential reentry facilities, and one of the largest operators of such facilities in the United States. CoreCivic has been a flexible and dependable partner for government for more than 40 years. CoreCivic’s employees are driven by a deep sense of service, high standards of professionalism and a responsibility to help government better the public good. Learn more at www.corecivic.com.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includes forward-looking statements including statements regarding CoreCivic’s redemption of the 2027 Notes and its funding of the Redemption Price. These forward-looking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Such forward-looking statements may be affected by risks and uncertainties in CoreCivic’s business and market conditions. These forward-looking statements are subject to risks and uncertainties that could cause actual results to differ materially from the statements made. Important factors that could cause actual results to differ are described in the filings made from time to time by CoreCivic with the U.S. Securities and Exchange Commission (the “SEC”) and include the risk factors described in CoreCivic’s Annual Report on Form 10-K for the fiscal year ended December 31, 2025, filed with the SEC on February 20, 2026. Except as required by applicable law, CoreCivic undertakes no obligation to update forward-looking statements made by it to reflect events or circumstances occurring after the date hereof or the occurrence of unanticipated events.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1354</Words>
  <Characters>7677</Characters>
  <CharactersWithSpaces>9024</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