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222250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2788285</wp:posOffset>
            </wp:positionH>
            <wp:positionV relativeFrom="paragraph">
              <wp:posOffset>63500</wp:posOffset>
            </wp:positionV>
            <wp:extent cx="1679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957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2788285</wp:posOffset>
            </wp:positionH>
            <wp:positionV relativeFrom="paragraph">
              <wp:posOffset>76835</wp:posOffset>
            </wp:positionV>
            <wp:extent cx="1679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9575" cy="8255"/>
                    </a:xfrm>
                    <a:prstGeom prst="rect">
                      <a:avLst/>
                    </a:prstGeom>
                    <a:noFill/>
                  </pic:spPr>
                </pic:pic>
              </a:graphicData>
            </a:graphic>
          </wp:anchor>
        </w:drawing>
      </w:r>
    </w:p>
    <w:p>
      <w:pPr>
        <w:spacing w:after="0" w:line="144" w:lineRule="exact"/>
        <w:rPr>
          <w:sz w:val="24"/>
          <w:szCs w:val="24"/>
          <w:color w:val="auto"/>
        </w:rPr>
      </w:pPr>
    </w:p>
    <w:p>
      <w:pPr>
        <w:ind w:left="600" w:hanging="595"/>
        <w:spacing w:after="0"/>
        <w:tabs>
          <w:tab w:leader="none" w:pos="60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31" w:lineRule="exact"/>
        <w:rPr>
          <w:sz w:val="24"/>
          <w:szCs w:val="24"/>
          <w:color w:val="auto"/>
        </w:rPr>
      </w:pPr>
    </w:p>
    <w:p>
      <w:pPr>
        <w:ind w:left="600" w:hanging="595"/>
        <w:spacing w:after="0"/>
        <w:tabs>
          <w:tab w:leader="none" w:pos="60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380" w:type="dxa"/>
            <w:vAlign w:val="bottom"/>
            <w:gridSpan w:val="4"/>
          </w:tcPr>
          <w:p>
            <w:pPr>
              <w:jc w:val="center"/>
              <w:ind w:right="760"/>
              <w:spacing w:after="0"/>
              <w:rPr>
                <w:sz w:val="20"/>
                <w:szCs w:val="20"/>
                <w:color w:val="auto"/>
              </w:rPr>
            </w:pPr>
            <w:r>
              <w:rPr>
                <w:rFonts w:ascii="Arial" w:cs="Arial" w:eastAsia="Arial" w:hAnsi="Arial"/>
                <w:sz w:val="15"/>
                <w:szCs w:val="15"/>
                <w:b w:val="1"/>
                <w:bCs w:val="1"/>
                <w:color w:val="auto"/>
                <w:w w:val="89"/>
              </w:rPr>
              <w:t>Commission File Number 001-16109</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40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2"/>
        </w:trPr>
        <w:tc>
          <w:tcPr>
            <w:tcW w:w="7780" w:type="dxa"/>
            <w:vAlign w:val="bottom"/>
            <w:gridSpan w:val="5"/>
          </w:tcPr>
          <w:p>
            <w:pPr>
              <w:jc w:val="center"/>
              <w:ind w:left="3581"/>
              <w:spacing w:after="0"/>
              <w:rPr>
                <w:sz w:val="20"/>
                <w:szCs w:val="20"/>
                <w:color w:val="auto"/>
              </w:rPr>
            </w:pPr>
            <w:r>
              <w:rPr>
                <w:rFonts w:ascii="Arial" w:cs="Arial" w:eastAsia="Arial" w:hAnsi="Arial"/>
                <w:sz w:val="31"/>
                <w:szCs w:val="31"/>
                <w:b w:val="1"/>
                <w:bCs w:val="1"/>
                <w:color w:val="auto"/>
              </w:rPr>
              <w:t>CORECIVIC,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80" w:type="dxa"/>
            <w:vAlign w:val="bottom"/>
            <w:gridSpan w:val="5"/>
          </w:tcPr>
          <w:p>
            <w:pPr>
              <w:jc w:val="center"/>
              <w:ind w:left="3581"/>
              <w:spacing w:after="0"/>
              <w:rPr>
                <w:sz w:val="20"/>
                <w:szCs w:val="20"/>
                <w:color w:val="auto"/>
              </w:rPr>
            </w:pPr>
            <w:r>
              <w:rPr>
                <w:rFonts w:ascii="Arial" w:cs="Arial" w:eastAsia="Arial" w:hAnsi="Arial"/>
                <w:sz w:val="15"/>
                <w:szCs w:val="15"/>
                <w:b w:val="1"/>
                <w:bCs w:val="1"/>
                <w:color w:val="auto"/>
                <w:w w:val="88"/>
              </w:rPr>
              <w:t>(Exact name of registrant as specified in its charter)</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40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780" w:type="dxa"/>
            <w:vAlign w:val="bottom"/>
            <w:gridSpan w:val="5"/>
          </w:tcPr>
          <w:p>
            <w:pPr>
              <w:jc w:val="center"/>
              <w:ind w:right="2060"/>
              <w:spacing w:after="0"/>
              <w:rPr>
                <w:sz w:val="20"/>
                <w:szCs w:val="20"/>
                <w:color w:val="auto"/>
              </w:rPr>
            </w:pPr>
            <w:r>
              <w:rPr>
                <w:rFonts w:ascii="Arial" w:cs="Arial" w:eastAsia="Arial" w:hAnsi="Arial"/>
                <w:sz w:val="15"/>
                <w:szCs w:val="15"/>
                <w:b w:val="1"/>
                <w:bCs w:val="1"/>
                <w:color w:val="auto"/>
              </w:rPr>
              <w:t>MARYLAND</w:t>
            </w:r>
          </w:p>
        </w:tc>
        <w:tc>
          <w:tcPr>
            <w:tcW w:w="3640" w:type="dxa"/>
            <w:vAlign w:val="bottom"/>
          </w:tcPr>
          <w:p>
            <w:pPr>
              <w:jc w:val="center"/>
              <w:ind w:right="1992"/>
              <w:spacing w:after="0"/>
              <w:rPr>
                <w:sz w:val="20"/>
                <w:szCs w:val="20"/>
                <w:color w:val="auto"/>
              </w:rPr>
            </w:pPr>
            <w:r>
              <w:rPr>
                <w:rFonts w:ascii="Arial" w:cs="Arial" w:eastAsia="Arial" w:hAnsi="Arial"/>
                <w:sz w:val="15"/>
                <w:szCs w:val="15"/>
                <w:b w:val="1"/>
                <w:bCs w:val="1"/>
                <w:color w:val="auto"/>
                <w:w w:val="87"/>
              </w:rPr>
              <w:t>62-1763875</w:t>
            </w:r>
          </w:p>
        </w:tc>
        <w:tc>
          <w:tcPr>
            <w:tcW w:w="0" w:type="dxa"/>
            <w:vAlign w:val="bottom"/>
          </w:tcPr>
          <w:p>
            <w:pPr>
              <w:spacing w:after="0"/>
              <w:rPr>
                <w:sz w:val="1"/>
                <w:szCs w:val="1"/>
                <w:color w:val="auto"/>
              </w:rPr>
            </w:pPr>
          </w:p>
        </w:tc>
      </w:tr>
      <w:tr>
        <w:trPr>
          <w:trHeight w:val="131"/>
        </w:trPr>
        <w:tc>
          <w:tcPr>
            <w:tcW w:w="7780" w:type="dxa"/>
            <w:vAlign w:val="bottom"/>
            <w:gridSpan w:val="5"/>
          </w:tcPr>
          <w:p>
            <w:pPr>
              <w:jc w:val="center"/>
              <w:ind w:right="2060"/>
              <w:spacing w:after="0" w:line="131" w:lineRule="exact"/>
              <w:rPr>
                <w:sz w:val="20"/>
                <w:szCs w:val="20"/>
                <w:color w:val="auto"/>
              </w:rPr>
            </w:pPr>
            <w:r>
              <w:rPr>
                <w:rFonts w:ascii="Arial" w:cs="Arial" w:eastAsia="Arial" w:hAnsi="Arial"/>
                <w:sz w:val="12"/>
                <w:szCs w:val="12"/>
                <w:b w:val="1"/>
                <w:bCs w:val="1"/>
                <w:color w:val="auto"/>
                <w:w w:val="92"/>
              </w:rPr>
              <w:t>(State or other jurisdiction of</w:t>
            </w:r>
          </w:p>
        </w:tc>
        <w:tc>
          <w:tcPr>
            <w:tcW w:w="3640" w:type="dxa"/>
            <w:vAlign w:val="bottom"/>
          </w:tcPr>
          <w:p>
            <w:pPr>
              <w:jc w:val="center"/>
              <w:ind w:right="2012"/>
              <w:spacing w:after="0" w:line="131"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9"/>
        </w:trPr>
        <w:tc>
          <w:tcPr>
            <w:tcW w:w="7780" w:type="dxa"/>
            <w:vAlign w:val="bottom"/>
            <w:gridSpan w:val="5"/>
          </w:tcPr>
          <w:p>
            <w:pPr>
              <w:jc w:val="center"/>
              <w:ind w:right="2060"/>
              <w:spacing w:after="0"/>
              <w:rPr>
                <w:sz w:val="20"/>
                <w:szCs w:val="20"/>
                <w:color w:val="auto"/>
              </w:rPr>
            </w:pPr>
            <w:r>
              <w:rPr>
                <w:rFonts w:ascii="Arial" w:cs="Arial" w:eastAsia="Arial" w:hAnsi="Arial"/>
                <w:sz w:val="12"/>
                <w:szCs w:val="12"/>
                <w:b w:val="1"/>
                <w:bCs w:val="1"/>
                <w:color w:val="auto"/>
                <w:w w:val="93"/>
              </w:rPr>
              <w:t>incorporation or organization)</w:t>
            </w:r>
          </w:p>
        </w:tc>
        <w:tc>
          <w:tcPr>
            <w:tcW w:w="3640" w:type="dxa"/>
            <w:vAlign w:val="bottom"/>
          </w:tcPr>
          <w:p>
            <w:pPr>
              <w:jc w:val="center"/>
              <w:ind w:right="1992"/>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243"/>
        </w:trPr>
        <w:tc>
          <w:tcPr>
            <w:tcW w:w="7780" w:type="dxa"/>
            <w:vAlign w:val="bottom"/>
            <w:gridSpan w:val="5"/>
          </w:tcPr>
          <w:p>
            <w:pPr>
              <w:jc w:val="center"/>
              <w:ind w:left="3581"/>
              <w:spacing w:after="0"/>
              <w:rPr>
                <w:sz w:val="20"/>
                <w:szCs w:val="20"/>
                <w:color w:val="auto"/>
              </w:rPr>
            </w:pPr>
            <w:r>
              <w:rPr>
                <w:rFonts w:ascii="Arial" w:cs="Arial" w:eastAsia="Arial" w:hAnsi="Arial"/>
                <w:sz w:val="15"/>
                <w:szCs w:val="15"/>
                <w:b w:val="1"/>
                <w:bCs w:val="1"/>
                <w:color w:val="auto"/>
                <w:w w:val="97"/>
              </w:rPr>
              <w:t>10 BURTON HILLS BLVD., NASHVILLE, TENNESSEE 37215</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780" w:type="dxa"/>
            <w:vAlign w:val="bottom"/>
            <w:gridSpan w:val="5"/>
          </w:tcPr>
          <w:p>
            <w:pPr>
              <w:jc w:val="center"/>
              <w:ind w:left="3581"/>
              <w:spacing w:after="0"/>
              <w:rPr>
                <w:sz w:val="20"/>
                <w:szCs w:val="20"/>
                <w:color w:val="auto"/>
              </w:rPr>
            </w:pPr>
            <w:r>
              <w:rPr>
                <w:rFonts w:ascii="Arial" w:cs="Arial" w:eastAsia="Arial" w:hAnsi="Arial"/>
                <w:sz w:val="14"/>
                <w:szCs w:val="14"/>
                <w:b w:val="1"/>
                <w:bCs w:val="1"/>
                <w:color w:val="auto"/>
                <w:w w:val="88"/>
              </w:rPr>
              <w:t>(Address and zip code of principal executive office)</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420" w:type="dxa"/>
            <w:vAlign w:val="bottom"/>
            <w:gridSpan w:val="6"/>
          </w:tcPr>
          <w:p>
            <w:pPr>
              <w:jc w:val="center"/>
              <w:spacing w:after="0"/>
              <w:rPr>
                <w:sz w:val="20"/>
                <w:szCs w:val="20"/>
                <w:color w:val="auto"/>
              </w:rPr>
            </w:pPr>
            <w:r>
              <w:rPr>
                <w:rFonts w:ascii="Arial" w:cs="Arial" w:eastAsia="Arial" w:hAnsi="Arial"/>
                <w:sz w:val="15"/>
                <w:szCs w:val="15"/>
                <w:b w:val="1"/>
                <w:bCs w:val="1"/>
                <w:color w:val="auto"/>
                <w:w w:val="98"/>
              </w:rPr>
              <w:t>REGISTRANT'S TELEPHONE NUMBER, INCLUDING AREA CODE: (615) 263-3000</w:t>
            </w:r>
          </w:p>
        </w:tc>
        <w:tc>
          <w:tcPr>
            <w:tcW w:w="0" w:type="dxa"/>
            <w:vAlign w:val="bottom"/>
          </w:tcPr>
          <w:p>
            <w:pPr>
              <w:spacing w:after="0"/>
              <w:rPr>
                <w:sz w:val="1"/>
                <w:szCs w:val="1"/>
                <w:color w:val="auto"/>
              </w:rPr>
            </w:pPr>
          </w:p>
        </w:tc>
      </w:tr>
      <w:tr>
        <w:trPr>
          <w:trHeight w:val="223"/>
        </w:trPr>
        <w:tc>
          <w:tcPr>
            <w:tcW w:w="11420" w:type="dxa"/>
            <w:vAlign w:val="bottom"/>
            <w:gridSpan w:val="6"/>
          </w:tcPr>
          <w:p>
            <w:pPr>
              <w:jc w:val="center"/>
              <w:spacing w:after="0"/>
              <w:rPr>
                <w:sz w:val="20"/>
                <w:szCs w:val="20"/>
                <w:color w:val="auto"/>
              </w:rPr>
            </w:pPr>
            <w:r>
              <w:rPr>
                <w:rFonts w:ascii="Arial" w:cs="Arial" w:eastAsia="Arial" w:hAnsi="Arial"/>
                <w:sz w:val="15"/>
                <w:szCs w:val="15"/>
                <w:b w:val="1"/>
                <w:bCs w:val="1"/>
                <w:color w:val="auto"/>
                <w:w w:val="98"/>
              </w:rPr>
              <w:t>SECURITIES REGISTERED PURSUANT TO SECTION 12(b) OF THE ACT:</w:t>
            </w:r>
          </w:p>
        </w:tc>
        <w:tc>
          <w:tcPr>
            <w:tcW w:w="0" w:type="dxa"/>
            <w:vAlign w:val="bottom"/>
          </w:tcPr>
          <w:p>
            <w:pPr>
              <w:spacing w:after="0"/>
              <w:rPr>
                <w:sz w:val="1"/>
                <w:szCs w:val="1"/>
                <w:color w:val="auto"/>
              </w:rPr>
            </w:pPr>
          </w:p>
        </w:tc>
      </w:tr>
      <w:tr>
        <w:trPr>
          <w:trHeight w:val="169"/>
        </w:trPr>
        <w:tc>
          <w:tcPr>
            <w:tcW w:w="7780" w:type="dxa"/>
            <w:vAlign w:val="bottom"/>
            <w:gridSpan w:val="5"/>
            <w:vMerge w:val="restart"/>
          </w:tcPr>
          <w:p>
            <w:pPr>
              <w:jc w:val="center"/>
              <w:ind w:right="2060"/>
              <w:spacing w:after="0"/>
              <w:rPr>
                <w:sz w:val="20"/>
                <w:szCs w:val="20"/>
                <w:color w:val="auto"/>
              </w:rPr>
            </w:pPr>
            <w:r>
              <w:rPr>
                <w:rFonts w:ascii="Arial" w:cs="Arial" w:eastAsia="Arial" w:hAnsi="Arial"/>
                <w:sz w:val="14"/>
                <w:szCs w:val="14"/>
                <w:b w:val="1"/>
                <w:bCs w:val="1"/>
                <w:color w:val="auto"/>
                <w:w w:val="86"/>
              </w:rPr>
              <w:t>Title of each class</w:t>
            </w:r>
          </w:p>
        </w:tc>
        <w:tc>
          <w:tcPr>
            <w:tcW w:w="3640" w:type="dxa"/>
            <w:vAlign w:val="bottom"/>
          </w:tcPr>
          <w:p>
            <w:pPr>
              <w:jc w:val="center"/>
              <w:ind w:right="1872"/>
              <w:spacing w:after="0"/>
              <w:rPr>
                <w:sz w:val="20"/>
                <w:szCs w:val="20"/>
                <w:color w:val="auto"/>
              </w:rPr>
            </w:pPr>
            <w:r>
              <w:rPr>
                <w:rFonts w:ascii="Arial" w:cs="Arial" w:eastAsia="Arial" w:hAnsi="Arial"/>
                <w:sz w:val="14"/>
                <w:szCs w:val="14"/>
                <w:b w:val="1"/>
                <w:bCs w:val="1"/>
                <w:color w:val="auto"/>
                <w:w w:val="86"/>
              </w:rPr>
              <w:t>Name of each exchange</w:t>
            </w:r>
          </w:p>
        </w:tc>
        <w:tc>
          <w:tcPr>
            <w:tcW w:w="0" w:type="dxa"/>
            <w:vAlign w:val="bottom"/>
          </w:tcPr>
          <w:p>
            <w:pPr>
              <w:spacing w:after="0"/>
              <w:rPr>
                <w:sz w:val="1"/>
                <w:szCs w:val="1"/>
                <w:color w:val="auto"/>
              </w:rPr>
            </w:pPr>
          </w:p>
        </w:tc>
      </w:tr>
      <w:tr>
        <w:trPr>
          <w:trHeight w:val="167"/>
        </w:trPr>
        <w:tc>
          <w:tcPr>
            <w:tcW w:w="7780" w:type="dxa"/>
            <w:vAlign w:val="bottom"/>
            <w:gridSpan w:val="5"/>
            <w:vMerge w:val="continue"/>
          </w:tcPr>
          <w:p>
            <w:pPr>
              <w:spacing w:after="0"/>
              <w:rPr>
                <w:sz w:val="14"/>
                <w:szCs w:val="14"/>
                <w:color w:val="auto"/>
              </w:rPr>
            </w:pPr>
          </w:p>
        </w:tc>
        <w:tc>
          <w:tcPr>
            <w:tcW w:w="3640" w:type="dxa"/>
            <w:vAlign w:val="bottom"/>
          </w:tcPr>
          <w:p>
            <w:pPr>
              <w:jc w:val="center"/>
              <w:ind w:right="1872"/>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181"/>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color w:val="auto"/>
                <w:w w:val="88"/>
              </w:rPr>
              <w:t>Common Stock, par value $.01 per share</w:t>
            </w:r>
          </w:p>
        </w:tc>
        <w:tc>
          <w:tcPr>
            <w:tcW w:w="120" w:type="dxa"/>
            <w:vAlign w:val="bottom"/>
          </w:tcPr>
          <w:p>
            <w:pPr>
              <w:spacing w:after="0"/>
              <w:rPr>
                <w:sz w:val="15"/>
                <w:szCs w:val="15"/>
                <w:color w:val="auto"/>
              </w:rPr>
            </w:pPr>
          </w:p>
        </w:tc>
        <w:tc>
          <w:tcPr>
            <w:tcW w:w="1940" w:type="dxa"/>
            <w:vAlign w:val="bottom"/>
            <w:tcBorders>
              <w:top w:val="single" w:sz="8" w:color="auto"/>
            </w:tcBorders>
            <w:gridSpan w:val="2"/>
          </w:tcPr>
          <w:p>
            <w:pPr>
              <w:spacing w:after="0"/>
              <w:rPr>
                <w:sz w:val="15"/>
                <w:szCs w:val="15"/>
                <w:color w:val="auto"/>
              </w:rPr>
            </w:pPr>
          </w:p>
        </w:tc>
        <w:tc>
          <w:tcPr>
            <w:tcW w:w="3640" w:type="dxa"/>
            <w:vAlign w:val="bottom"/>
            <w:tcBorders>
              <w:top w:val="single" w:sz="8" w:color="auto"/>
            </w:tcBorders>
          </w:tcPr>
          <w:p>
            <w:pPr>
              <w:jc w:val="center"/>
              <w:ind w:right="1892"/>
              <w:spacing w:after="0"/>
              <w:rPr>
                <w:sz w:val="20"/>
                <w:szCs w:val="20"/>
                <w:color w:val="auto"/>
              </w:rPr>
            </w:pPr>
            <w:r>
              <w:rPr>
                <w:rFonts w:ascii="Arial" w:cs="Arial" w:eastAsia="Arial" w:hAnsi="Arial"/>
                <w:sz w:val="15"/>
                <w:szCs w:val="15"/>
                <w:color w:val="auto"/>
                <w:w w:val="90"/>
              </w:rPr>
              <w:t>New York Stock Exchange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29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2788285</wp:posOffset>
            </wp:positionH>
            <wp:positionV relativeFrom="paragraph">
              <wp:posOffset>59690</wp:posOffset>
            </wp:positionV>
            <wp:extent cx="1679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9575" cy="8255"/>
                    </a:xfrm>
                    <a:prstGeom prst="rect">
                      <a:avLst/>
                    </a:prstGeom>
                    <a:noFill/>
                  </pic:spPr>
                </pic:pic>
              </a:graphicData>
            </a:graphic>
          </wp:anchor>
        </w:drawing>
      </w:r>
    </w:p>
    <w:p>
      <w:pPr>
        <w:spacing w:after="0" w:line="111" w:lineRule="exact"/>
        <w:rPr>
          <w:sz w:val="24"/>
          <w:szCs w:val="24"/>
          <w:color w:val="auto"/>
        </w:rPr>
      </w:pPr>
    </w:p>
    <w:p>
      <w:pPr>
        <w:ind w:right="348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9"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87" w:right="239" w:bottom="1440" w:gutter="0" w:footer="0" w:header="0"/>
        </w:sectPr>
      </w:pP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16"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53" w:lineRule="exact"/>
        <w:tabs>
          <w:tab w:leader="none" w:pos="5200" w:val="left"/>
          <w:tab w:leader="none" w:pos="822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2"/>
          <w:szCs w:val="12"/>
          <w:color w:val="auto"/>
        </w:rPr>
        <w:t>☐</w:t>
      </w:r>
    </w:p>
    <w:p>
      <w:pPr>
        <w:spacing w:after="0" w:line="45" w:lineRule="exact"/>
        <w:rPr>
          <w:sz w:val="24"/>
          <w:szCs w:val="24"/>
          <w:color w:val="auto"/>
        </w:rPr>
      </w:pPr>
    </w:p>
    <w:p>
      <w:pPr>
        <w:spacing w:after="0" w:line="173" w:lineRule="exact"/>
        <w:tabs>
          <w:tab w:leader="none" w:pos="5200" w:val="left"/>
          <w:tab w:leader="none" w:pos="8220" w:val="left"/>
        </w:tabs>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1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70" w:lineRule="exact"/>
        <w:rPr>
          <w:sz w:val="24"/>
          <w:szCs w:val="24"/>
          <w:color w:val="auto"/>
        </w:rPr>
      </w:pPr>
    </w:p>
    <w:p>
      <w:pPr>
        <w:sectPr>
          <w:pgSz w:w="11900" w:h="16838" w:orient="portrait"/>
          <w:cols w:equalWidth="0" w:num="2">
            <w:col w:w="2280" w:space="720"/>
            <w:col w:w="8420"/>
          </w:cols>
          <w:pgMar w:left="240" w:top="387" w:right="239" w:bottom="1440" w:gutter="0" w:footer="0" w:header="0"/>
          <w:type w:val="continuous"/>
        </w:sectPr>
      </w:pPr>
    </w:p>
    <w:p>
      <w:pPr>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1"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The aggregate market value of the shares of the registrant's Common Stock held by non-affiliates was approximately $3,239,937,829 as of June 30, 2017 based on the closing price of such shares on the New York Stock Exchange on that day. The number of shares of the registrant's Common Stock outstanding on February 15, 2018 was 118,204,246.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the 2018 Annual Meeting of Stockholders, currently scheduled to be held on May 10,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441960</wp:posOffset>
            </wp:positionV>
            <wp:extent cx="729297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rPr>
              <w:t>CORECIVIC, INC.</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rPr>
              <w:t>FORM 10-K</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w w:val="92"/>
              </w:rPr>
              <w:t>For the fiscal year ended December 31, 2017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900" w:type="dxa"/>
            <w:vAlign w:val="bottom"/>
            <w:gridSpan w:val="2"/>
            <w:vMerge w:val="restart"/>
          </w:tcPr>
          <w:p>
            <w:pPr>
              <w:spacing w:after="0"/>
              <w:rPr>
                <w:sz w:val="20"/>
                <w:szCs w:val="20"/>
                <w:color w:val="auto"/>
              </w:rPr>
            </w:pPr>
            <w:r>
              <w:rPr>
                <w:rFonts w:ascii="Arial" w:cs="Arial" w:eastAsia="Arial" w:hAnsi="Arial"/>
                <w:sz w:val="17"/>
                <w:szCs w:val="17"/>
                <w:color w:val="auto"/>
              </w:rPr>
              <w:t>Item No.</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171"/>
        </w:trPr>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4700" w:type="dxa"/>
            <w:vAlign w:val="bottom"/>
            <w:gridSpan w:val="2"/>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Pr>
          <w:p>
            <w:pPr>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5">
              <w:r>
                <w:rPr>
                  <w:rFonts w:ascii="Arial" w:cs="Arial" w:eastAsia="Arial" w:hAnsi="Arial"/>
                  <w:sz w:val="17"/>
                  <w:szCs w:val="17"/>
                  <w:color w:val="0000EE"/>
                  <w:w w:val="86"/>
                </w:rPr>
                <w:t>Business</w:t>
              </w:r>
            </w:hyperlink>
          </w:p>
        </w:tc>
        <w:tc>
          <w:tcPr>
            <w:tcW w:w="9360" w:type="dxa"/>
            <w:vAlign w:val="bottom"/>
            <w:gridSpan w:val="1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0000EE"/>
            </w:tcBorders>
            <w:gridSpan w:val="5"/>
          </w:tcPr>
          <w:p>
            <w:pPr>
              <w:spacing w:after="0" w:line="189" w:lineRule="exact"/>
              <w:rPr>
                <w:rFonts w:ascii="Arial" w:cs="Arial" w:eastAsia="Arial" w:hAnsi="Arial"/>
                <w:sz w:val="17"/>
                <w:szCs w:val="17"/>
                <w:color w:val="0000EE"/>
                <w:w w:val="98"/>
              </w:rPr>
            </w:pPr>
            <w:hyperlink w:anchor="page5">
              <w:r>
                <w:rPr>
                  <w:rFonts w:ascii="Arial" w:cs="Arial" w:eastAsia="Arial" w:hAnsi="Arial"/>
                  <w:sz w:val="17"/>
                  <w:szCs w:val="17"/>
                  <w:color w:val="0000EE"/>
                  <w:w w:val="98"/>
                </w:rPr>
                <w:t>Overview</w:t>
              </w:r>
            </w:hyperlink>
          </w:p>
        </w:tc>
        <w:tc>
          <w:tcPr>
            <w:tcW w:w="9060" w:type="dxa"/>
            <w:vAlign w:val="bottom"/>
            <w:gridSpan w:val="15"/>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40" w:type="dxa"/>
            <w:vAlign w:val="bottom"/>
            <w:tcBorders>
              <w:bottom w:val="single" w:sz="8" w:color="0000EE"/>
            </w:tcBorders>
            <w:gridSpan w:val="19"/>
          </w:tcPr>
          <w:p>
            <w:pPr>
              <w:spacing w:after="0" w:line="189" w:lineRule="exact"/>
              <w:rPr>
                <w:rFonts w:ascii="Arial" w:cs="Arial" w:eastAsia="Arial" w:hAnsi="Arial"/>
                <w:sz w:val="17"/>
                <w:szCs w:val="17"/>
                <w:color w:val="0000EE"/>
                <w:w w:val="92"/>
              </w:rPr>
            </w:pPr>
            <w:hyperlink w:anchor="page6">
              <w:r>
                <w:rPr>
                  <w:rFonts w:ascii="Arial" w:cs="Arial" w:eastAsia="Arial" w:hAnsi="Arial"/>
                  <w:sz w:val="17"/>
                  <w:szCs w:val="17"/>
                  <w:color w:val="0000EE"/>
                  <w:w w:val="92"/>
                </w:rPr>
                <w:t>Operating Procedures and Offender Services for Correctional, Detention, and Residential</w:t>
              </w:r>
            </w:hyperlink>
          </w:p>
        </w:tc>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0000EE"/>
            </w:tcBorders>
            <w:gridSpan w:val="10"/>
          </w:tcPr>
          <w:p>
            <w:pPr>
              <w:ind w:left="140"/>
              <w:spacing w:after="0" w:line="189" w:lineRule="exact"/>
              <w:rPr>
                <w:rFonts w:ascii="Arial" w:cs="Arial" w:eastAsia="Arial" w:hAnsi="Arial"/>
                <w:sz w:val="17"/>
                <w:szCs w:val="17"/>
                <w:color w:val="0000EE"/>
                <w:w w:val="93"/>
              </w:rPr>
            </w:pPr>
            <w:hyperlink w:anchor="page6">
              <w:r>
                <w:rPr>
                  <w:rFonts w:ascii="Arial" w:cs="Arial" w:eastAsia="Arial" w:hAnsi="Arial"/>
                  <w:sz w:val="17"/>
                  <w:szCs w:val="17"/>
                  <w:color w:val="0000EE"/>
                  <w:w w:val="93"/>
                </w:rPr>
                <w:t>Reentry Facilities</w:t>
              </w:r>
            </w:hyperlink>
          </w:p>
        </w:tc>
        <w:tc>
          <w:tcPr>
            <w:tcW w:w="8400" w:type="dxa"/>
            <w:vAlign w:val="bottom"/>
            <w:gridSpan w:val="10"/>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0000EE"/>
            </w:tcBorders>
            <w:gridSpan w:val="13"/>
          </w:tcPr>
          <w:p>
            <w:pPr>
              <w:spacing w:after="0" w:line="189" w:lineRule="exact"/>
              <w:rPr>
                <w:rFonts w:ascii="Arial" w:cs="Arial" w:eastAsia="Arial" w:hAnsi="Arial"/>
                <w:sz w:val="17"/>
                <w:szCs w:val="17"/>
                <w:color w:val="0000EE"/>
                <w:w w:val="92"/>
              </w:rPr>
            </w:pPr>
            <w:hyperlink w:anchor="page9">
              <w:r>
                <w:rPr>
                  <w:rFonts w:ascii="Arial" w:cs="Arial" w:eastAsia="Arial" w:hAnsi="Arial"/>
                  <w:sz w:val="17"/>
                  <w:szCs w:val="17"/>
                  <w:color w:val="0000EE"/>
                  <w:w w:val="92"/>
                </w:rPr>
                <w:t>Business Development</w:t>
              </w:r>
            </w:hyperlink>
          </w:p>
        </w:tc>
        <w:tc>
          <w:tcPr>
            <w:tcW w:w="8160" w:type="dxa"/>
            <w:vAlign w:val="bottom"/>
            <w:gridSpan w:val="7"/>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11">
              <w:r>
                <w:rPr>
                  <w:rFonts w:ascii="Arial" w:cs="Arial" w:eastAsia="Arial" w:hAnsi="Arial"/>
                  <w:sz w:val="17"/>
                  <w:szCs w:val="17"/>
                  <w:color w:val="0000EE"/>
                </w:rPr>
                <w:t>2017 Accomplishments</w:t>
              </w:r>
            </w:hyperlink>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Facility Portfolio</w:t>
              </w:r>
            </w:hyperlink>
          </w:p>
        </w:tc>
        <w:tc>
          <w:tcPr>
            <w:tcW w:w="8120" w:type="dxa"/>
            <w:vAlign w:val="bottom"/>
            <w:gridSpan w:val="6"/>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w:anchor="page21">
              <w:r>
                <w:rPr>
                  <w:rFonts w:ascii="Arial" w:cs="Arial" w:eastAsia="Arial" w:hAnsi="Arial"/>
                  <w:sz w:val="17"/>
                  <w:szCs w:val="17"/>
                  <w:color w:val="0000EE"/>
                  <w:w w:val="93"/>
                </w:rPr>
                <w:t>Competitive Strengths</w:t>
              </w:r>
            </w:hyperlink>
          </w:p>
        </w:tc>
        <w:tc>
          <w:tcPr>
            <w:tcW w:w="8200" w:type="dxa"/>
            <w:vAlign w:val="bottom"/>
            <w:gridSpan w:val="8"/>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bottom w:val="single" w:sz="8" w:color="0000EE"/>
            </w:tcBorders>
            <w:gridSpan w:val="9"/>
          </w:tcPr>
          <w:p>
            <w:pPr>
              <w:spacing w:after="0" w:line="189" w:lineRule="exact"/>
              <w:rPr>
                <w:rFonts w:ascii="Arial" w:cs="Arial" w:eastAsia="Arial" w:hAnsi="Arial"/>
                <w:sz w:val="17"/>
                <w:szCs w:val="17"/>
                <w:color w:val="0000EE"/>
                <w:w w:val="95"/>
              </w:rPr>
            </w:pPr>
            <w:hyperlink w:anchor="page24">
              <w:r>
                <w:rPr>
                  <w:rFonts w:ascii="Arial" w:cs="Arial" w:eastAsia="Arial" w:hAnsi="Arial"/>
                  <w:sz w:val="17"/>
                  <w:szCs w:val="17"/>
                  <w:color w:val="0000EE"/>
                  <w:w w:val="95"/>
                </w:rPr>
                <w:t>Capital Strategy</w:t>
              </w:r>
            </w:hyperlink>
          </w:p>
        </w:tc>
        <w:tc>
          <w:tcPr>
            <w:tcW w:w="8580" w:type="dxa"/>
            <w:vAlign w:val="bottom"/>
            <w:gridSpan w:val="11"/>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bottom w:val="single" w:sz="8" w:color="0000EE"/>
            </w:tcBorders>
            <w:gridSpan w:val="15"/>
          </w:tcPr>
          <w:p>
            <w:pPr>
              <w:spacing w:after="0" w:line="189" w:lineRule="exact"/>
              <w:rPr>
                <w:rFonts w:ascii="Arial" w:cs="Arial" w:eastAsia="Arial" w:hAnsi="Arial"/>
                <w:sz w:val="17"/>
                <w:szCs w:val="17"/>
                <w:color w:val="0000EE"/>
                <w:w w:val="93"/>
              </w:rPr>
            </w:pPr>
            <w:hyperlink w:anchor="page25">
              <w:r>
                <w:rPr>
                  <w:rFonts w:ascii="Arial" w:cs="Arial" w:eastAsia="Arial" w:hAnsi="Arial"/>
                  <w:sz w:val="17"/>
                  <w:szCs w:val="17"/>
                  <w:color w:val="0000EE"/>
                  <w:w w:val="93"/>
                </w:rPr>
                <w:t>Government Regulation</w:t>
              </w:r>
            </w:hyperlink>
          </w:p>
        </w:tc>
        <w:tc>
          <w:tcPr>
            <w:tcW w:w="8080" w:type="dxa"/>
            <w:vAlign w:val="bottom"/>
            <w:gridSpan w:val="5"/>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0000EE"/>
            </w:tcBorders>
            <w:gridSpan w:val="4"/>
          </w:tcPr>
          <w:p>
            <w:pPr>
              <w:spacing w:after="0" w:line="189" w:lineRule="exact"/>
              <w:rPr>
                <w:rFonts w:ascii="Arial" w:cs="Arial" w:eastAsia="Arial" w:hAnsi="Arial"/>
                <w:sz w:val="17"/>
                <w:szCs w:val="17"/>
                <w:color w:val="0000EE"/>
                <w:w w:val="91"/>
              </w:rPr>
            </w:pPr>
            <w:hyperlink w:anchor="page26">
              <w:r>
                <w:rPr>
                  <w:rFonts w:ascii="Arial" w:cs="Arial" w:eastAsia="Arial" w:hAnsi="Arial"/>
                  <w:sz w:val="17"/>
                  <w:szCs w:val="17"/>
                  <w:color w:val="0000EE"/>
                  <w:w w:val="91"/>
                </w:rPr>
                <w:t>Insurance</w:t>
              </w:r>
            </w:hyperlink>
          </w:p>
        </w:tc>
        <w:tc>
          <w:tcPr>
            <w:tcW w:w="9080" w:type="dxa"/>
            <w:vAlign w:val="bottom"/>
            <w:gridSpan w:val="16"/>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27">
              <w:r>
                <w:rPr>
                  <w:rFonts w:ascii="Arial" w:cs="Arial" w:eastAsia="Arial" w:hAnsi="Arial"/>
                  <w:sz w:val="17"/>
                  <w:szCs w:val="17"/>
                  <w:color w:val="0000EE"/>
                </w:rPr>
                <w:t>Employees</w:t>
              </w:r>
            </w:hyperlink>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80" w:type="dxa"/>
            <w:vAlign w:val="bottom"/>
            <w:gridSpan w:val="20"/>
          </w:tcPr>
          <w:p>
            <w:pPr>
              <w:spacing w:after="0" w:line="189" w:lineRule="exact"/>
              <w:rPr>
                <w:rFonts w:ascii="Arial" w:cs="Arial" w:eastAsia="Arial" w:hAnsi="Arial"/>
                <w:sz w:val="17"/>
                <w:szCs w:val="17"/>
                <w:color w:val="0000EE"/>
              </w:rPr>
            </w:pPr>
            <w:hyperlink w:anchor="page27">
              <w:r>
                <w:rPr>
                  <w:rFonts w:ascii="Arial" w:cs="Arial" w:eastAsia="Arial" w:hAnsi="Arial"/>
                  <w:sz w:val="17"/>
                  <w:szCs w:val="17"/>
                  <w:color w:val="0000EE"/>
                </w:rPr>
                <w:t>Competition</w:t>
              </w:r>
            </w:hyperlink>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gridSpan w:val="2"/>
          </w:tcPr>
          <w:p>
            <w:pPr>
              <w:spacing w:after="0" w:line="189" w:lineRule="exact"/>
              <w:rPr>
                <w:sz w:val="20"/>
                <w:szCs w:val="20"/>
                <w:color w:val="auto"/>
              </w:rPr>
            </w:pPr>
            <w:r>
              <w:rPr>
                <w:rFonts w:ascii="Arial" w:cs="Arial" w:eastAsia="Arial" w:hAnsi="Arial"/>
                <w:sz w:val="17"/>
                <w:szCs w:val="17"/>
                <w:color w:val="auto"/>
              </w:rPr>
              <w:t>1A.</w:t>
            </w:r>
          </w:p>
        </w:tc>
        <w:tc>
          <w:tcPr>
            <w:tcW w:w="880" w:type="dxa"/>
            <w:vAlign w:val="bottom"/>
            <w:tcBorders>
              <w:bottom w:val="single" w:sz="8" w:color="0000EE"/>
            </w:tcBorders>
            <w:gridSpan w:val="4"/>
          </w:tcPr>
          <w:p>
            <w:pPr>
              <w:spacing w:after="0" w:line="189" w:lineRule="exact"/>
              <w:rPr>
                <w:rFonts w:ascii="Arial" w:cs="Arial" w:eastAsia="Arial" w:hAnsi="Arial"/>
                <w:sz w:val="17"/>
                <w:szCs w:val="17"/>
                <w:color w:val="0000EE"/>
                <w:w w:val="90"/>
              </w:rPr>
            </w:pPr>
            <w:hyperlink w:anchor="page27">
              <w:r>
                <w:rPr>
                  <w:rFonts w:ascii="Arial" w:cs="Arial" w:eastAsia="Arial" w:hAnsi="Arial"/>
                  <w:sz w:val="17"/>
                  <w:szCs w:val="17"/>
                  <w:color w:val="0000EE"/>
                  <w:w w:val="90"/>
                </w:rPr>
                <w:t>Risk Factors</w:t>
              </w:r>
            </w:hyperlink>
          </w:p>
        </w:tc>
        <w:tc>
          <w:tcPr>
            <w:tcW w:w="9100" w:type="dxa"/>
            <w:vAlign w:val="bottom"/>
            <w:gridSpan w:val="17"/>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0"/>
        </w:trPr>
        <w:tc>
          <w:tcPr>
            <w:tcW w:w="900" w:type="dxa"/>
            <w:vAlign w:val="bottom"/>
            <w:gridSpan w:val="2"/>
          </w:tcPr>
          <w:p>
            <w:pPr>
              <w:spacing w:after="0" w:line="189" w:lineRule="exact"/>
              <w:rPr>
                <w:sz w:val="20"/>
                <w:szCs w:val="20"/>
                <w:color w:val="auto"/>
              </w:rPr>
            </w:pPr>
            <w:r>
              <w:rPr>
                <w:rFonts w:ascii="Arial" w:cs="Arial" w:eastAsia="Arial" w:hAnsi="Arial"/>
                <w:sz w:val="17"/>
                <w:szCs w:val="17"/>
                <w:color w:val="auto"/>
              </w:rPr>
              <w:t>1B.</w:t>
            </w:r>
          </w:p>
        </w:tc>
        <w:tc>
          <w:tcPr>
            <w:tcW w:w="1980" w:type="dxa"/>
            <w:vAlign w:val="bottom"/>
            <w:tcBorders>
              <w:bottom w:val="single" w:sz="8" w:color="0000EE"/>
            </w:tcBorders>
            <w:gridSpan w:val="17"/>
          </w:tcPr>
          <w:p>
            <w:pPr>
              <w:spacing w:after="0" w:line="189" w:lineRule="exact"/>
              <w:rPr>
                <w:rFonts w:ascii="Arial" w:cs="Arial" w:eastAsia="Arial" w:hAnsi="Arial"/>
                <w:sz w:val="17"/>
                <w:szCs w:val="17"/>
                <w:color w:val="0000EE"/>
                <w:w w:val="92"/>
              </w:rPr>
            </w:pPr>
            <w:hyperlink w:anchor="page46">
              <w:r>
                <w:rPr>
                  <w:rFonts w:ascii="Arial" w:cs="Arial" w:eastAsia="Arial" w:hAnsi="Arial"/>
                  <w:sz w:val="17"/>
                  <w:szCs w:val="17"/>
                  <w:color w:val="0000EE"/>
                  <w:w w:val="92"/>
                </w:rPr>
                <w:t>Unresolved Staff Comments</w:t>
              </w:r>
            </w:hyperlink>
          </w:p>
        </w:tc>
        <w:tc>
          <w:tcPr>
            <w:tcW w:w="8000" w:type="dxa"/>
            <w:vAlign w:val="bottom"/>
            <w:gridSpan w:val="4"/>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0"/>
        </w:trPr>
        <w:tc>
          <w:tcPr>
            <w:tcW w:w="580" w:type="dxa"/>
            <w:vAlign w:val="bottom"/>
          </w:tcPr>
          <w:p>
            <w:pPr>
              <w:spacing w:after="0" w:line="189" w:lineRule="exact"/>
              <w:rPr>
                <w:sz w:val="20"/>
                <w:szCs w:val="20"/>
                <w:color w:val="auto"/>
              </w:rPr>
            </w:pPr>
            <w:r>
              <w:rPr>
                <w:rFonts w:ascii="Arial" w:cs="Arial" w:eastAsia="Arial" w:hAnsi="Arial"/>
                <w:sz w:val="17"/>
                <w:szCs w:val="17"/>
                <w:color w:val="auto"/>
              </w:rPr>
              <w:t>2.</w:t>
            </w:r>
          </w:p>
        </w:tc>
        <w:tc>
          <w:tcPr>
            <w:tcW w:w="320" w:type="dxa"/>
            <w:vAlign w:val="bottom"/>
          </w:tcPr>
          <w:p>
            <w:pPr>
              <w:spacing w:after="0"/>
              <w:rPr>
                <w:sz w:val="16"/>
                <w:szCs w:val="16"/>
                <w:color w:val="auto"/>
              </w:rPr>
            </w:pPr>
          </w:p>
        </w:tc>
        <w:tc>
          <w:tcPr>
            <w:tcW w:w="9980" w:type="dxa"/>
            <w:vAlign w:val="bottom"/>
            <w:gridSpan w:val="21"/>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Properties</w:t>
              </w:r>
            </w:hyperlink>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line="189" w:lineRule="exact"/>
              <w:rPr>
                <w:sz w:val="20"/>
                <w:szCs w:val="20"/>
                <w:color w:val="auto"/>
              </w:rPr>
            </w:pPr>
            <w:r>
              <w:rPr>
                <w:rFonts w:ascii="Arial" w:cs="Arial" w:eastAsia="Arial" w:hAnsi="Arial"/>
                <w:sz w:val="17"/>
                <w:szCs w:val="17"/>
                <w:color w:val="auto"/>
              </w:rPr>
              <w:t>3.</w:t>
            </w:r>
          </w:p>
        </w:tc>
        <w:tc>
          <w:tcPr>
            <w:tcW w:w="320" w:type="dxa"/>
            <w:vAlign w:val="bottom"/>
          </w:tcPr>
          <w:p>
            <w:pPr>
              <w:spacing w:after="0"/>
              <w:rPr>
                <w:sz w:val="16"/>
                <w:szCs w:val="16"/>
                <w:color w:val="auto"/>
              </w:rPr>
            </w:pPr>
          </w:p>
        </w:tc>
        <w:tc>
          <w:tcPr>
            <w:tcW w:w="9980" w:type="dxa"/>
            <w:vAlign w:val="bottom"/>
            <w:gridSpan w:val="21"/>
          </w:tcPr>
          <w:p>
            <w:pPr>
              <w:spacing w:after="0" w:line="189" w:lineRule="exact"/>
              <w:rPr>
                <w:rFonts w:ascii="Arial" w:cs="Arial" w:eastAsia="Arial" w:hAnsi="Arial"/>
                <w:sz w:val="17"/>
                <w:szCs w:val="17"/>
                <w:color w:val="0000EE"/>
              </w:rPr>
            </w:pPr>
            <w:hyperlink w:anchor="page46">
              <w:r>
                <w:rPr>
                  <w:rFonts w:ascii="Arial" w:cs="Arial" w:eastAsia="Arial" w:hAnsi="Arial"/>
                  <w:sz w:val="17"/>
                  <w:szCs w:val="17"/>
                  <w:color w:val="0000EE"/>
                </w:rPr>
                <w:t>Legal Proceedings</w:t>
              </w:r>
            </w:hyperlink>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line="189" w:lineRule="exact"/>
              <w:rPr>
                <w:sz w:val="20"/>
                <w:szCs w:val="20"/>
                <w:color w:val="auto"/>
              </w:rPr>
            </w:pPr>
            <w:r>
              <w:rPr>
                <w:rFonts w:ascii="Arial" w:cs="Arial" w:eastAsia="Arial" w:hAnsi="Arial"/>
                <w:sz w:val="17"/>
                <w:szCs w:val="17"/>
                <w:color w:val="auto"/>
              </w:rPr>
              <w:t>4.</w:t>
            </w:r>
          </w:p>
        </w:tc>
        <w:tc>
          <w:tcPr>
            <w:tcW w:w="320" w:type="dxa"/>
            <w:vAlign w:val="bottom"/>
          </w:tcPr>
          <w:p>
            <w:pPr>
              <w:spacing w:after="0"/>
              <w:rPr>
                <w:sz w:val="16"/>
                <w:szCs w:val="16"/>
                <w:color w:val="auto"/>
              </w:rPr>
            </w:pPr>
          </w:p>
        </w:tc>
        <w:tc>
          <w:tcPr>
            <w:tcW w:w="172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w:anchor="page47">
              <w:r>
                <w:rPr>
                  <w:rFonts w:ascii="Arial" w:cs="Arial" w:eastAsia="Arial" w:hAnsi="Arial"/>
                  <w:sz w:val="17"/>
                  <w:szCs w:val="17"/>
                  <w:color w:val="0000EE"/>
                  <w:w w:val="93"/>
                </w:rPr>
                <w:t>Mine Safety Disclosures</w:t>
              </w:r>
            </w:hyperlink>
          </w:p>
        </w:tc>
        <w:tc>
          <w:tcPr>
            <w:tcW w:w="8260" w:type="dxa"/>
            <w:vAlign w:val="bottom"/>
            <w:gridSpan w:val="9"/>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left="360"/>
        <w:spacing w:after="0"/>
        <w:rPr>
          <w:rFonts w:ascii="Arial" w:cs="Arial" w:eastAsia="Arial" w:hAnsi="Arial"/>
          <w:sz w:val="17"/>
          <w:szCs w:val="17"/>
          <w:b w:val="1"/>
          <w:bCs w:val="1"/>
          <w:u w:val="single" w:color="auto"/>
          <w:color w:val="0000EE"/>
        </w:rPr>
      </w:pPr>
      <w:hyperlink w:anchor="page48">
        <w:r>
          <w:rPr>
            <w:rFonts w:ascii="Arial" w:cs="Arial" w:eastAsia="Arial" w:hAnsi="Arial"/>
            <w:sz w:val="17"/>
            <w:szCs w:val="17"/>
            <w:b w:val="1"/>
            <w:bCs w:val="1"/>
            <w:u w:val="single" w:color="auto"/>
            <w:color w:val="0000EE"/>
          </w:rPr>
          <w:t>PART II</w:t>
        </w:r>
      </w:hyperlink>
    </w:p>
    <w:p>
      <w:pPr>
        <w:spacing w:after="0" w:line="138"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Market for Registrant's Common Equity, Related Stockholder Matters and Issuer Purchases of</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80" w:type="dxa"/>
            <w:vAlign w:val="bottom"/>
            <w:gridSpan w:val="29"/>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Equity Securities</w:t>
              </w:r>
            </w:hyperlink>
          </w:p>
        </w:tc>
        <w:tc>
          <w:tcPr>
            <w:tcW w:w="18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00" w:type="dxa"/>
            <w:vAlign w:val="bottom"/>
            <w:gridSpan w:val="28"/>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Market Price of and Distributions on Capital Stock</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48</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top w:val="single" w:sz="8" w:color="0000EE"/>
            </w:tcBorders>
            <w:gridSpan w:val="15"/>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Dividend Policy</w:t>
              </w:r>
            </w:hyperlink>
          </w:p>
        </w:tc>
        <w:tc>
          <w:tcPr>
            <w:tcW w:w="4940" w:type="dxa"/>
            <w:vAlign w:val="bottom"/>
            <w:gridSpan w:val="13"/>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48</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Borders>
              <w:bottom w:val="single" w:sz="8" w:color="0000EE"/>
            </w:tcBorders>
            <w:gridSpan w:val="12"/>
          </w:tcPr>
          <w:p>
            <w:pPr>
              <w:spacing w:after="0" w:line="189" w:lineRule="exact"/>
              <w:rPr>
                <w:rFonts w:ascii="Arial" w:cs="Arial" w:eastAsia="Arial" w:hAnsi="Arial"/>
                <w:sz w:val="17"/>
                <w:szCs w:val="17"/>
                <w:color w:val="0000EE"/>
                <w:w w:val="91"/>
              </w:rPr>
            </w:pPr>
            <w:hyperlink w:anchor="page49">
              <w:r>
                <w:rPr>
                  <w:rFonts w:ascii="Arial" w:cs="Arial" w:eastAsia="Arial" w:hAnsi="Arial"/>
                  <w:sz w:val="17"/>
                  <w:szCs w:val="17"/>
                  <w:color w:val="0000EE"/>
                  <w:w w:val="91"/>
                </w:rPr>
                <w:t>Issuer Purchases of Equity Securities</w:t>
              </w:r>
            </w:hyperlink>
          </w:p>
        </w:tc>
        <w:tc>
          <w:tcPr>
            <w:tcW w:w="5900" w:type="dxa"/>
            <w:vAlign w:val="bottom"/>
            <w:gridSpan w:val="16"/>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6.</w:t>
            </w:r>
          </w:p>
        </w:tc>
        <w:tc>
          <w:tcPr>
            <w:tcW w:w="166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49">
              <w:r>
                <w:rPr>
                  <w:rFonts w:ascii="Arial" w:cs="Arial" w:eastAsia="Arial" w:hAnsi="Arial"/>
                  <w:sz w:val="17"/>
                  <w:szCs w:val="17"/>
                  <w:color w:val="0000EE"/>
                  <w:w w:val="91"/>
                </w:rPr>
                <w:t>Selected Financial Data</w:t>
              </w:r>
            </w:hyperlink>
          </w:p>
        </w:tc>
        <w:tc>
          <w:tcPr>
            <w:tcW w:w="7040" w:type="dxa"/>
            <w:vAlign w:val="bottom"/>
            <w:gridSpan w:val="23"/>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7.</w:t>
            </w:r>
          </w:p>
        </w:tc>
        <w:tc>
          <w:tcPr>
            <w:tcW w:w="8700" w:type="dxa"/>
            <w:vAlign w:val="bottom"/>
            <w:gridSpan w:val="30"/>
          </w:tcPr>
          <w:p>
            <w:pPr>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Management's Discussion and Analysis of Financial Condition and Results of Operations</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51</w:t>
            </w:r>
          </w:p>
        </w:tc>
      </w:tr>
      <w:tr>
        <w:trPr>
          <w:trHeight w:val="190"/>
        </w:trPr>
        <w:tc>
          <w:tcPr>
            <w:tcW w:w="90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7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5"/>
              </w:rPr>
            </w:pPr>
            <w:hyperlink w:anchor="page51">
              <w:r>
                <w:rPr>
                  <w:rFonts w:ascii="Arial" w:cs="Arial" w:eastAsia="Arial" w:hAnsi="Arial"/>
                  <w:sz w:val="17"/>
                  <w:szCs w:val="17"/>
                  <w:color w:val="0000EE"/>
                  <w:w w:val="95"/>
                </w:rPr>
                <w:t>Overview</w:t>
              </w:r>
            </w:hyperlink>
          </w:p>
        </w:tc>
        <w:tc>
          <w:tcPr>
            <w:tcW w:w="5340" w:type="dxa"/>
            <w:vAlign w:val="bottom"/>
            <w:tcBorders>
              <w:top w:val="single" w:sz="8" w:color="0000EE"/>
            </w:tcBorders>
            <w:gridSpan w:val="23"/>
          </w:tcPr>
          <w:p>
            <w:pPr>
              <w:spacing w:after="0"/>
              <w:rPr>
                <w:sz w:val="16"/>
                <w:szCs w:val="16"/>
                <w:color w:val="auto"/>
              </w:rPr>
            </w:pPr>
          </w:p>
        </w:tc>
        <w:tc>
          <w:tcPr>
            <w:tcW w:w="2460" w:type="dxa"/>
            <w:vAlign w:val="bottom"/>
            <w:gridSpan w:val="3"/>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51</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00" w:type="dxa"/>
            <w:vAlign w:val="bottom"/>
            <w:gridSpan w:val="28"/>
          </w:tcPr>
          <w:p>
            <w:pPr>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Critical Accounting Policies</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53</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2"/>
              </w:rPr>
            </w:pPr>
            <w:hyperlink w:anchor="page57">
              <w:r>
                <w:rPr>
                  <w:rFonts w:ascii="Arial" w:cs="Arial" w:eastAsia="Arial" w:hAnsi="Arial"/>
                  <w:sz w:val="17"/>
                  <w:szCs w:val="17"/>
                  <w:color w:val="0000EE"/>
                  <w:w w:val="92"/>
                </w:rPr>
                <w:t>Results of Operations</w:t>
              </w:r>
            </w:hyperlink>
          </w:p>
        </w:tc>
        <w:tc>
          <w:tcPr>
            <w:tcW w:w="440" w:type="dxa"/>
            <w:vAlign w:val="bottom"/>
            <w:tcBorders>
              <w:top w:val="single" w:sz="8" w:color="0000EE"/>
            </w:tcBorders>
          </w:tcPr>
          <w:p>
            <w:pPr>
              <w:spacing w:after="0"/>
              <w:rPr>
                <w:sz w:val="16"/>
                <w:szCs w:val="16"/>
                <w:color w:val="auto"/>
              </w:rPr>
            </w:pPr>
          </w:p>
        </w:tc>
        <w:tc>
          <w:tcPr>
            <w:tcW w:w="6520" w:type="dxa"/>
            <w:vAlign w:val="bottom"/>
            <w:gridSpan w:val="20"/>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57</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00" w:type="dxa"/>
            <w:vAlign w:val="bottom"/>
            <w:gridSpan w:val="28"/>
          </w:tcPr>
          <w:p>
            <w:pPr>
              <w:spacing w:after="0" w:line="189" w:lineRule="exact"/>
              <w:rPr>
                <w:rFonts w:ascii="Arial" w:cs="Arial" w:eastAsia="Arial" w:hAnsi="Arial"/>
                <w:sz w:val="17"/>
                <w:szCs w:val="17"/>
                <w:color w:val="0000EE"/>
              </w:rPr>
            </w:pPr>
            <w:hyperlink w:anchor="page74">
              <w:r>
                <w:rPr>
                  <w:rFonts w:ascii="Arial" w:cs="Arial" w:eastAsia="Arial" w:hAnsi="Arial"/>
                  <w:sz w:val="17"/>
                  <w:szCs w:val="17"/>
                  <w:color w:val="0000EE"/>
                </w:rPr>
                <w:t>Liquidity and Capital Resources</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74</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rPr>
            </w:pPr>
            <w:hyperlink w:anchor="page79">
              <w:r>
                <w:rPr>
                  <w:rFonts w:ascii="Arial" w:cs="Arial" w:eastAsia="Arial" w:hAnsi="Arial"/>
                  <w:sz w:val="17"/>
                  <w:szCs w:val="17"/>
                  <w:color w:val="0000EE"/>
                </w:rPr>
                <w:t>Inflation</w:t>
              </w:r>
            </w:hyperlink>
          </w:p>
        </w:tc>
        <w:tc>
          <w:tcPr>
            <w:tcW w:w="1640" w:type="dxa"/>
            <w:vAlign w:val="bottom"/>
            <w:tcBorders>
              <w:top w:val="single" w:sz="8" w:color="0000EE"/>
            </w:tcBorders>
            <w:gridSpan w:val="8"/>
          </w:tcPr>
          <w:p>
            <w:pPr>
              <w:spacing w:after="0"/>
              <w:rPr>
                <w:sz w:val="16"/>
                <w:szCs w:val="16"/>
                <w:color w:val="auto"/>
              </w:rPr>
            </w:pPr>
          </w:p>
        </w:tc>
        <w:tc>
          <w:tcPr>
            <w:tcW w:w="6240" w:type="dxa"/>
            <w:vAlign w:val="bottom"/>
            <w:gridSpan w:val="19"/>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r>
      <w:tr>
        <w:trPr>
          <w:trHeight w:val="190"/>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Seasonality and Quarterly Results</w:t>
              </w:r>
            </w:hyperlink>
          </w:p>
        </w:tc>
        <w:tc>
          <w:tcPr>
            <w:tcW w:w="6120" w:type="dxa"/>
            <w:vAlign w:val="bottom"/>
            <w:gridSpan w:val="18"/>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7A.</w:t>
            </w:r>
          </w:p>
        </w:tc>
        <w:tc>
          <w:tcPr>
            <w:tcW w:w="4180" w:type="dxa"/>
            <w:vAlign w:val="bottom"/>
            <w:tcBorders>
              <w:bottom w:val="single" w:sz="8" w:color="0000EE"/>
            </w:tcBorders>
            <w:gridSpan w:val="19"/>
          </w:tcPr>
          <w:p>
            <w:pPr>
              <w:spacing w:after="0" w:line="189"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Quantitative and Qualitative Disclosures about Market Risk</w:t>
              </w:r>
            </w:hyperlink>
          </w:p>
        </w:tc>
        <w:tc>
          <w:tcPr>
            <w:tcW w:w="4520" w:type="dxa"/>
            <w:vAlign w:val="bottom"/>
            <w:gridSpan w:val="11"/>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8.</w:t>
            </w:r>
          </w:p>
        </w:tc>
        <w:tc>
          <w:tcPr>
            <w:tcW w:w="8700" w:type="dxa"/>
            <w:vAlign w:val="bottom"/>
            <w:gridSpan w:val="30"/>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Financial Statements and Supplementary Data</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80</w:t>
            </w:r>
          </w:p>
        </w:tc>
      </w:tr>
      <w:tr>
        <w:trPr>
          <w:trHeight w:val="20"/>
        </w:trPr>
        <w:tc>
          <w:tcPr>
            <w:tcW w:w="90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9.</w:t>
            </w:r>
          </w:p>
        </w:tc>
        <w:tc>
          <w:tcPr>
            <w:tcW w:w="6280" w:type="dxa"/>
            <w:vAlign w:val="bottom"/>
            <w:tcBorders>
              <w:bottom w:val="single" w:sz="8" w:color="0000EE"/>
            </w:tcBorders>
            <w:gridSpan w:val="28"/>
          </w:tcPr>
          <w:p>
            <w:pPr>
              <w:spacing w:after="0" w:line="189" w:lineRule="exact"/>
              <w:rPr>
                <w:rFonts w:ascii="Arial" w:cs="Arial" w:eastAsia="Arial" w:hAnsi="Arial"/>
                <w:sz w:val="17"/>
                <w:szCs w:val="17"/>
                <w:color w:val="0000EE"/>
                <w:w w:val="92"/>
              </w:rPr>
            </w:pPr>
            <w:hyperlink w:anchor="page80">
              <w:r>
                <w:rPr>
                  <w:rFonts w:ascii="Arial" w:cs="Arial" w:eastAsia="Arial" w:hAnsi="Arial"/>
                  <w:sz w:val="17"/>
                  <w:szCs w:val="17"/>
                  <w:color w:val="0000EE"/>
                  <w:w w:val="92"/>
                </w:rPr>
                <w:t>Changes in and Disagreements with Accountants on Accounting and Financial Disclosure</w:t>
              </w:r>
            </w:hyperlink>
          </w:p>
        </w:tc>
        <w:tc>
          <w:tcPr>
            <w:tcW w:w="2420" w:type="dxa"/>
            <w:vAlign w:val="bottom"/>
            <w:gridSpan w:val="2"/>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80</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9A.</w:t>
            </w:r>
          </w:p>
        </w:tc>
        <w:tc>
          <w:tcPr>
            <w:tcW w:w="1720" w:type="dxa"/>
            <w:vAlign w:val="bottom"/>
            <w:tcBorders>
              <w:bottom w:val="single" w:sz="8" w:color="0000EE"/>
            </w:tcBorders>
            <w:gridSpan w:val="8"/>
          </w:tcPr>
          <w:p>
            <w:pPr>
              <w:spacing w:after="0" w:line="189" w:lineRule="exact"/>
              <w:rPr>
                <w:rFonts w:ascii="Arial" w:cs="Arial" w:eastAsia="Arial" w:hAnsi="Arial"/>
                <w:sz w:val="17"/>
                <w:szCs w:val="17"/>
                <w:color w:val="0000EE"/>
                <w:w w:val="90"/>
              </w:rPr>
            </w:pPr>
            <w:hyperlink w:anchor="page80">
              <w:r>
                <w:rPr>
                  <w:rFonts w:ascii="Arial" w:cs="Arial" w:eastAsia="Arial" w:hAnsi="Arial"/>
                  <w:sz w:val="17"/>
                  <w:szCs w:val="17"/>
                  <w:color w:val="0000EE"/>
                  <w:w w:val="90"/>
                </w:rPr>
                <w:t>Controls and Procedures</w:t>
              </w:r>
            </w:hyperlink>
          </w:p>
        </w:tc>
        <w:tc>
          <w:tcPr>
            <w:tcW w:w="6980" w:type="dxa"/>
            <w:vAlign w:val="bottom"/>
            <w:gridSpan w:val="22"/>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80</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9B.</w:t>
            </w:r>
          </w:p>
        </w:tc>
        <w:tc>
          <w:tcPr>
            <w:tcW w:w="8700" w:type="dxa"/>
            <w:vAlign w:val="bottom"/>
            <w:gridSpan w:val="30"/>
          </w:tcPr>
          <w:p>
            <w:pPr>
              <w:spacing w:after="0" w:line="189" w:lineRule="exact"/>
              <w:rPr>
                <w:rFonts w:ascii="Arial" w:cs="Arial" w:eastAsia="Arial" w:hAnsi="Arial"/>
                <w:sz w:val="17"/>
                <w:szCs w:val="17"/>
                <w:color w:val="0000EE"/>
              </w:rPr>
            </w:pPr>
            <w:hyperlink w:anchor="page83">
              <w:r>
                <w:rPr>
                  <w:rFonts w:ascii="Arial" w:cs="Arial" w:eastAsia="Arial" w:hAnsi="Arial"/>
                  <w:sz w:val="17"/>
                  <w:szCs w:val="17"/>
                  <w:color w:val="0000EE"/>
                </w:rPr>
                <w:t>Other Information</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83</w:t>
            </w:r>
          </w:p>
        </w:tc>
      </w:tr>
      <w:tr>
        <w:trPr>
          <w:trHeight w:val="307"/>
        </w:trPr>
        <w:tc>
          <w:tcPr>
            <w:tcW w:w="9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10"/>
          </w:tcPr>
          <w:p>
            <w:pPr>
              <w:jc w:val="center"/>
              <w:ind w:right="3140"/>
              <w:spacing w:after="0"/>
              <w:rPr>
                <w:rFonts w:ascii="Arial" w:cs="Arial" w:eastAsia="Arial" w:hAnsi="Arial"/>
                <w:sz w:val="17"/>
                <w:szCs w:val="17"/>
                <w:b w:val="1"/>
                <w:bCs w:val="1"/>
                <w:color w:val="0000EE"/>
              </w:rPr>
            </w:pPr>
            <w:hyperlink w:anchor="page84">
              <w:r>
                <w:rPr>
                  <w:rFonts w:ascii="Arial" w:cs="Arial" w:eastAsia="Arial" w:hAnsi="Arial"/>
                  <w:sz w:val="17"/>
                  <w:szCs w:val="17"/>
                  <w:b w:val="1"/>
                  <w:bCs w:val="1"/>
                  <w:color w:val="0000EE"/>
                </w:rPr>
                <w:t>PART III</w:t>
              </w:r>
            </w:hyperlink>
          </w:p>
        </w:tc>
        <w:tc>
          <w:tcPr>
            <w:tcW w:w="1840" w:type="dxa"/>
            <w:vAlign w:val="bottom"/>
          </w:tcPr>
          <w:p>
            <w:pPr>
              <w:spacing w:after="0"/>
              <w:rPr>
                <w:sz w:val="24"/>
                <w:szCs w:val="24"/>
                <w:color w:val="auto"/>
              </w:rPr>
            </w:pPr>
          </w:p>
        </w:tc>
      </w:tr>
      <w:tr>
        <w:trPr>
          <w:trHeight w:val="307"/>
        </w:trPr>
        <w:tc>
          <w:tcPr>
            <w:tcW w:w="900" w:type="dxa"/>
            <w:vAlign w:val="bottom"/>
          </w:tcPr>
          <w:p>
            <w:pPr>
              <w:spacing w:after="0"/>
              <w:rPr>
                <w:sz w:val="20"/>
                <w:szCs w:val="20"/>
                <w:color w:val="auto"/>
              </w:rPr>
            </w:pPr>
            <w:r>
              <w:rPr>
                <w:rFonts w:ascii="Arial" w:cs="Arial" w:eastAsia="Arial" w:hAnsi="Arial"/>
                <w:sz w:val="17"/>
                <w:szCs w:val="17"/>
                <w:color w:val="auto"/>
              </w:rPr>
              <w:t>10.</w:t>
            </w:r>
          </w:p>
        </w:tc>
        <w:tc>
          <w:tcPr>
            <w:tcW w:w="4640" w:type="dxa"/>
            <w:vAlign w:val="bottom"/>
            <w:gridSpan w:val="21"/>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Directors, Executive Officers and Corporate Governance</w:t>
              </w:r>
            </w:hyperlink>
          </w:p>
        </w:tc>
        <w:tc>
          <w:tcPr>
            <w:tcW w:w="720" w:type="dxa"/>
            <w:vAlign w:val="bottom"/>
            <w:tcBorders>
              <w:top w:val="single" w:sz="8" w:color="0000EE"/>
            </w:tcBorders>
            <w:gridSpan w:val="3"/>
          </w:tcPr>
          <w:p>
            <w:pPr>
              <w:spacing w:after="0"/>
              <w:rPr>
                <w:sz w:val="24"/>
                <w:szCs w:val="24"/>
                <w:color w:val="auto"/>
              </w:rPr>
            </w:pPr>
          </w:p>
        </w:tc>
        <w:tc>
          <w:tcPr>
            <w:tcW w:w="3340" w:type="dxa"/>
            <w:vAlign w:val="bottom"/>
            <w:gridSpan w:val="6"/>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11.</w:t>
            </w:r>
          </w:p>
        </w:tc>
        <w:tc>
          <w:tcPr>
            <w:tcW w:w="39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84">
              <w:r>
                <w:rPr>
                  <w:rFonts w:ascii="Arial" w:cs="Arial" w:eastAsia="Arial" w:hAnsi="Arial"/>
                  <w:sz w:val="17"/>
                  <w:szCs w:val="17"/>
                  <w:color w:val="0000EE"/>
                </w:rPr>
                <w:t>Executive Compensation</w:t>
              </w:r>
            </w:hyperlink>
          </w:p>
        </w:tc>
        <w:tc>
          <w:tcPr>
            <w:tcW w:w="4740" w:type="dxa"/>
            <w:vAlign w:val="bottom"/>
            <w:gridSpan w:val="12"/>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20"/>
        </w:trPr>
        <w:tc>
          <w:tcPr>
            <w:tcW w:w="90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12.</w:t>
            </w:r>
          </w:p>
        </w:tc>
        <w:tc>
          <w:tcPr>
            <w:tcW w:w="8700" w:type="dxa"/>
            <w:vAlign w:val="bottom"/>
            <w:gridSpan w:val="30"/>
          </w:tcPr>
          <w:p>
            <w:pPr>
              <w:spacing w:after="0" w:line="189" w:lineRule="exact"/>
              <w:rPr>
                <w:rFonts w:ascii="Arial" w:cs="Arial" w:eastAsia="Arial" w:hAnsi="Arial"/>
                <w:sz w:val="17"/>
                <w:szCs w:val="17"/>
                <w:color w:val="0000EE"/>
              </w:rPr>
            </w:pPr>
            <w:hyperlink w:anchor="page84">
              <w:r>
                <w:rPr>
                  <w:rFonts w:ascii="Arial" w:cs="Arial" w:eastAsia="Arial" w:hAnsi="Arial"/>
                  <w:sz w:val="17"/>
                  <w:szCs w:val="17"/>
                  <w:color w:val="0000EE"/>
                </w:rPr>
                <w:t>Security Ownership of Certain Beneficial Owners and Management and Related Stockholder Matters</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13.</w:t>
            </w:r>
          </w:p>
        </w:tc>
        <w:tc>
          <w:tcPr>
            <w:tcW w:w="7060" w:type="dxa"/>
            <w:vAlign w:val="bottom"/>
            <w:tcBorders>
              <w:top w:val="single" w:sz="8" w:color="0000EE"/>
            </w:tcBorders>
            <w:gridSpan w:val="29"/>
          </w:tcPr>
          <w:p>
            <w:pPr>
              <w:spacing w:after="0" w:line="189" w:lineRule="exact"/>
              <w:rPr>
                <w:rFonts w:ascii="Arial" w:cs="Arial" w:eastAsia="Arial" w:hAnsi="Arial"/>
                <w:sz w:val="17"/>
                <w:szCs w:val="17"/>
                <w:color w:val="0000EE"/>
              </w:rPr>
            </w:pPr>
            <w:hyperlink w:anchor="page85">
              <w:r>
                <w:rPr>
                  <w:rFonts w:ascii="Arial" w:cs="Arial" w:eastAsia="Arial" w:hAnsi="Arial"/>
                  <w:sz w:val="17"/>
                  <w:szCs w:val="17"/>
                  <w:color w:val="0000EE"/>
                </w:rPr>
                <w:t>Certain Relationships and Related Party Transactions and Director Independence</w:t>
              </w:r>
            </w:hyperlink>
          </w:p>
        </w:tc>
        <w:tc>
          <w:tcPr>
            <w:tcW w:w="1640" w:type="dxa"/>
            <w:vAlign w:val="bottom"/>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85</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14.</w:t>
            </w:r>
          </w:p>
        </w:tc>
        <w:tc>
          <w:tcPr>
            <w:tcW w:w="5640" w:type="dxa"/>
            <w:vAlign w:val="bottom"/>
            <w:tcBorders>
              <w:top w:val="single" w:sz="8" w:color="0000EE"/>
            </w:tcBorders>
            <w:gridSpan w:val="26"/>
          </w:tcPr>
          <w:p>
            <w:pPr>
              <w:spacing w:after="0" w:line="189" w:lineRule="exact"/>
              <w:rPr>
                <w:rFonts w:ascii="Arial" w:cs="Arial" w:eastAsia="Arial" w:hAnsi="Arial"/>
                <w:sz w:val="17"/>
                <w:szCs w:val="17"/>
                <w:color w:val="0000EE"/>
              </w:rPr>
            </w:pPr>
            <w:hyperlink w:anchor="page85">
              <w:r>
                <w:rPr>
                  <w:rFonts w:ascii="Arial" w:cs="Arial" w:eastAsia="Arial" w:hAnsi="Arial"/>
                  <w:sz w:val="17"/>
                  <w:szCs w:val="17"/>
                  <w:color w:val="0000EE"/>
                </w:rPr>
                <w:t>Principal Accounting Fees and Services</w:t>
              </w:r>
            </w:hyperlink>
          </w:p>
        </w:tc>
        <w:tc>
          <w:tcPr>
            <w:tcW w:w="3060" w:type="dxa"/>
            <w:vAlign w:val="bottom"/>
            <w:gridSpan w:val="4"/>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85</w:t>
            </w:r>
          </w:p>
        </w:tc>
      </w:tr>
      <w:tr>
        <w:trPr>
          <w:trHeight w:val="307"/>
        </w:trPr>
        <w:tc>
          <w:tcPr>
            <w:tcW w:w="9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tcPr>
          <w:p>
            <w:pPr>
              <w:jc w:val="center"/>
              <w:spacing w:after="0"/>
              <w:rPr>
                <w:rFonts w:ascii="Arial" w:cs="Arial" w:eastAsia="Arial" w:hAnsi="Arial"/>
                <w:sz w:val="17"/>
                <w:szCs w:val="17"/>
                <w:b w:val="1"/>
                <w:bCs w:val="1"/>
                <w:color w:val="0000EE"/>
              </w:rPr>
            </w:pPr>
            <w:hyperlink w:anchor="page86">
              <w:r>
                <w:rPr>
                  <w:rFonts w:ascii="Arial" w:cs="Arial" w:eastAsia="Arial" w:hAnsi="Arial"/>
                  <w:sz w:val="17"/>
                  <w:szCs w:val="17"/>
                  <w:b w:val="1"/>
                  <w:bCs w:val="1"/>
                  <w:color w:val="0000EE"/>
                </w:rPr>
                <w:t>PART IV</w:t>
              </w:r>
            </w:hyperlink>
          </w:p>
        </w:tc>
        <w:tc>
          <w:tcPr>
            <w:tcW w:w="3360" w:type="dxa"/>
            <w:vAlign w:val="bottom"/>
            <w:gridSpan w:val="7"/>
          </w:tcPr>
          <w:p>
            <w:pPr>
              <w:spacing w:after="0"/>
              <w:rPr>
                <w:sz w:val="24"/>
                <w:szCs w:val="24"/>
                <w:color w:val="auto"/>
              </w:rPr>
            </w:pPr>
          </w:p>
        </w:tc>
        <w:tc>
          <w:tcPr>
            <w:tcW w:w="1840" w:type="dxa"/>
            <w:vAlign w:val="bottom"/>
          </w:tcPr>
          <w:p>
            <w:pPr>
              <w:spacing w:after="0"/>
              <w:rPr>
                <w:sz w:val="24"/>
                <w:szCs w:val="24"/>
                <w:color w:val="auto"/>
              </w:rPr>
            </w:pPr>
          </w:p>
        </w:tc>
      </w:tr>
      <w:tr>
        <w:trPr>
          <w:trHeight w:val="307"/>
        </w:trPr>
        <w:tc>
          <w:tcPr>
            <w:tcW w:w="900" w:type="dxa"/>
            <w:vAlign w:val="bottom"/>
          </w:tcPr>
          <w:p>
            <w:pPr>
              <w:spacing w:after="0"/>
              <w:rPr>
                <w:sz w:val="20"/>
                <w:szCs w:val="20"/>
                <w:color w:val="auto"/>
              </w:rPr>
            </w:pPr>
            <w:r>
              <w:rPr>
                <w:rFonts w:ascii="Arial" w:cs="Arial" w:eastAsia="Arial" w:hAnsi="Arial"/>
                <w:sz w:val="17"/>
                <w:szCs w:val="17"/>
                <w:color w:val="auto"/>
              </w:rPr>
              <w:t>15.</w:t>
            </w:r>
          </w:p>
        </w:tc>
        <w:tc>
          <w:tcPr>
            <w:tcW w:w="3060" w:type="dxa"/>
            <w:vAlign w:val="bottom"/>
            <w:tcBorders>
              <w:bottom w:val="single" w:sz="8" w:color="0000EE"/>
            </w:tcBorders>
            <w:gridSpan w:val="15"/>
          </w:tcPr>
          <w:p>
            <w:pPr>
              <w:spacing w:after="0"/>
              <w:rPr>
                <w:rFonts w:ascii="Arial" w:cs="Arial" w:eastAsia="Arial" w:hAnsi="Arial"/>
                <w:sz w:val="17"/>
                <w:szCs w:val="17"/>
                <w:color w:val="0000EE"/>
                <w:w w:val="91"/>
              </w:rPr>
            </w:pPr>
            <w:hyperlink w:anchor="page86">
              <w:r>
                <w:rPr>
                  <w:rFonts w:ascii="Arial" w:cs="Arial" w:eastAsia="Arial" w:hAnsi="Arial"/>
                  <w:sz w:val="17"/>
                  <w:szCs w:val="17"/>
                  <w:color w:val="0000EE"/>
                  <w:w w:val="91"/>
                </w:rPr>
                <w:t>Exhibits and Financial Statement Schedules</w:t>
              </w:r>
            </w:hyperlink>
          </w:p>
        </w:tc>
        <w:tc>
          <w:tcPr>
            <w:tcW w:w="5640" w:type="dxa"/>
            <w:vAlign w:val="bottom"/>
            <w:gridSpan w:val="1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190"/>
        </w:trPr>
        <w:tc>
          <w:tcPr>
            <w:tcW w:w="900" w:type="dxa"/>
            <w:vAlign w:val="bottom"/>
          </w:tcPr>
          <w:p>
            <w:pPr>
              <w:spacing w:after="0" w:line="189" w:lineRule="exact"/>
              <w:rPr>
                <w:sz w:val="20"/>
                <w:szCs w:val="20"/>
                <w:color w:val="auto"/>
              </w:rPr>
            </w:pPr>
            <w:r>
              <w:rPr>
                <w:rFonts w:ascii="Arial" w:cs="Arial" w:eastAsia="Arial" w:hAnsi="Arial"/>
                <w:sz w:val="17"/>
                <w:szCs w:val="17"/>
                <w:color w:val="auto"/>
              </w:rPr>
              <w:t>16.</w:t>
            </w:r>
          </w:p>
        </w:tc>
        <w:tc>
          <w:tcPr>
            <w:tcW w:w="8700" w:type="dxa"/>
            <w:vAlign w:val="bottom"/>
            <w:gridSpan w:val="30"/>
          </w:tcPr>
          <w:p>
            <w:pPr>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Form 10-K Summary</w:t>
              </w:r>
            </w:hyperlink>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90</w:t>
            </w:r>
          </w:p>
        </w:tc>
      </w:tr>
      <w:tr>
        <w:trPr>
          <w:trHeight w:val="190"/>
        </w:trPr>
        <w:tc>
          <w:tcPr>
            <w:tcW w:w="90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bottom w:val="single" w:sz="8" w:color="0000EE"/>
            </w:tcBorders>
            <w:gridSpan w:val="5"/>
          </w:tcPr>
          <w:p>
            <w:pPr>
              <w:jc w:val="center"/>
              <w:spacing w:after="0" w:line="189" w:lineRule="exact"/>
              <w:rPr>
                <w:rFonts w:ascii="Arial" w:cs="Arial" w:eastAsia="Arial" w:hAnsi="Arial"/>
                <w:sz w:val="17"/>
                <w:szCs w:val="17"/>
                <w:b w:val="1"/>
                <w:bCs w:val="1"/>
                <w:color w:val="0000EE"/>
              </w:rPr>
            </w:pPr>
            <w:hyperlink w:anchor="page91">
              <w:r>
                <w:rPr>
                  <w:rFonts w:ascii="Arial" w:cs="Arial" w:eastAsia="Arial" w:hAnsi="Arial"/>
                  <w:sz w:val="17"/>
                  <w:szCs w:val="17"/>
                  <w:b w:val="1"/>
                  <w:bCs w:val="1"/>
                  <w:color w:val="0000EE"/>
                </w:rPr>
                <w:t>SIGNATURES</w:t>
              </w:r>
            </w:hyperlink>
          </w:p>
        </w:tc>
        <w:tc>
          <w:tcPr>
            <w:tcW w:w="3140" w:type="dxa"/>
            <w:vAlign w:val="bottom"/>
            <w:gridSpan w:val="5"/>
          </w:tcPr>
          <w:p>
            <w:pPr>
              <w:spacing w:after="0"/>
              <w:rPr>
                <w:sz w:val="16"/>
                <w:szCs w:val="16"/>
                <w:color w:val="auto"/>
              </w:rPr>
            </w:pPr>
          </w:p>
        </w:tc>
        <w:tc>
          <w:tcPr>
            <w:tcW w:w="1840" w:type="dxa"/>
            <w:vAlign w:val="bottom"/>
          </w:tcPr>
          <w:p>
            <w:pPr>
              <w:jc w:val="right"/>
              <w:spacing w:after="0" w:line="189" w:lineRule="exact"/>
              <w:rPr>
                <w:sz w:val="20"/>
                <w:szCs w:val="20"/>
                <w:color w:val="auto"/>
              </w:rPr>
            </w:pPr>
            <w:r>
              <w:rPr>
                <w:rFonts w:ascii="Arial" w:cs="Arial" w:eastAsia="Arial" w:hAnsi="Arial"/>
                <w:sz w:val="17"/>
                <w:szCs w:val="17"/>
                <w:color w:val="auto"/>
              </w:rPr>
              <w:t>91</w:t>
            </w:r>
          </w:p>
        </w:tc>
      </w:tr>
      <w:tr>
        <w:trPr>
          <w:trHeight w:val="595"/>
        </w:trPr>
        <w:tc>
          <w:tcPr>
            <w:tcW w:w="900" w:type="dxa"/>
            <w:vAlign w:val="bottom"/>
          </w:tcPr>
          <w:p>
            <w:pPr>
              <w:spacing w:after="0"/>
              <w:rPr>
                <w:sz w:val="24"/>
                <w:szCs w:val="24"/>
                <w:color w:val="auto"/>
              </w:rPr>
            </w:pPr>
          </w:p>
        </w:tc>
        <w:tc>
          <w:tcPr>
            <w:tcW w:w="5340" w:type="dxa"/>
            <w:vAlign w:val="bottom"/>
            <w:gridSpan w:val="23"/>
          </w:tcPr>
          <w:p>
            <w:pPr>
              <w:ind w:left="478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1"/>
        </w:trPr>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STATEMENT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INFORMATION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"estimate," "expect," "intend," "could,"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78" w:lineRule="exact"/>
        <w:rPr>
          <w:sz w:val="20"/>
          <w:szCs w:val="20"/>
          <w:color w:val="auto"/>
        </w:rPr>
      </w:pPr>
    </w:p>
    <w:p>
      <w:pPr>
        <w:ind w:left="1180" w:hanging="586"/>
        <w:spacing w:after="0" w:line="289"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our operating results because of, among other things, changes in occupancy levels, competition, contract renegotiations or terminations, increases in costs of operations, fluctuations in interest rates, and risks of operations;</w:t>
      </w:r>
    </w:p>
    <w:p>
      <w:pPr>
        <w:spacing w:after="0" w:line="53"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privatization of the corrections and detention industry and the public acceptance of our services;</w:t>
      </w:r>
    </w:p>
    <w:p>
      <w:pPr>
        <w:spacing w:after="0" w:line="118" w:lineRule="exact"/>
        <w:rPr>
          <w:rFonts w:ascii="Arial" w:cs="Arial" w:eastAsia="Arial" w:hAnsi="Arial"/>
          <w:sz w:val="17"/>
          <w:szCs w:val="17"/>
          <w:color w:val="auto"/>
        </w:rPr>
      </w:pPr>
    </w:p>
    <w:p>
      <w:pPr>
        <w:jc w:val="both"/>
        <w:ind w:left="1180" w:hanging="586"/>
        <w:spacing w:after="0" w:line="297"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and maintain correctional, detention, and residential reentry facility management contracts because of reasons including, but not limited to, sufficient governmental appropriations, contract compliance, negative publicity, effects of inmate disturbances, and the timing of the opening of new facilities and the commencement of new management contracts as well as our ability to utilize current available beds;</w:t>
      </w:r>
    </w:p>
    <w:p>
      <w:pPr>
        <w:spacing w:after="0" w:line="50" w:lineRule="exact"/>
        <w:rPr>
          <w:rFonts w:ascii="Arial" w:cs="Arial" w:eastAsia="Arial" w:hAnsi="Arial"/>
          <w:sz w:val="16"/>
          <w:szCs w:val="16"/>
          <w:color w:val="auto"/>
        </w:rPr>
      </w:pPr>
    </w:p>
    <w:p>
      <w:pPr>
        <w:jc w:val="both"/>
        <w:ind w:left="1180" w:hanging="586"/>
        <w:spacing w:after="0" w:line="273"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increases in costs to develop or expand correctional, detention, and residential reentry facilities that exceed original estimates, or the inability to complete such projects on schedule as a result of various factors, many of which are beyond our control, such as weather, labor conditions, cost inflation, and material shortages, resulting in increased construction costs;</w:t>
      </w:r>
    </w:p>
    <w:p>
      <w:pPr>
        <w:spacing w:after="0" w:line="66" w:lineRule="exact"/>
        <w:rPr>
          <w:rFonts w:ascii="Arial" w:cs="Arial" w:eastAsia="Arial" w:hAnsi="Arial"/>
          <w:sz w:val="17"/>
          <w:szCs w:val="17"/>
          <w:color w:val="auto"/>
        </w:rPr>
      </w:pPr>
    </w:p>
    <w:p>
      <w:pPr>
        <w:jc w:val="both"/>
        <w:ind w:left="1180" w:hanging="586"/>
        <w:spacing w:after="0" w:line="263"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government policy, legislation and regulations that affect utilization of the private sector for corrections, detention, and residential reentry services, in general, or our business, in particular, including, but not limited to, California's utilization of out-of-state contracted correctional capacity and the continued utilization of the South Texas Family Residential Center by U.S. Immigration and Customs Enforcement, or ICE, under terms of the current contract, and the impact of any changes to immigration reform and sentencing laws (Our company does not, under longstanding policy, lobby for or against policies or legislation that would determine the basis for, or duration of, an individual's incarceration or detention.);</w:t>
      </w:r>
    </w:p>
    <w:p>
      <w:pPr>
        <w:spacing w:after="0" w:line="76"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integrate operations of our acquisitions and realize projected returns resulting therefrom;</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meet and maintain qualification for taxation as a real estate investment trust, or REIT; and</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debt and equity financing on terms that are favorable to us.</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67" w:lineRule="auto"/>
        <w:rPr>
          <w:sz w:val="20"/>
          <w:szCs w:val="20"/>
          <w:color w:val="auto"/>
        </w:rPr>
      </w:pPr>
      <w:r>
        <w:rPr>
          <w:rFonts w:ascii="Arial" w:cs="Arial" w:eastAsia="Arial" w:hAnsi="Arial"/>
          <w:sz w:val="17"/>
          <w:szCs w:val="17"/>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forward-looking statements speak only as of the date made. We undertake no obligation to publicly update or revise forward-looking statements, whether as a result of new information, future events or otherwise. All subsequent written and oral forward-looking statements attributable to us or persons acting on our behalf are expressly qualified in their entirety by the cautionary statements contained in this Annual Report.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flexible, cost-effective ways. Through three business offerings, CoreCivic Safety, CoreCivic Properties, and CoreCivic Community, we provide a broad range of solutions to government partners that serve the public good through corrections and detention management, government real estate solutions, and a growing network of residential reentry centers to help address America's recidivism crisis. We have been a flexible and dependable partner for government for more than 30 years. Our employees are driven by a deep sense of service, high standards of professionalism and a responsibility to help government better the public good.</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Structured as a REIT, we are one of the nation's largest owners of partnership correctional, detention, and residential reentry facilities and one of the largest prison operators in the United States. We also believe we are the largest private owner of real estate used by government agencies. As of December 31, 2017, we owned and managed 70 correctional, detention, and residential reentry facilities, and managed an additional seven correctional and detention facilities owned by our government partners, with a total design capacity of approximately 78,000 beds in 19 states. In addition, as of December 31, 2017, we owned 12 properties leased to third parties and used by government agencies, totaling 1.1 million square feet in five states.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are a Maryland corporation formed in 1983. Our principal executive offices are located at 10 Burton Hills Boulevard, Nashville, Tennessee, 37215, and our telephone number at that location is (615) 263-3000. Our website address is </w:t>
      </w:r>
      <w:r>
        <w:rPr>
          <w:rFonts w:ascii="Arial" w:cs="Arial" w:eastAsia="Arial" w:hAnsi="Arial"/>
          <w:sz w:val="17"/>
          <w:szCs w:val="17"/>
          <w:u w:val="single" w:color="auto"/>
          <w:color w:val="auto"/>
        </w:rPr>
        <w:t>www.corecivic.com</w:t>
      </w:r>
      <w:r>
        <w:rPr>
          <w:rFonts w:ascii="Arial" w:cs="Arial" w:eastAsia="Arial" w:hAnsi="Arial"/>
          <w:sz w:val="17"/>
          <w:szCs w:val="17"/>
          <w:color w:val="auto"/>
        </w:rPr>
        <w:t>.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Annual Report.</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began operating as a REIT effective January 1, 2013. We provide services and conduct other business activities through taxable REIT subsidiaries, or TRSs. A TRS is a subsidiary of a REIT that is subject to applicable corporate income tax and certain qualification requirements. Our use of TRSs enables us to comply with REIT qualification requirements while providing correctional services at facilities we own and at facilities owned by our government partners and to engage in certain other business operations. A TRS is not subject to the distribution requirements applicable to REITs so it may retain income generated by its operations for reinvestment.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REIT, we generally are not subject to federal income taxes on our REIT taxable income and gains that we distribute to our stockholders, including the income derived from our real estate and dividends we earn from our TRSs. However, our TRSs will be required to pay income taxes on their earnings at regular corporate income tax rates.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customers primarily consist of federal, state, and local correctional and detention authorities. Federal correctional and detention authorities primarily consist of the Federal Bureau of Prisons, or the BOP, the United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89" w:lineRule="auto"/>
        <w:rPr>
          <w:sz w:val="20"/>
          <w:szCs w:val="20"/>
          <w:color w:val="auto"/>
        </w:rPr>
      </w:pPr>
      <w:r>
        <w:rPr>
          <w:rFonts w:ascii="Arial" w:cs="Arial" w:eastAsia="Arial" w:hAnsi="Arial"/>
          <w:sz w:val="17"/>
          <w:szCs w:val="17"/>
          <w:color w:val="auto"/>
        </w:rPr>
        <w:t>States Marshals Service, or the USMS, and ICE. Payments by federal correctional and detention authorities represented 48%, 52%, and 51% of our total revenue for the years ended December 31, 2017, 2016, and 2015, respectively.</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customer contracts typically have terms of three to five years and contain multiple renewal options. Most of our facility contracts also contain clauses that allow the government agency to terminate the contract at any time without cause, and our facility contracts and government lease agreements are generally subject to annual or bi-annual legislative appropriations of funds.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The average compensated occupancy of our facilities, based on rated capacity was as follows for the years 2017, 2016, and 2015:</w:t>
      </w: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5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r>
      <w:tr>
        <w:trPr>
          <w:trHeight w:val="216"/>
        </w:trPr>
        <w:tc>
          <w:tcPr>
            <w:tcW w:w="5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Owned and managed facilities</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77%</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80%</w:t>
            </w:r>
          </w:p>
        </w:tc>
      </w:tr>
      <w:tr>
        <w:trPr>
          <w:trHeight w:val="222"/>
        </w:trPr>
        <w:tc>
          <w:tcPr>
            <w:tcW w:w="5200" w:type="dxa"/>
            <w:vAlign w:val="bottom"/>
          </w:tcPr>
          <w:p>
            <w:pPr>
              <w:spacing w:after="0"/>
              <w:rPr>
                <w:sz w:val="20"/>
                <w:szCs w:val="20"/>
                <w:color w:val="auto"/>
              </w:rPr>
            </w:pPr>
            <w:r>
              <w:rPr>
                <w:rFonts w:ascii="Arial" w:cs="Arial" w:eastAsia="Arial" w:hAnsi="Arial"/>
                <w:sz w:val="17"/>
                <w:szCs w:val="17"/>
                <w:color w:val="auto"/>
              </w:rPr>
              <w:t>Managed-only facilities</w:t>
            </w:r>
          </w:p>
        </w:tc>
        <w:tc>
          <w:tcPr>
            <w:tcW w:w="7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95%</w:t>
            </w: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94%</w:t>
            </w:r>
          </w:p>
        </w:tc>
      </w:tr>
      <w:tr>
        <w:trPr>
          <w:trHeight w:val="20"/>
        </w:trPr>
        <w:tc>
          <w:tcPr>
            <w:tcW w:w="5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6"/>
        </w:trPr>
        <w:tc>
          <w:tcPr>
            <w:tcW w:w="52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operating facilities</w:t>
            </w: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79%</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83%</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average compensated occupancy of our owned and managed facilities, excluding idled facilities, was 89%, 87%, and 89% for 2017, 2016, and 2015, respectively.</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lease facilities to governmental agencies and third-party operators where our occupancy percentage is based on leased square feet rather than bed capacity. These facilities generated 6%, 5%, and 5% of our facility net operating income, which we define as a facility's operating income or loss from operations before interest, taxes, asset impairments, depreciation, and amortization, in 2017, 2016, and 2015, respectively, and the occupancy of these facilities was as follows for the years 2017, 2016, and 2015:</w:t>
      </w: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5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r>
      <w:tr>
        <w:trPr>
          <w:trHeight w:val="216"/>
        </w:trPr>
        <w:tc>
          <w:tcPr>
            <w:tcW w:w="5920" w:type="dxa"/>
            <w:vAlign w:val="bottom"/>
            <w:gridSpan w:val="2"/>
            <w:shd w:val="clear" w:color="auto" w:fill="CFF0FC"/>
          </w:tcPr>
          <w:p>
            <w:pPr>
              <w:jc w:val="right"/>
              <w:ind w:right="4710"/>
              <w:spacing w:after="0"/>
              <w:rPr>
                <w:sz w:val="20"/>
                <w:szCs w:val="20"/>
                <w:color w:val="auto"/>
              </w:rPr>
            </w:pPr>
            <w:r>
              <w:rPr>
                <w:rFonts w:ascii="Arial" w:cs="Arial" w:eastAsia="Arial" w:hAnsi="Arial"/>
                <w:sz w:val="17"/>
                <w:szCs w:val="17"/>
                <w:color w:val="auto"/>
                <w:w w:val="92"/>
              </w:rPr>
              <w:t>Leased portfolio</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w:t>
            </w: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provide transportation services to governmental agencies through TransCor America, LLC, or TransCor, a subsidiary of our wholly-owned TRS. During the years ended December 31, 2017, 2016, and 2015, TransCor generated total revenue of $2.3 million, $2.6 million, and $4.1 million, respectively, or approximately 0.1%, 0.1%, and 0.2% of our total consolidated revenue in 2017, 2016, and 2015, respectively. We believe TransCor provides a complementary service to our core business that enables us to respond quickly to our customers' transportation needs.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Procedures and Offender Services for Correctional, Detention, and Residential Reentry Facilities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terms of our customer contracts, we are responsible for the overall operations of our facilities, including staff recruitment, general administration of the facilities, facility maintenance, security, and supervision of the offenders.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a focus on inmate reentry provides great benefits for our communities – more people living healthy and productive lives and contributing to strong families and local economies. We have committed to evolving our model to focus more and more on reentry services, and we are working hard to equip the men and women in our care with the services, support, and resources they need to be successful.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spacing w:after="0" w:line="285" w:lineRule="auto"/>
        <w:rPr>
          <w:sz w:val="20"/>
          <w:szCs w:val="20"/>
          <w:color w:val="auto"/>
        </w:rPr>
      </w:pPr>
      <w:r>
        <w:rPr>
          <w:rFonts w:ascii="Arial" w:cs="Arial" w:eastAsia="Arial" w:hAnsi="Arial"/>
          <w:sz w:val="16"/>
          <w:szCs w:val="16"/>
          <w:color w:val="auto"/>
        </w:rPr>
        <w:t>To that end, we provide a wide range of evidence-based reentry programs and activities in our facilities. At most of the facilities we manage, offenders have the opportunity to enhance their basic education from literacy through earning a high school equivalency diploma endorsed by their respective state. In some cases, we also provide opportunities for postsecondary educational achievements and chances to participate in college correspondence classes. A number of our facilities that house non-citizens offer adult education curricula recognized by several nations to which these offenders may return, including a curriculum offered in conjunction with the Mexican government. We also provide the Adult Education in Spanish program for offenders with that specific language need.</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offenders who are close to taking their high school equivalency exam (either the GED or the HiSET), we have invested in the equipment needed to use the GED/HiSET Academy software program, which is an offline software program providing over 200 hours of individualized lessons up to the 12</w:t>
      </w:r>
      <w:r>
        <w:rPr>
          <w:rFonts w:ascii="Arial" w:cs="Arial" w:eastAsia="Arial" w:hAnsi="Arial"/>
          <w:sz w:val="13"/>
          <w:szCs w:val="13"/>
          <w:color w:val="auto"/>
        </w:rPr>
        <w:t>th</w:t>
      </w:r>
      <w:r>
        <w:rPr>
          <w:rFonts w:ascii="Arial" w:cs="Arial" w:eastAsia="Arial" w:hAnsi="Arial"/>
          <w:sz w:val="16"/>
          <w:szCs w:val="16"/>
          <w:color w:val="auto"/>
        </w:rPr>
        <w:t xml:space="preserve"> grade. The GED/HiSET Academy incorporates teaching best practices and provides an atmosphere to engage and motivate students to learn everything they need to know to pass the GED/HiSET exam. As an example of the impact we are having, during 2017, the number of offenders in our facilities who passed high school equivalency exams totaled 1,684, an increase of 3% from 2016. In 2017, our Crowley County Correctional Facility and Coffee Correctional Facility led the state systems in Colorado and Georgia, respectively, in GED completions. According to research from the independent RAND Corporation, "Evaluating the Effectiveness of Correctional Education" published in 2013, inmates who obtain GEDs while in prison are 30% less likely to return to prison.</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we offer a broad spectrum of career/technical education opportunities to help individuals learn marketable job skills. Our trade programs are certified by the National Center for Construction Education and Research, or NCCER. NCCER establishes the curriculum and certification for over 4,000 construction and trade organizations. Graduates of these programs enter the job market with certified skills that significantly enhance employability. During 2017, 4,483 offenders in facilities we manage earned career and technical education certificates. We are proud of the educational programs we offer and intend to maintain and develop such programs. For example, near the end of 2016, in coordination with the Georgia Department of Corrections, we developed programs at two facilities in the state to offer courses in welding and diesel truck maintenance, enabling students to earn trade certificates from nearby community colleges. In 2017, 93 students graduated from these programs.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those with assessed substance use disorders, we offer cognitive evidence-based treatment programs with proven clinical outcomes, such as the Residential Drug Abuse Program. We offer both Residential Therapeutic Community models and intensive outpatient programs. We also offer drug and alcohol use education/DWI programs at some of our locations. Our goal in providing substance use treatment is to stimulate internal motivation for change and progress through the stages of change so that lasting behavioral alterations can occur. Our drug and alcohol education programs help participants understand their relationships with drugs and the links between drug use and crime, as well as assisting them in making better choices that can lead to healthier relationships in their lives. In 2017, 1,839 offenders completed substance use disorder programming.</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Additional program offerings include our Victim Impact Programs, available at a number of our facilities, which seek to educate offenders about the negative effects their criminal conduct can have on others. In 2017, seven facilities received training to offer Victim Impact Programs to offenders in both secure and community sites. In addition, in 2017, 455 offenders successfully completed Victim Impact Programs. All of our facilities offer opportunities for worship and/or study for a wide range of faith traditions represented in our populations. Additionally, in many facilities, we offer faith-based programs, with an emphasis on reentry, character development, and spiritual growth. During 2017, we transitioned to the Threshold Program, a multi-faith, evidence-based model, for our faith-based reentry component.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We recently introduced a comprehensive reentry strategy we call "Go Further", a forward thinking, systems approach to reentry. "Go Further" embraces all facility reentry programs, adds a proprietary cognitive/behavioral curriculum, and encourages staff and offenders to take a collaborative approach to assist in reentry preparation. "Go Further" is currently in place in five of our facilities, with plans to add additional facilities in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spacing w:after="0" w:line="322" w:lineRule="auto"/>
        <w:rPr>
          <w:sz w:val="20"/>
          <w:szCs w:val="20"/>
          <w:color w:val="auto"/>
        </w:rPr>
      </w:pPr>
      <w:r>
        <w:rPr>
          <w:rFonts w:ascii="Arial" w:cs="Arial" w:eastAsia="Arial" w:hAnsi="Arial"/>
          <w:sz w:val="16"/>
          <w:szCs w:val="16"/>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Through our community corrections facilities, we provide an array of services to defendants and offenders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offenders successfully reenter their communities and reduce the risk of recidivism.</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some of our community corrections facilities, we offer housing and program services to parolees who have completed their sentence but lack a viable reentry plan. Through a focus on employment and skill development, we provide a means for these parolees to successfully reintegrate into their communities.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Lastly, we provide day-reporting and outpatient substance abuse treatment programs at some of our community corrections facilities. These programs, depending on the needs of the offender, can provide cognitive behavioral-based programs to assist in the offender's successful reentry while holding the individual accountable while living in the community</w:t>
      </w:r>
      <w:r>
        <w:rPr>
          <w:rFonts w:ascii="Arial" w:cs="Arial" w:eastAsia="Arial" w:hAnsi="Arial"/>
          <w:sz w:val="17"/>
          <w:szCs w:val="17"/>
          <w:color w:val="474646"/>
        </w:rPr>
        <w:t>.</w:t>
      </w:r>
    </w:p>
    <w:p>
      <w:pPr>
        <w:spacing w:after="0" w:line="171"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Ultimately, the work we do is about giving people the tools to reintegrate with their communities for good. We are proud of the teachers, counselors, case managers, chaplains, and other inmate support service professionals who provided these extensive services to the men and women entrusted in our care.</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American Correctional Association, or ACA, is an independent organization comprised of corrections professionals that establishes accreditation standards for correctional and detention institutions. Outside agency standards, such as those established by the ACA, provide us with the industry's most widely accepted operational guidelines. ACA accredited facilities must be audited and re-accredited at least every three years. We have sought and received ACA accreditation for 35, or approximately 90%, of the eligible facilities we operated as of December 31, 2017, excluding our residential reentry facilities. During 2017, nine of the facilities we manage were re-accredited by the ACA with an average score of 99.4%, making our portfolio average 99.5%.</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the Occupational Safety and Health Administration, as well as federal, state, and local government codes and regulations and longstanding correctional procedures.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facilities are operated in compliance with the Prison Rape Elimination Act, or PREA, standards, which became effective in August 2013. All confinement facilities covered under the PREA standards must be audited at least every three years to be considered compliant with PREA. Covered facilities include adult prisons and jails, juvenile facilities, lockups (housing detainees overnight), and community confinement facilities, whether operated by the United States Department of Justice, or DOJ, or by a state, local, corporate, or nonprofit authority. We utilize DOJ-certified PREA auditors to help ensure that all facilities operate in compliance with applicable PREA regulations.</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facilities operate under these established standards, policies, and procedures, and also are subject to annual audits by our Quality Assurance Division, or QAD, which operates under the auspices of, and reports directly to, our Office of General Counsel and independently from our Operations Division. Through the QAD, we have devoted significant resources to ensuring that our facilities meet outside agency and accrediting organization standards and guidelines.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QAD employs a team of full-time auditors, who are subject matter experts from all major disciplines within institutional operations. Annually, without advance notice, QAD auditors conduct on-site evaluations of each facility we operate using specialized audit tools, typically containing more than 1,000 audit indicators across all major operational areas. In most instances, these audit tools are tailored to facility and partner specific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both"/>
        <w:spacing w:after="0" w:line="289" w:lineRule="auto"/>
        <w:rPr>
          <w:sz w:val="20"/>
          <w:szCs w:val="20"/>
          <w:color w:val="auto"/>
        </w:rPr>
      </w:pPr>
      <w:r>
        <w:rPr>
          <w:rFonts w:ascii="Arial" w:cs="Arial" w:eastAsia="Arial" w:hAnsi="Arial"/>
          <w:sz w:val="17"/>
          <w:szCs w:val="17"/>
          <w:color w:val="auto"/>
        </w:rPr>
        <w:t>requirements. In addition, audit teams often work with facilities to address specific areas of need, such as meeting requirements of new partner contracts or providing detailed training of new departmental managers.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PREA regulations during audits of company facilities.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Development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believe we own approximately 58% of all privately owned prison beds in the United States, manage nearly 39% of all privately managed prison beds in the United States, and are currently the second largest private owner and provider of community corrections services in the nation. We also believe that we are the largest private owner of real estate used by government agencies. Under the direction of our partnership development department, we market our facilities and services to government agencies responsible for federal, state, and local correctional, detention, and residential reentry facilities in the United States. Under the direction of our real estate department, we intend to continue pursuing the acquisition and development of additional correctional, detention, and residential reentry facilities, as well as other government-leased real estate assets with a bias toward those used to provide mission-critical governmental services that we believe have a favorable investment return, diversify our cash flows, and increase value to our stockholders.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execute cross-departmental efforts to market CoreCivic Safety solutions to government partners that seek corrections and detention management services, CoreCivic Properties solutions to customers that need real estate and maintenance services, and CoreCivic Community solutions to government partners seeking residential reentry services. We also offer government partners a combination of these business offerings, and currently have two government partners utilizing all three.</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As indicated by the following chart, business from our federal customers, including primarily the BOP, USMS, and ICE, continues to be a significant component of our business. The BOP, USMS, and ICE were the only federal partners that accounted for 10% or more of our total revenue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93345</wp:posOffset>
            </wp:positionV>
            <wp:extent cx="4340225" cy="1588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022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decline in federal revenue from 2016 to 2017 was primarily a result of an amendment to the inter-governmental service agreement, or IGSA, associated with our South Texas Family Residential Center, which became effective in the fourth quarter of 2016. See "Management's Discussion and Analysis of Financial Condition and Results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Operations - Results of Operations" for a further discussion regarding our contract at the South Texas Family Residential Center. In addition, populations in federal facilities, particularly within the BOP system nationwide, have declined over the past three years. Inmate populations in the BOP system declined due, in part, to the retroactive application of changes to sentencing guidelines applicable to certain federal drug trafficking offenses.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Despite this decline, we continue to believe utilization of private sector bed capacity and management services provides our federal partners with flexible and cost-effective solutions essential to their missions. For example, in November 2016, we announced that the BOP exercised a two-year renewal option at our 1,978-bed McRae Correctional Facility. The amended agreement commenced on December 1, 2016, and provides for caring for up to 1,724 federal inmates with a fixed monthly payment for 1,633 beds, compared to our previous contract which contained a fixed payment for 1,780 beds. In addition, in July 2017, the BOP exercised a two-year renewal option at our 2,232-bed Adams County Correctional Center. For the year ended December 31, 2017, we generated 5% of our total revenue through the remaining contracts with the BOP at these two correctional facilities.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Further, we believe our ability to provide flexible solutions and fulfill emergent needs of ICE would be very difficult and costly to replicate in the public sector, demonstrated by the contract with ICE at our 2,400-bed South Texas Family Residential Center, which was amended and extended in October 2016. The October 2016 amendment extended the term of the contract through September 2021 and can be further extended by bi-lateral modification. In addition, in December 2016, we announced a new award to provide detention capacity to ICE at our 2,016-bed Northeast Ohio Correctional Center, and in April 2017, we announced a new contract award to provide up to 996 beds to the state of Ohio at this same facility. We previously housed inmates from the BOP at the Northeast Ohio facility under a contract that expired in May 2015. We believe these contracts provide further examples of the marketability of our real estate assets across multiple government customers.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State revenues from contracts at correctional, detention, and residential reentry facilities that we operate constituted 41%, 38%, and 40% of our total revenue during 2017, 2016, and 2015, respectively, and increased 2.4% from $710.4 million during 2016 to $727.8 million during 2017. Approximately 6%, 6%, and 10% of our total revenue for 2017, 2016, and 2015, respectively, was generated from the California Department of Corrections and Rehabilitation, or CDCR, in facilities housing inmates outside the state of California. The CDCR was our only state partner that accounted for 10% or more of our total revenue during these years.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Several of our state partners are projecting improvements in their budgets which has helped us secure recent per diem increases at certain facilities. Further, several of our existing state partners, as well as prospective state partners, are experiencing growth in inmate populations and overcrowded conditions. Although we can provide no assurance that we will enter into any new contracts, we believe we are well positioned to provide them with needed bed capacity, as well as the programming and reentry services they are seeking.</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believe the long-term growth opportunities of our business remain attractive as governments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future demand for the solutions we provide.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We believe that we can further develop our business by, among other things:</w:t>
      </w:r>
    </w:p>
    <w:p>
      <w:pPr>
        <w:spacing w:after="0" w:line="119" w:lineRule="exact"/>
        <w:rPr>
          <w:sz w:val="20"/>
          <w:szCs w:val="20"/>
          <w:color w:val="auto"/>
        </w:rPr>
      </w:pPr>
    </w:p>
    <w:p>
      <w:pPr>
        <w:jc w:val="both"/>
        <w:ind w:left="1180" w:hanging="586"/>
        <w:spacing w:after="0" w:line="322"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and expanding our existing customer relationships and filling existing beds within our facilities, while maintaining an adequate inventory of available beds that we believe provides us with flexibility and a competitive advantage when bidding for new management contracts;</w:t>
      </w:r>
    </w:p>
    <w:p>
      <w:pPr>
        <w:spacing w:after="0" w:line="30" w:lineRule="exact"/>
        <w:rPr>
          <w:rFonts w:ascii="Arial" w:cs="Arial" w:eastAsia="Arial" w:hAnsi="Arial"/>
          <w:sz w:val="16"/>
          <w:szCs w:val="16"/>
          <w:color w:val="auto"/>
        </w:rPr>
      </w:pPr>
    </w:p>
    <w:p>
      <w:pPr>
        <w:ind w:left="1180" w:hanging="58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Enhancing the terms of our existing contracts and expanding the services we provide under those contracts;</w:t>
      </w:r>
    </w:p>
    <w:p>
      <w:pPr>
        <w:spacing w:after="0" w:line="118"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Pursuing additional opportunities to lease our facilities to government and other third-party operators in need of correctional, detention, and residential reentry capacity;</w:t>
      </w:r>
    </w:p>
    <w:p>
      <w:pPr>
        <w:spacing w:after="0" w:line="53" w:lineRule="exact"/>
        <w:rPr>
          <w:rFonts w:ascii="Arial" w:cs="Arial" w:eastAsia="Arial" w:hAnsi="Arial"/>
          <w:sz w:val="17"/>
          <w:szCs w:val="17"/>
          <w:color w:val="auto"/>
        </w:rPr>
      </w:pPr>
    </w:p>
    <w:p>
      <w:pPr>
        <w:ind w:left="1180" w:hanging="586"/>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Pursuing mission-critical real estate solutions for government agencies including, but not limited to, corrections and detention real estate assets;</w:t>
      </w:r>
    </w:p>
    <w:p>
      <w:pPr>
        <w:spacing w:after="0" w:line="130" w:lineRule="exact"/>
        <w:rPr>
          <w:rFonts w:ascii="Arial" w:cs="Arial" w:eastAsia="Arial" w:hAnsi="Arial"/>
          <w:sz w:val="16"/>
          <w:szCs w:val="16"/>
          <w:color w:val="auto"/>
        </w:rPr>
      </w:pPr>
    </w:p>
    <w:p>
      <w:pPr>
        <w:ind w:left="1180" w:hanging="58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Pursuing other asset acquisitions and business combinations through transactions with non-government third parties;</w:t>
      </w:r>
    </w:p>
    <w:p>
      <w:pPr>
        <w:spacing w:after="0" w:line="118"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Maintaining and expanding our focus on community corrections and reentry programming that align with the needs of our government partners; and</w:t>
      </w:r>
    </w:p>
    <w:p>
      <w:pPr>
        <w:spacing w:after="0" w:line="53"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Establishing relationships with new customers that have either previously not outsourced their correctional facility management needs or have utilized other private enterprises.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firm believed to be able to provide the requested bed capacity, if needed, and most qualified to provide the requested services and then negotiates the price and terms of the contract with that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2017 Accomplishments</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 2017, we entered into a number of new contracts, renewed several other significant contracts, and completed numerous other transactions and milestones, including the following:</w:t>
      </w:r>
    </w:p>
    <w:p>
      <w:pPr>
        <w:spacing w:after="0" w:line="53" w:lineRule="exact"/>
        <w:rPr>
          <w:sz w:val="20"/>
          <w:szCs w:val="20"/>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acquisition of Arapahoe Community Treatment Center, a 135-bed residential reentry center in Colorado.</w:t>
      </w:r>
    </w:p>
    <w:p>
      <w:pPr>
        <w:spacing w:after="0" w:line="118"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acquisition of the Stockton Female Community Corrections Facility, a 100-bed residential reentry center in California, which is leased to a third-party operator. The lessee separately contracts with the CDCR.</w:t>
      </w:r>
    </w:p>
    <w:p>
      <w:pPr>
        <w:spacing w:after="0" w:line="53"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Announced a new contract with the state of Ohio to care for up to an additional 996 offenders at our 2,016-bed Northeast Ohio Correctional Center. The initial term of the contract continues through June 2032 with unlimited renewal options, subject to appropriations and mutual agreement.</w:t>
      </w:r>
    </w:p>
    <w:p>
      <w:pPr>
        <w:spacing w:after="0" w:line="66"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acquisition of the real estate operated by Center Point, Inc., or Center Point, a California-based non-profit organization. We consolidated a portion of Center Point's operations into our preexisting residential reentry center portfolio and assumed ownership and operations of a 200-bed residential reentry center in Oklahoma.</w:t>
      </w:r>
    </w:p>
    <w:p>
      <w:pPr>
        <w:spacing w:after="0" w:line="66"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Executed a new three-year contract with the City of Mesa, Arizona to care for up to 200 offenders at our 4,128-bed Central Arizona Florence Correctional Complex.</w:t>
      </w:r>
    </w:p>
    <w:p>
      <w:pPr>
        <w:spacing w:after="0" w:line="53"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acquisition of New Beginnings Treatment Center, Inc., an Arizona-based community corrections company. In connection with the acquisition, we assumed a contract with the BOP to provide reentry services at a 92-bed residential reentry center in Arizona.</w:t>
      </w:r>
    </w:p>
    <w:p>
      <w:pPr>
        <w:spacing w:after="0" w:line="53" w:lineRule="exact"/>
        <w:rPr>
          <w:rFonts w:ascii="Arial" w:cs="Arial" w:eastAsia="Arial" w:hAnsi="Arial"/>
          <w:sz w:val="17"/>
          <w:szCs w:val="17"/>
          <w:color w:val="auto"/>
        </w:rPr>
      </w:pPr>
    </w:p>
    <w:p>
      <w:pPr>
        <w:jc w:val="both"/>
        <w:ind w:left="1180" w:hanging="586"/>
        <w:spacing w:after="0" w:line="267"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acquisition of a portfolio of four properties, including a 230-bed residential reentry center leased to the state of Georgia and three properties in North Carolina and Georgia leased to the General Services Administration, or GSA, an independent agency of the United States government, two of which are occupied by the Social Security Administration, or SSA, and one of which is occupied by the Internal Revenue Service, or IRS.</w:t>
      </w:r>
    </w:p>
    <w:p>
      <w:pPr>
        <w:spacing w:after="0" w:line="72" w:lineRule="exact"/>
        <w:rPr>
          <w:rFonts w:ascii="Arial" w:cs="Arial" w:eastAsia="Arial" w:hAnsi="Arial"/>
          <w:sz w:val="17"/>
          <w:szCs w:val="17"/>
          <w:color w:val="auto"/>
        </w:rPr>
      </w:pPr>
    </w:p>
    <w:p>
      <w:pPr>
        <w:jc w:val="both"/>
        <w:ind w:left="1180" w:hanging="586"/>
        <w:spacing w:after="0" w:line="267"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Completed the offering of $250.0 million principal amount of unsecured notes with a fixed stated interest rate of 4.75%, due October 15, 2027. We used net proceeds from the offering, after underwriter's fees and offering expenses, to pay down a portion of our revolving credit facility, reducing our exposure to variable rate debt, extending our weighted average maturity, and increasing the availability of borrowings under our revolving credit facility that is used to fund growth opportunities that require capital deployment.</w:t>
      </w:r>
    </w:p>
    <w:p>
      <w:pPr>
        <w:spacing w:after="0" w:line="72"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Executed a new contract with the state of Nevada to care for up to 200 offenders at our 1,896-bed Saguaro Correctional Facility in Arizona.</w:t>
      </w:r>
    </w:p>
    <w:p>
      <w:pPr>
        <w:spacing w:after="0" w:line="130" w:lineRule="exact"/>
        <w:rPr>
          <w:rFonts w:ascii="Arial" w:cs="Arial" w:eastAsia="Arial" w:hAnsi="Arial"/>
          <w:sz w:val="16"/>
          <w:szCs w:val="16"/>
          <w:color w:val="auto"/>
        </w:rPr>
      </w:pPr>
    </w:p>
    <w:p>
      <w:pPr>
        <w:jc w:val="both"/>
        <w:ind w:left="1180" w:hanging="586"/>
        <w:spacing w:after="0" w:line="273"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Launched a nationwide initiative to advocate for a range of government policies that will help former inmates successfully reenter society and stay out of prison. We also committed to a series of accountability measures, including publicly reporting related advocacy activities on an annual basis and making support for recidivism-reducing policies one of our criteria for evaluating political contributions.</w:t>
      </w:r>
    </w:p>
    <w:p>
      <w:pPr>
        <w:spacing w:after="0" w:line="66" w:lineRule="exact"/>
        <w:rPr>
          <w:rFonts w:ascii="Arial" w:cs="Arial" w:eastAsia="Arial" w:hAnsi="Arial"/>
          <w:sz w:val="17"/>
          <w:szCs w:val="17"/>
          <w:color w:val="auto"/>
        </w:rPr>
      </w:pPr>
    </w:p>
    <w:p>
      <w:pPr>
        <w:ind w:left="1180" w:hanging="586"/>
        <w:spacing w:after="0" w:line="32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Completed the acquisition of Time to Change, Inc., a Colorado-based community corrections company. In connection with the acquisition, we assumed contracts to provide residential reentry services in three facilities located in Colorado containing a total of 422 beds.</w:t>
      </w:r>
    </w:p>
    <w:p>
      <w:pPr>
        <w:spacing w:after="0" w:line="30" w:lineRule="exact"/>
        <w:rPr>
          <w:rFonts w:ascii="Arial" w:cs="Arial" w:eastAsia="Arial" w:hAnsi="Arial"/>
          <w:sz w:val="16"/>
          <w:szCs w:val="16"/>
          <w:color w:val="auto"/>
        </w:rPr>
      </w:pPr>
    </w:p>
    <w:p>
      <w:pPr>
        <w:ind w:left="1180" w:hanging="586"/>
        <w:spacing w:after="0" w:line="28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Announced a new contract with Hamilton County, Tennessee to continue management, operation, and maintenance of the 1,046-bed Silverdale Detention Center. The initial term of the new contract is four years, renewable for four additional four-year periods.</w:t>
      </w:r>
    </w:p>
    <w:p>
      <w:pPr>
        <w:spacing w:after="0" w:line="53"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Announced a new contract with the Commonwealth of Kentucky Department of Corrections to house medium and close-security offenders at our previously idled 816-bed Lee Adjustment Center in Kentucky. The contract commenced on November 19, 2017, and has an initial term expiring June 30, 2019, with two additional one-year extension options.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Facility Portfolio</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facilities can also be classified according to their primary function. The primary functional categories are:</w:t>
      </w:r>
    </w:p>
    <w:p>
      <w:pPr>
        <w:spacing w:after="0" w:line="119" w:lineRule="exact"/>
        <w:rPr>
          <w:sz w:val="20"/>
          <w:szCs w:val="20"/>
          <w:color w:val="auto"/>
        </w:rPr>
      </w:pPr>
    </w:p>
    <w:p>
      <w:pPr>
        <w:ind w:left="1180" w:hanging="586"/>
        <w:spacing w:after="0" w:line="289"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Correctional Facilities</w:t>
      </w:r>
      <w:r>
        <w:rPr>
          <w:rFonts w:ascii="Arial" w:cs="Arial" w:eastAsia="Arial" w:hAnsi="Arial"/>
          <w:sz w:val="17"/>
          <w:szCs w:val="17"/>
          <w:color w:val="auto"/>
        </w:rPr>
        <w:t>. Correctional facilities house and provide contractually agreed upon programs and services to sentenced adult prisoners,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prisoners on whom a sentence in excess of one year has been imposed.</w:t>
      </w:r>
    </w:p>
    <w:p>
      <w:pPr>
        <w:spacing w:after="0" w:line="53" w:lineRule="exact"/>
        <w:rPr>
          <w:rFonts w:ascii="Arial" w:cs="Arial" w:eastAsia="Arial" w:hAnsi="Arial"/>
          <w:sz w:val="17"/>
          <w:szCs w:val="17"/>
          <w:color w:val="auto"/>
        </w:rPr>
      </w:pPr>
    </w:p>
    <w:p>
      <w:pPr>
        <w:jc w:val="both"/>
        <w:ind w:left="1180" w:hanging="586"/>
        <w:spacing w:after="0" w:line="267"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Detention Facilities</w:t>
      </w:r>
      <w:r>
        <w:rPr>
          <w:rFonts w:ascii="Arial" w:cs="Arial" w:eastAsia="Arial" w:hAnsi="Arial"/>
          <w:sz w:val="17"/>
          <w:szCs w:val="17"/>
          <w:color w:val="auto"/>
        </w:rPr>
        <w:t>. Detention facilities house and provide contractually agreed upon programs and services to (i) individuals being detained by</w:t>
      </w:r>
      <w:r>
        <w:rPr>
          <w:rFonts w:ascii="Arial" w:cs="Arial" w:eastAsia="Arial" w:hAnsi="Arial"/>
          <w:sz w:val="17"/>
          <w:szCs w:val="17"/>
          <w:i w:val="1"/>
          <w:iCs w:val="1"/>
          <w:color w:val="auto"/>
        </w:rPr>
        <w:t xml:space="preserve"> </w:t>
      </w:r>
      <w:r>
        <w:rPr>
          <w:rFonts w:ascii="Arial" w:cs="Arial" w:eastAsia="Arial" w:hAnsi="Arial"/>
          <w:sz w:val="17"/>
          <w:szCs w:val="17"/>
          <w:color w:val="auto"/>
        </w:rPr>
        <w:t>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w:t>
      </w:r>
    </w:p>
    <w:p>
      <w:pPr>
        <w:spacing w:after="0" w:line="72" w:lineRule="exact"/>
        <w:rPr>
          <w:rFonts w:ascii="Arial" w:cs="Arial" w:eastAsia="Arial" w:hAnsi="Arial"/>
          <w:sz w:val="17"/>
          <w:szCs w:val="17"/>
          <w:color w:val="auto"/>
        </w:rPr>
      </w:pPr>
    </w:p>
    <w:p>
      <w:pPr>
        <w:jc w:val="both"/>
        <w:ind w:left="1180" w:hanging="586"/>
        <w:spacing w:after="0" w:line="267"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Residential Facilities. </w:t>
      </w:r>
      <w:r>
        <w:rPr>
          <w:rFonts w:ascii="Arial" w:cs="Arial" w:eastAsia="Arial" w:hAnsi="Arial"/>
          <w:sz w:val="17"/>
          <w:szCs w:val="17"/>
          <w:color w:val="auto"/>
        </w:rPr>
        <w:t>Residential facilities provide space and residential services in an open and safe environment to adults with children who</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detained by ICE and are awaiting the outcome of immigration hearings or the return to their home countries. As contractually agreed upon, residential facilities offer services including, but not limited to, educational programs, medical care, recreational activities, counseling, and access to religious and legal services.</w:t>
      </w:r>
    </w:p>
    <w:p>
      <w:pPr>
        <w:spacing w:after="0" w:line="72"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Community Corrections. </w:t>
      </w:r>
      <w:r>
        <w:rPr>
          <w:rFonts w:ascii="Arial" w:cs="Arial" w:eastAsia="Arial" w:hAnsi="Arial"/>
          <w:sz w:val="17"/>
          <w:szCs w:val="17"/>
          <w:color w:val="auto"/>
        </w:rPr>
        <w:t>Community corrections/residential reentry facilities offer housing and programs to offenders who are serving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their sentence or who have been assigned to the facility in lieu of a jail or prison sentence, with a key focus on employment, job readiness, and life skills.</w:t>
      </w:r>
    </w:p>
    <w:p>
      <w:pPr>
        <w:spacing w:after="0" w:line="66" w:lineRule="exact"/>
        <w:rPr>
          <w:rFonts w:ascii="Arial" w:cs="Arial" w:eastAsia="Arial" w:hAnsi="Arial"/>
          <w:sz w:val="17"/>
          <w:szCs w:val="17"/>
          <w:color w:val="auto"/>
        </w:rPr>
      </w:pPr>
    </w:p>
    <w:p>
      <w:pPr>
        <w:ind w:left="1180" w:hanging="586"/>
        <w:spacing w:after="0"/>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Leased Facilities. </w:t>
      </w:r>
      <w:r>
        <w:rPr>
          <w:rFonts w:ascii="Arial" w:cs="Arial" w:eastAsia="Arial" w:hAnsi="Arial"/>
          <w:sz w:val="17"/>
          <w:szCs w:val="17"/>
          <w:color w:val="auto"/>
        </w:rPr>
        <w:t>Leased facilities are properties that are owned and leased to third parties and used by government agencies.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Facilities and Facility Management Contracts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2017, we owned and managed 70 correctional, detention, and residential reentry facilities, and managed an additional seven correctional and detention facilities owned by our government partners. In addition, as of December 31, 2017, we owned 12 properties leased to third parties and used by government agencies. We also owned two corporate office buildings. Owned and managed facilities include facilities placed into service that we own or control via a long-term lease and manage. Managed-only facilities include facilities we manage that are owned by a government authority. The following table sets forth all of the facilities that, as of December 31, 2017, we (i) owned and managed, (ii) owned, but were leased to a third party, and (iii) managed but are owned by a government authority. The table includes certain information regarding each facility, including the term of the primary customer contract related to such facility, or, in the case of facilities we owned but leased to a third-party operator, the term of such lease.</w:t>
      </w:r>
    </w:p>
    <w:tbl>
      <w:tblPr>
        <w:tblLayout w:type="fixed"/>
        <w:tblInd w:w="0" w:type="dxa"/>
        <w:tblCellMar>
          <w:top w:w="0" w:type="dxa"/>
          <w:left w:w="0" w:type="dxa"/>
          <w:bottom w:w="0" w:type="dxa"/>
          <w:right w:w="0" w:type="dxa"/>
        </w:tblCellMar>
      </w:tblPr>
      <w:tr>
        <w:trPr>
          <w:trHeight w:val="137"/>
        </w:trPr>
        <w:tc>
          <w:tcPr>
            <w:tcW w:w="2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w w:val="85"/>
              </w:rPr>
              <w:t>Design</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340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Primary Customer</w:t>
            </w: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Security Level</w:t>
            </w:r>
          </w:p>
        </w:tc>
        <w:tc>
          <w:tcPr>
            <w:tcW w:w="130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w:t>
            </w: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w:t>
            </w:r>
          </w:p>
        </w:tc>
        <w:tc>
          <w:tcPr>
            <w:tcW w:w="1080" w:type="dxa"/>
            <w:vAlign w:val="bottom"/>
            <w:gridSpan w:val="2"/>
            <w:vMerge w:val="continue"/>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w:t>
            </w:r>
          </w:p>
        </w:tc>
        <w:tc>
          <w:tcPr>
            <w:tcW w:w="0" w:type="dxa"/>
            <w:vAlign w:val="bottom"/>
          </w:tcPr>
          <w:p>
            <w:pPr>
              <w:spacing w:after="0"/>
              <w:rPr>
                <w:sz w:val="1"/>
                <w:szCs w:val="1"/>
                <w:color w:val="auto"/>
              </w:rPr>
            </w:pPr>
          </w:p>
        </w:tc>
      </w:tr>
      <w:tr>
        <w:trPr>
          <w:trHeight w:val="183"/>
        </w:trPr>
        <w:tc>
          <w:tcPr>
            <w:tcW w:w="2140" w:type="dxa"/>
            <w:vAlign w:val="bottom"/>
            <w:tcBorders>
              <w:top w:val="single" w:sz="8" w:color="auto"/>
              <w:bottom w:val="single" w:sz="8" w:color="auto"/>
            </w:tcBorders>
            <w:shd w:val="clear" w:color="auto" w:fill="CFF0FC"/>
          </w:tcPr>
          <w:p>
            <w:pPr>
              <w:spacing w:after="0" w:line="164" w:lineRule="exact"/>
              <w:rPr>
                <w:sz w:val="20"/>
                <w:szCs w:val="20"/>
                <w:color w:val="auto"/>
              </w:rPr>
            </w:pPr>
            <w:r>
              <w:rPr>
                <w:rFonts w:ascii="Arial" w:cs="Arial" w:eastAsia="Arial" w:hAnsi="Arial"/>
                <w:sz w:val="16"/>
                <w:szCs w:val="16"/>
                <w:b w:val="1"/>
                <w:bCs w:val="1"/>
                <w:color w:val="auto"/>
                <w:w w:val="88"/>
              </w:rPr>
              <w:t>Owned and Managed Facilities:</w:t>
            </w:r>
          </w:p>
        </w:tc>
        <w:tc>
          <w:tcPr>
            <w:tcW w:w="126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920" w:type="dxa"/>
            <w:vAlign w:val="bottom"/>
            <w:tcBorders>
              <w:top w:val="single" w:sz="8" w:color="auto"/>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3400" w:type="dxa"/>
            <w:vAlign w:val="bottom"/>
            <w:gridSpan w:val="2"/>
          </w:tcPr>
          <w:p>
            <w:pPr>
              <w:spacing w:after="0"/>
              <w:rPr>
                <w:sz w:val="20"/>
                <w:szCs w:val="20"/>
                <w:color w:val="auto"/>
              </w:rPr>
            </w:pPr>
            <w:r>
              <w:rPr>
                <w:rFonts w:ascii="Arial" w:cs="Arial" w:eastAsia="Arial" w:hAnsi="Arial"/>
                <w:sz w:val="16"/>
                <w:szCs w:val="16"/>
                <w:color w:val="auto"/>
              </w:rPr>
              <w:t>Central Arizona Florence</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USMS</w:t>
            </w:r>
          </w:p>
        </w:tc>
        <w:tc>
          <w:tcPr>
            <w:tcW w:w="920" w:type="dxa"/>
            <w:vAlign w:val="bottom"/>
          </w:tcPr>
          <w:p>
            <w:pPr>
              <w:ind w:left="320"/>
              <w:spacing w:after="0"/>
              <w:rPr>
                <w:sz w:val="20"/>
                <w:szCs w:val="20"/>
                <w:color w:val="auto"/>
              </w:rPr>
            </w:pPr>
            <w:r>
              <w:rPr>
                <w:rFonts w:ascii="Arial" w:cs="Arial" w:eastAsia="Arial" w:hAnsi="Arial"/>
                <w:sz w:val="16"/>
                <w:szCs w:val="16"/>
                <w:color w:val="auto"/>
              </w:rPr>
              <w:t>4,128</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Sep-18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(2) 5 year</w:t>
            </w:r>
          </w:p>
        </w:tc>
        <w:tc>
          <w:tcPr>
            <w:tcW w:w="0" w:type="dxa"/>
            <w:vAlign w:val="bottom"/>
          </w:tcPr>
          <w:p>
            <w:pPr>
              <w:spacing w:after="0"/>
              <w:rPr>
                <w:sz w:val="1"/>
                <w:szCs w:val="1"/>
                <w:color w:val="auto"/>
              </w:rPr>
            </w:pPr>
          </w:p>
        </w:tc>
      </w:tr>
      <w:tr>
        <w:trPr>
          <w:trHeight w:val="200"/>
        </w:trPr>
        <w:tc>
          <w:tcPr>
            <w:tcW w:w="3400" w:type="dxa"/>
            <w:vAlign w:val="bottom"/>
            <w:gridSpan w:val="2"/>
          </w:tcPr>
          <w:p>
            <w:pPr>
              <w:ind w:left="120"/>
              <w:spacing w:after="0"/>
              <w:rPr>
                <w:sz w:val="20"/>
                <w:szCs w:val="20"/>
                <w:color w:val="auto"/>
              </w:rPr>
            </w:pPr>
            <w:r>
              <w:rPr>
                <w:rFonts w:ascii="Arial" w:cs="Arial" w:eastAsia="Arial" w:hAnsi="Arial"/>
                <w:sz w:val="16"/>
                <w:szCs w:val="16"/>
                <w:color w:val="auto"/>
              </w:rPr>
              <w:t>Correctional Complex</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Florence,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Eloy Detention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Indefinite</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Eloy, Arizona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La Palma Correctional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State of California</w:t>
            </w:r>
          </w:p>
        </w:tc>
        <w:tc>
          <w:tcPr>
            <w:tcW w:w="920" w:type="dxa"/>
            <w:vAlign w:val="bottom"/>
          </w:tcPr>
          <w:p>
            <w:pPr>
              <w:ind w:left="320"/>
              <w:spacing w:after="0"/>
              <w:rPr>
                <w:sz w:val="20"/>
                <w:szCs w:val="20"/>
                <w:color w:val="auto"/>
              </w:rPr>
            </w:pPr>
            <w:r>
              <w:rPr>
                <w:rFonts w:ascii="Arial" w:cs="Arial" w:eastAsia="Arial" w:hAnsi="Arial"/>
                <w:sz w:val="16"/>
                <w:szCs w:val="16"/>
                <w:color w:val="auto"/>
              </w:rPr>
              <w:t>3,060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Jun-19</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Eloy,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Oracle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8"/>
              </w:rPr>
              <w:t>BOP</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6"/>
              </w:rPr>
              <w:t>Feb-18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 1 year</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Tucson, Arizona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Red Rock Correctional Center (D)</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State of Arizona</w:t>
            </w:r>
          </w:p>
        </w:tc>
        <w:tc>
          <w:tcPr>
            <w:tcW w:w="920" w:type="dxa"/>
            <w:vAlign w:val="bottom"/>
          </w:tcPr>
          <w:p>
            <w:pPr>
              <w:ind w:left="3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Jul-26</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(2) 5 year</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Eloy, Arizona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Saguaro Correctional Facility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State of Hawaii</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1,896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Jun-19</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Eloy, Arizona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CAI Boston Avenue</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State of California</w:t>
            </w:r>
          </w:p>
        </w:tc>
        <w:tc>
          <w:tcPr>
            <w:tcW w:w="920" w:type="dxa"/>
            <w:vAlign w:val="bottom"/>
          </w:tcPr>
          <w:p>
            <w:pPr>
              <w:ind w:left="320"/>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(3) 1 year</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CAI Ocean View</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8"/>
              </w:rPr>
              <w:t>BOP</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483</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May-18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(3) 1 year</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Leo Chesney Correctional Center</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Live Oak, California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Otay Mesa Detention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1,482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8"/>
              </w:rPr>
              <w:t>Minimum/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Jun-20</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 3 year</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Adams Transitional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Adams County</w:t>
            </w:r>
          </w:p>
        </w:tc>
        <w:tc>
          <w:tcPr>
            <w:tcW w:w="920" w:type="dxa"/>
            <w:vAlign w:val="bottom"/>
          </w:tcPr>
          <w:p>
            <w:pPr>
              <w:ind w:left="320"/>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Denver,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Arapahoe Community Treatment</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Arapahoe County</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Englewood,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Bent County Correctional Facility</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State of Colorado</w:t>
            </w:r>
          </w:p>
        </w:tc>
        <w:tc>
          <w:tcPr>
            <w:tcW w:w="920" w:type="dxa"/>
            <w:vAlign w:val="bottom"/>
          </w:tcPr>
          <w:p>
            <w:pPr>
              <w:ind w:left="320"/>
              <w:spacing w:after="0"/>
              <w:rPr>
                <w:sz w:val="20"/>
                <w:szCs w:val="20"/>
                <w:color w:val="auto"/>
              </w:rPr>
            </w:pPr>
            <w:r>
              <w:rPr>
                <w:rFonts w:ascii="Arial" w:cs="Arial" w:eastAsia="Arial" w:hAnsi="Arial"/>
                <w:sz w:val="16"/>
                <w:szCs w:val="16"/>
                <w:color w:val="auto"/>
              </w:rPr>
              <w:t>1,420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Las Animas,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Design</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34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Primary Customer</w:t>
            </w:r>
          </w:p>
        </w:tc>
        <w:tc>
          <w:tcPr>
            <w:tcW w:w="220" w:type="dxa"/>
            <w:vAlign w:val="bottom"/>
            <w:vMerge w:val="restart"/>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Security Level</w:t>
            </w:r>
          </w:p>
        </w:tc>
        <w:tc>
          <w:tcPr>
            <w:tcW w:w="1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vMerge w:val="restart"/>
          </w:tcPr>
          <w:p>
            <w:pPr>
              <w:spacing w:after="0"/>
              <w:rPr>
                <w:sz w:val="12"/>
                <w:szCs w:val="12"/>
                <w:color w:val="auto"/>
              </w:rPr>
            </w:pP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t>
            </w:r>
          </w:p>
        </w:tc>
        <w:tc>
          <w:tcPr>
            <w:tcW w:w="2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w:t>
            </w:r>
          </w:p>
        </w:tc>
        <w:tc>
          <w:tcPr>
            <w:tcW w:w="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Boulder Community Treatment</w:t>
            </w:r>
          </w:p>
        </w:tc>
        <w:tc>
          <w:tcPr>
            <w:tcW w:w="100" w:type="dxa"/>
            <w:vAlign w:val="bottom"/>
            <w:shd w:val="clear" w:color="auto" w:fill="CFF0FC"/>
          </w:tcPr>
          <w:p>
            <w:pPr>
              <w:spacing w:after="0"/>
              <w:rPr>
                <w:sz w:val="16"/>
                <w:szCs w:val="16"/>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Boulder County</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69</w:t>
            </w: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Dec-18</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Boulder,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Centennial Community Transition</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Arapahoe County</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107</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Englewood,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Columbine Facility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Denver County</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60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Denver,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Commerce Transitional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Adams County</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136</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Commerce City,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Crowley County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State of Colorado</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1,794</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Facility</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Olney Springs,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Dahlia Facility</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Denver County</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120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Denver,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Fox Facility and Training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Denver County</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90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Denver,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Henderson Transitional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Adams County</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184</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Henderson,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Huerfano County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752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Walsenburg,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Kit Carson Correctional Center</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1,488</w:t>
            </w:r>
          </w:p>
        </w:tc>
        <w:tc>
          <w:tcPr>
            <w:tcW w:w="2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Burlington,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Longmont Community Treatment</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Boulder County</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69</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Dec-18</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Longmont, Colorado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Ulster Facility</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Denver County</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90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Denver, Colorado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Coffee Correctional Facility (E)</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State of Georgia</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2,312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(16)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Nicholls, Georgia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Jenkins Correctional Center (E)</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State of Georgia</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1,124</w:t>
            </w:r>
          </w:p>
        </w:tc>
        <w:tc>
          <w:tcPr>
            <w:tcW w:w="2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(17) 1 year</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Millen, Georgia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McRae Correctional Facility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8"/>
              </w:rPr>
              <w:t>BOP</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1,978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Nov-18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2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McRae, Georgia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Stewart Detention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tcPr>
          <w:p>
            <w:pPr>
              <w:jc w:val="center"/>
              <w:ind w:left="3"/>
              <w:spacing w:after="0"/>
              <w:rPr>
                <w:sz w:val="20"/>
                <w:szCs w:val="20"/>
                <w:color w:val="auto"/>
              </w:rPr>
            </w:pPr>
            <w:r>
              <w:rPr>
                <w:rFonts w:ascii="Arial" w:cs="Arial" w:eastAsia="Arial" w:hAnsi="Arial"/>
                <w:sz w:val="16"/>
                <w:szCs w:val="16"/>
                <w:color w:val="auto"/>
                <w:w w:val="89"/>
              </w:rPr>
              <w:t>1,752</w:t>
            </w:r>
          </w:p>
        </w:tc>
        <w:tc>
          <w:tcPr>
            <w:tcW w:w="2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Indefinite</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Lumpkin, Georgia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Wheeler Correctional Facility (E)</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State of Georgia</w:t>
            </w:r>
          </w:p>
        </w:tc>
        <w:tc>
          <w:tcPr>
            <w:tcW w:w="92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2,312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(16)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Alamo, Georgia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Design</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34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Primary Customer</w:t>
            </w:r>
          </w:p>
        </w:tc>
        <w:tc>
          <w:tcPr>
            <w:tcW w:w="220" w:type="dxa"/>
            <w:vAlign w:val="bottom"/>
            <w:vMerge w:val="restart"/>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Security Level</w:t>
            </w:r>
          </w:p>
        </w:tc>
        <w:tc>
          <w:tcPr>
            <w:tcW w:w="1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vMerge w:val="restart"/>
          </w:tcPr>
          <w:p>
            <w:pPr>
              <w:spacing w:after="0"/>
              <w:rPr>
                <w:sz w:val="12"/>
                <w:szCs w:val="12"/>
                <w:color w:val="auto"/>
              </w:rPr>
            </w:pP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t>
            </w: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3400" w:type="dxa"/>
            <w:vAlign w:val="bottom"/>
          </w:tcPr>
          <w:p>
            <w:pPr>
              <w:spacing w:after="0"/>
              <w:rPr>
                <w:sz w:val="20"/>
                <w:szCs w:val="20"/>
                <w:color w:val="auto"/>
              </w:rPr>
            </w:pPr>
            <w:r>
              <w:rPr>
                <w:rFonts w:ascii="Arial" w:cs="Arial" w:eastAsia="Arial" w:hAnsi="Arial"/>
                <w:sz w:val="16"/>
                <w:szCs w:val="16"/>
                <w:color w:val="auto"/>
              </w:rPr>
              <w:t>Leavenworth Detention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USMS</w:t>
            </w:r>
          </w:p>
        </w:tc>
        <w:tc>
          <w:tcPr>
            <w:tcW w:w="920" w:type="dxa"/>
            <w:vAlign w:val="bottom"/>
          </w:tcPr>
          <w:p>
            <w:pPr>
              <w:ind w:left="320"/>
              <w:spacing w:after="0"/>
              <w:rPr>
                <w:sz w:val="20"/>
                <w:szCs w:val="20"/>
                <w:color w:val="auto"/>
              </w:rPr>
            </w:pPr>
            <w:r>
              <w:rPr>
                <w:rFonts w:ascii="Arial" w:cs="Arial" w:eastAsia="Arial" w:hAnsi="Arial"/>
                <w:sz w:val="16"/>
                <w:szCs w:val="16"/>
                <w:color w:val="auto"/>
              </w:rPr>
              <w:t>1,033</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Maximum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Dec-21</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 5 year</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Leavenworth, Kansas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Lee Adjustment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Commonwealth of</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816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Jun-19</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Beattyville, Kentucky</w:t>
            </w:r>
          </w:p>
        </w:tc>
        <w:tc>
          <w:tcPr>
            <w:tcW w:w="1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Kentucky</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Marion Adjustment Center</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826</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Minimum/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St. Mary, Kentucky</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Southeast Kentucky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8"/>
              </w:rPr>
              <w:t>Minimum/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Facility (F)</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Wheelwright, Kentucky</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Prairie Correctional Facility</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1,600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Appleton, Minnesota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Adams County Correctional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8"/>
              </w:rPr>
              <w:t>BOP</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2,232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Jul-19</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Adams County, Mississippi</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Tallahatchie County Correctional</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State of California</w:t>
            </w:r>
          </w:p>
        </w:tc>
        <w:tc>
          <w:tcPr>
            <w:tcW w:w="920" w:type="dxa"/>
            <w:vAlign w:val="bottom"/>
          </w:tcPr>
          <w:p>
            <w:pPr>
              <w:ind w:left="320"/>
              <w:spacing w:after="0"/>
              <w:rPr>
                <w:sz w:val="20"/>
                <w:szCs w:val="20"/>
                <w:color w:val="auto"/>
              </w:rPr>
            </w:pPr>
            <w:r>
              <w:rPr>
                <w:rFonts w:ascii="Arial" w:cs="Arial" w:eastAsia="Arial" w:hAnsi="Arial"/>
                <w:sz w:val="16"/>
                <w:szCs w:val="16"/>
                <w:color w:val="auto"/>
              </w:rPr>
              <w:t>2,672</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Jun-19</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Facility (G)</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Tutwiler, Mississippi</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Crossroads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8"/>
              </w:rPr>
              <w:t>State of Montana</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664</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Jun-17</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 2 year</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 (H)</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Shelby, Montana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Nevada Southern Detention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USMS</w:t>
            </w:r>
          </w:p>
        </w:tc>
        <w:tc>
          <w:tcPr>
            <w:tcW w:w="920" w:type="dxa"/>
            <w:vAlign w:val="bottom"/>
          </w:tcPr>
          <w:p>
            <w:pPr>
              <w:ind w:left="320"/>
              <w:spacing w:after="0"/>
              <w:rPr>
                <w:sz w:val="20"/>
                <w:szCs w:val="20"/>
                <w:color w:val="auto"/>
              </w:rPr>
            </w:pPr>
            <w:r>
              <w:rPr>
                <w:rFonts w:ascii="Arial" w:cs="Arial" w:eastAsia="Arial" w:hAnsi="Arial"/>
                <w:sz w:val="16"/>
                <w:szCs w:val="16"/>
                <w:color w:val="auto"/>
              </w:rPr>
              <w:t>1,072</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Sep-20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(2) 5 year</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Pahrump, Nevada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Elizabeth Detention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8"/>
              </w:rPr>
              <w:t>Minimum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(3)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Elizabeth, New Jersey</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Cibola County Corrections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tcPr>
          <w:p>
            <w:pPr>
              <w:ind w:left="320"/>
              <w:spacing w:after="0"/>
              <w:rPr>
                <w:sz w:val="20"/>
                <w:szCs w:val="20"/>
                <w:color w:val="auto"/>
              </w:rPr>
            </w:pPr>
            <w:r>
              <w:rPr>
                <w:rFonts w:ascii="Arial" w:cs="Arial" w:eastAsia="Arial" w:hAnsi="Arial"/>
                <w:sz w:val="16"/>
                <w:szCs w:val="16"/>
                <w:color w:val="auto"/>
              </w:rPr>
              <w:t>1,129</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Oct-21</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Milan, New Mexico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Northwest New Mexico</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State of New Mexico</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596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Jun-20</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Correctional 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Grants, New Mexico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Torrance County Detention Facility</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910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Estancia, New Mexico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Lake Erie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State of Ohio</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1,798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Jun-32</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Institution (I)</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Conneaut, Ohio</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Northeast Ohio Correctional</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State of Ohio</w:t>
            </w:r>
          </w:p>
        </w:tc>
        <w:tc>
          <w:tcPr>
            <w:tcW w:w="920" w:type="dxa"/>
            <w:vAlign w:val="bottom"/>
          </w:tcPr>
          <w:p>
            <w:pPr>
              <w:ind w:left="32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Jun-32</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Youngstown, Ohio</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Carver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(4)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Oklahoma City, Oklahoma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Design</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34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Primary Customer</w:t>
            </w:r>
          </w:p>
        </w:tc>
        <w:tc>
          <w:tcPr>
            <w:tcW w:w="220" w:type="dxa"/>
            <w:vAlign w:val="bottom"/>
            <w:vMerge w:val="restart"/>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Security Level</w:t>
            </w:r>
          </w:p>
        </w:tc>
        <w:tc>
          <w:tcPr>
            <w:tcW w:w="1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vMerge w:val="restart"/>
          </w:tcPr>
          <w:p>
            <w:pPr>
              <w:spacing w:after="0"/>
              <w:rPr>
                <w:sz w:val="12"/>
                <w:szCs w:val="12"/>
                <w:color w:val="auto"/>
              </w:rPr>
            </w:pP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t>
            </w: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Cimarron Correctional Facility (J)</w:t>
            </w:r>
          </w:p>
        </w:tc>
        <w:tc>
          <w:tcPr>
            <w:tcW w:w="100" w:type="dxa"/>
            <w:vAlign w:val="bottom"/>
          </w:tcPr>
          <w:p>
            <w:pPr>
              <w:spacing w:after="0"/>
              <w:rPr>
                <w:sz w:val="17"/>
                <w:szCs w:val="17"/>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tcPr>
          <w:p>
            <w:pPr>
              <w:ind w:left="320"/>
              <w:spacing w:after="0"/>
              <w:rPr>
                <w:sz w:val="20"/>
                <w:szCs w:val="20"/>
                <w:color w:val="auto"/>
              </w:rPr>
            </w:pPr>
            <w:r>
              <w:rPr>
                <w:rFonts w:ascii="Arial" w:cs="Arial" w:eastAsia="Arial" w:hAnsi="Arial"/>
                <w:sz w:val="16"/>
                <w:szCs w:val="16"/>
                <w:color w:val="auto"/>
              </w:rPr>
              <w:t>1,692</w:t>
            </w:r>
          </w:p>
        </w:tc>
        <w:tc>
          <w:tcPr>
            <w:tcW w:w="2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 1 year</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Cushing,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Davis Correctional Facility (J)</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1,670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(1)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Holdenville, Oklahoma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Diamondback Correctional</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2,160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Watonga,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Oklahoma City Transitional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(4) 1 year</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Oklahoma City, Oklahoma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Tulsa Transitional Center</w:t>
            </w:r>
          </w:p>
        </w:tc>
        <w:tc>
          <w:tcPr>
            <w:tcW w:w="100" w:type="dxa"/>
            <w:vAlign w:val="bottom"/>
          </w:tcPr>
          <w:p>
            <w:pPr>
              <w:spacing w:after="0"/>
              <w:rPr>
                <w:sz w:val="24"/>
                <w:szCs w:val="2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tcPr>
          <w:p>
            <w:pPr>
              <w:ind w:left="320"/>
              <w:spacing w:after="0"/>
              <w:rPr>
                <w:sz w:val="20"/>
                <w:szCs w:val="20"/>
                <w:color w:val="auto"/>
              </w:rPr>
            </w:pPr>
            <w:r>
              <w:rPr>
                <w:rFonts w:ascii="Arial" w:cs="Arial" w:eastAsia="Arial" w:hAnsi="Arial"/>
                <w:sz w:val="16"/>
                <w:szCs w:val="16"/>
                <w:color w:val="auto"/>
              </w:rPr>
              <w:t>390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(4) 1 year</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Tulsa, Oklahoma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Turley Residential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89"/>
              </w:rPr>
              <w:t>State of Oklahoma</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289</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(4)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Tulsa, Oklahoma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Shelby Training Center</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Memphis,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Trousdale Turner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3"/>
              </w:rPr>
              <w:t>State of Tennessee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2,552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Jan-21</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Hartsville, Tennessee</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West Tennessee Detention</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USMS</w:t>
            </w:r>
          </w:p>
        </w:tc>
        <w:tc>
          <w:tcPr>
            <w:tcW w:w="920" w:type="dxa"/>
            <w:vAlign w:val="bottom"/>
          </w:tcPr>
          <w:p>
            <w:pPr>
              <w:ind w:left="320"/>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Sep-19</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(5) 2 year</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Mason,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Whiteville Correctional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3"/>
              </w:rPr>
              <w:t>State of Tennessee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1,536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Facility (K)</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Whiteville, Tennessee</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Austin Residential Reentry Center</w:t>
            </w:r>
          </w:p>
        </w:tc>
        <w:tc>
          <w:tcPr>
            <w:tcW w:w="100" w:type="dxa"/>
            <w:vAlign w:val="bottom"/>
          </w:tcPr>
          <w:p>
            <w:pPr>
              <w:spacing w:after="0"/>
              <w:rPr>
                <w:sz w:val="24"/>
                <w:szCs w:val="2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BOP</w:t>
            </w:r>
          </w:p>
        </w:tc>
        <w:tc>
          <w:tcPr>
            <w:tcW w:w="920" w:type="dxa"/>
            <w:vAlign w:val="bottom"/>
          </w:tcPr>
          <w:p>
            <w:pPr>
              <w:ind w:left="340"/>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Feb-18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Del Valle,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Austin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460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Del Valle,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Arial" w:cs="Arial" w:eastAsia="Arial" w:hAnsi="Arial"/>
                <w:sz w:val="16"/>
                <w:szCs w:val="16"/>
                <w:color w:val="auto"/>
              </w:rPr>
              <w:t>Corpus Christi Transitional</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tcPr>
          <w:p>
            <w:pPr>
              <w:ind w:left="320"/>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Aug-19</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Corpus Christi,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Dallas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Hutchins,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tcPr>
          <w:p>
            <w:pPr>
              <w:spacing w:after="0"/>
              <w:rPr>
                <w:sz w:val="20"/>
                <w:szCs w:val="20"/>
                <w:color w:val="auto"/>
              </w:rPr>
            </w:pPr>
            <w:r>
              <w:rPr>
                <w:rFonts w:ascii="Arial" w:cs="Arial" w:eastAsia="Arial" w:hAnsi="Arial"/>
                <w:sz w:val="16"/>
                <w:szCs w:val="16"/>
                <w:color w:val="auto"/>
              </w:rPr>
              <w:t>Eden Detention Center</w:t>
            </w:r>
          </w:p>
        </w:tc>
        <w:tc>
          <w:tcPr>
            <w:tcW w:w="10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920" w:type="dxa"/>
            <w:vAlign w:val="bottom"/>
          </w:tcPr>
          <w:p>
            <w:pPr>
              <w:ind w:left="320"/>
              <w:spacing w:after="0"/>
              <w:rPr>
                <w:sz w:val="20"/>
                <w:szCs w:val="20"/>
                <w:color w:val="auto"/>
              </w:rPr>
            </w:pPr>
            <w:r>
              <w:rPr>
                <w:rFonts w:ascii="Arial" w:cs="Arial" w:eastAsia="Arial" w:hAnsi="Arial"/>
                <w:sz w:val="16"/>
                <w:szCs w:val="16"/>
                <w:color w:val="auto"/>
              </w:rPr>
              <w:t>1,422</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Eden,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El Paso Multi-Use Facility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El Paso,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Design</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340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Primary Customer</w:t>
            </w:r>
          </w:p>
        </w:tc>
        <w:tc>
          <w:tcPr>
            <w:tcW w:w="220" w:type="dxa"/>
            <w:vAlign w:val="bottom"/>
            <w:vMerge w:val="restart"/>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Security Level</w:t>
            </w:r>
          </w:p>
        </w:tc>
        <w:tc>
          <w:tcPr>
            <w:tcW w:w="1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vMerge w:val="restart"/>
          </w:tcPr>
          <w:p>
            <w:pPr>
              <w:spacing w:after="0"/>
              <w:rPr>
                <w:sz w:val="12"/>
                <w:szCs w:val="12"/>
                <w:color w:val="auto"/>
              </w:rPr>
            </w:pP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t>
            </w: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rPr>
                <w:sz w:val="20"/>
                <w:szCs w:val="20"/>
                <w:color w:val="auto"/>
              </w:rPr>
            </w:pPr>
            <w:r>
              <w:rPr>
                <w:rFonts w:ascii="Arial" w:cs="Arial" w:eastAsia="Arial" w:hAnsi="Arial"/>
                <w:sz w:val="16"/>
                <w:szCs w:val="16"/>
                <w:color w:val="auto"/>
              </w:rPr>
              <w:t>El Paso Transitional Center</w:t>
            </w:r>
          </w:p>
        </w:tc>
        <w:tc>
          <w:tcPr>
            <w:tcW w:w="100" w:type="dxa"/>
            <w:vAlign w:val="bottom"/>
          </w:tcPr>
          <w:p>
            <w:pPr>
              <w:spacing w:after="0"/>
              <w:rPr>
                <w:sz w:val="16"/>
                <w:szCs w:val="16"/>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tcPr>
          <w:p>
            <w:pPr>
              <w:ind w:left="320"/>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6"/>
                <w:szCs w:val="16"/>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Arial" w:cs="Arial" w:eastAsia="Arial" w:hAnsi="Arial"/>
                <w:sz w:val="16"/>
                <w:szCs w:val="16"/>
                <w:color w:val="auto"/>
              </w:rPr>
              <w:t>El Paso, Texas</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Fort Worth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State of Texas</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(2) 1 year</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Fort Worth,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Houston Processing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tcPr>
          <w:p>
            <w:pPr>
              <w:ind w:left="320"/>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Apr-18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(5) 2 month</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Houston,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Laredo Processing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258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8"/>
              </w:rPr>
              <w:t>Minimum/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Laredo,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gridSpan w:val="2"/>
          </w:tcPr>
          <w:p>
            <w:pPr>
              <w:spacing w:after="0"/>
              <w:rPr>
                <w:sz w:val="20"/>
                <w:szCs w:val="20"/>
                <w:color w:val="auto"/>
              </w:rPr>
            </w:pPr>
            <w:r>
              <w:rPr>
                <w:rFonts w:ascii="Arial" w:cs="Arial" w:eastAsia="Arial" w:hAnsi="Arial"/>
                <w:sz w:val="16"/>
                <w:szCs w:val="16"/>
                <w:color w:val="auto"/>
              </w:rPr>
              <w:t>South Texas Family Residential</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tcPr>
          <w:p>
            <w:pPr>
              <w:ind w:left="320"/>
              <w:spacing w:after="0"/>
              <w:rPr>
                <w:sz w:val="20"/>
                <w:szCs w:val="20"/>
                <w:color w:val="auto"/>
              </w:rPr>
            </w:pPr>
            <w:r>
              <w:rPr>
                <w:rFonts w:ascii="Arial" w:cs="Arial" w:eastAsia="Arial" w:hAnsi="Arial"/>
                <w:sz w:val="16"/>
                <w:szCs w:val="16"/>
                <w:color w:val="auto"/>
              </w:rPr>
              <w:t>2,400</w:t>
            </w:r>
          </w:p>
        </w:tc>
        <w:tc>
          <w:tcPr>
            <w:tcW w:w="200" w:type="dxa"/>
            <w:vAlign w:val="bottom"/>
          </w:tcPr>
          <w:p>
            <w:pPr>
              <w:spacing w:after="0"/>
              <w:rPr>
                <w:sz w:val="24"/>
                <w:szCs w:val="24"/>
                <w:color w:val="auto"/>
              </w:rPr>
            </w:pPr>
          </w:p>
        </w:tc>
        <w:tc>
          <w:tcPr>
            <w:tcW w:w="11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Residential</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Sep-21</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gridSpan w:val="2"/>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Dilley,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 Don Hutto Residential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ICE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512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Jan-20</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Taylor, Texas</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Webb County Detention Center</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USMS</w:t>
            </w:r>
          </w:p>
        </w:tc>
        <w:tc>
          <w:tcPr>
            <w:tcW w:w="920" w:type="dxa"/>
            <w:vAlign w:val="bottom"/>
          </w:tcPr>
          <w:p>
            <w:pPr>
              <w:ind w:left="320"/>
              <w:spacing w:after="0"/>
              <w:rPr>
                <w:sz w:val="20"/>
                <w:szCs w:val="20"/>
                <w:color w:val="auto"/>
              </w:rPr>
            </w:pPr>
            <w:r>
              <w:rPr>
                <w:rFonts w:ascii="Arial" w:cs="Arial" w:eastAsia="Arial" w:hAnsi="Arial"/>
                <w:sz w:val="16"/>
                <w:szCs w:val="16"/>
                <w:color w:val="auto"/>
              </w:rPr>
              <w:t>480</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Feb-18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Laredo, Texas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Cheyenne Transitional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State of Wyoming</w:t>
            </w:r>
          </w:p>
        </w:tc>
        <w:tc>
          <w:tcPr>
            <w:tcW w:w="9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116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Community</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Cheyenne, Wyoming</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Managed Only Facilities:</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0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Citrus County Detention Facility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Citrus County, FL</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760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5"/>
              </w:rPr>
              <w:t>Sep-20</w:t>
            </w:r>
          </w:p>
        </w:tc>
        <w:tc>
          <w:tcPr>
            <w:tcW w:w="1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Lecanto, Florida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Lake City Correctional Facility</w:t>
            </w:r>
          </w:p>
        </w:tc>
        <w:tc>
          <w:tcPr>
            <w:tcW w:w="100" w:type="dxa"/>
            <w:vAlign w:val="bottom"/>
          </w:tcPr>
          <w:p>
            <w:pPr>
              <w:spacing w:after="0"/>
              <w:rPr>
                <w:sz w:val="24"/>
                <w:szCs w:val="2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State of Florida</w:t>
            </w:r>
          </w:p>
        </w:tc>
        <w:tc>
          <w:tcPr>
            <w:tcW w:w="920" w:type="dxa"/>
            <w:vAlign w:val="bottom"/>
          </w:tcPr>
          <w:p>
            <w:pPr>
              <w:ind w:left="320"/>
              <w:spacing w:after="0"/>
              <w:rPr>
                <w:sz w:val="20"/>
                <w:szCs w:val="20"/>
                <w:color w:val="auto"/>
              </w:rPr>
            </w:pPr>
            <w:r>
              <w:rPr>
                <w:rFonts w:ascii="Arial" w:cs="Arial" w:eastAsia="Arial" w:hAnsi="Arial"/>
                <w:sz w:val="16"/>
                <w:szCs w:val="16"/>
                <w:color w:val="auto"/>
              </w:rPr>
              <w:t>893</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Lake City, Florida</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Marion County Jail</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Marion County, IN</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1,030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Dec-27</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 Indiana</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00" w:type="dxa"/>
            <w:vAlign w:val="bottom"/>
            <w:gridSpan w:val="2"/>
          </w:tcPr>
          <w:p>
            <w:pPr>
              <w:spacing w:after="0"/>
              <w:rPr>
                <w:sz w:val="20"/>
                <w:szCs w:val="20"/>
                <w:color w:val="auto"/>
              </w:rPr>
            </w:pPr>
            <w:r>
              <w:rPr>
                <w:rFonts w:ascii="Arial" w:cs="Arial" w:eastAsia="Arial" w:hAnsi="Arial"/>
                <w:sz w:val="16"/>
                <w:szCs w:val="16"/>
                <w:color w:val="auto"/>
              </w:rPr>
              <w:t>Hardeman County Correctional</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83"/>
              </w:rPr>
              <w:t>State of Tennessee</w:t>
            </w:r>
          </w:p>
        </w:tc>
        <w:tc>
          <w:tcPr>
            <w:tcW w:w="920" w:type="dxa"/>
            <w:vAlign w:val="bottom"/>
          </w:tcPr>
          <w:p>
            <w:pPr>
              <w:ind w:left="32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May-18</w:t>
            </w: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gridSpan w:val="2"/>
          </w:tcPr>
          <w:p>
            <w:pPr>
              <w:ind w:left="12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Whiteville, Tennessee</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Metro-Davidson County</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Davidson County, TN</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1,348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Jan-20</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Detention Facility</w:t>
            </w:r>
          </w:p>
        </w:tc>
        <w:tc>
          <w:tcPr>
            <w:tcW w:w="1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Nashville, Tennessee</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00" w:type="dxa"/>
            <w:vAlign w:val="bottom"/>
            <w:gridSpan w:val="2"/>
          </w:tcPr>
          <w:p>
            <w:pPr>
              <w:spacing w:after="0"/>
              <w:rPr>
                <w:sz w:val="20"/>
                <w:szCs w:val="20"/>
                <w:color w:val="auto"/>
              </w:rPr>
            </w:pPr>
            <w:r>
              <w:rPr>
                <w:rFonts w:ascii="Arial" w:cs="Arial" w:eastAsia="Arial" w:hAnsi="Arial"/>
                <w:sz w:val="16"/>
                <w:szCs w:val="16"/>
                <w:color w:val="auto"/>
              </w:rPr>
              <w:t>Silverdale Facilities</w:t>
            </w:r>
          </w:p>
        </w:tc>
        <w:tc>
          <w:tcPr>
            <w:tcW w:w="10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Hamilton County,</w:t>
            </w:r>
          </w:p>
        </w:tc>
        <w:tc>
          <w:tcPr>
            <w:tcW w:w="920" w:type="dxa"/>
            <w:vAlign w:val="bottom"/>
          </w:tcPr>
          <w:p>
            <w:pPr>
              <w:ind w:left="320"/>
              <w:spacing w:after="0"/>
              <w:rPr>
                <w:sz w:val="20"/>
                <w:szCs w:val="20"/>
                <w:color w:val="auto"/>
              </w:rPr>
            </w:pPr>
            <w:r>
              <w:rPr>
                <w:rFonts w:ascii="Arial" w:cs="Arial" w:eastAsia="Arial" w:hAnsi="Arial"/>
                <w:sz w:val="16"/>
                <w:szCs w:val="16"/>
                <w:color w:val="auto"/>
              </w:rPr>
              <w:t>1,046</w:t>
            </w:r>
          </w:p>
        </w:tc>
        <w:tc>
          <w:tcPr>
            <w:tcW w:w="2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Multi</w:t>
            </w: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Detention</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Sep-21</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(4) 4 year</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color w:val="auto"/>
              </w:rPr>
              <w:t>Chattanooga, Tennessee</w:t>
            </w:r>
          </w:p>
        </w:tc>
        <w:tc>
          <w:tcPr>
            <w:tcW w:w="10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TN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South Central Correctional Center</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3"/>
              </w:rPr>
              <w:t>State of Tennessee</w:t>
            </w:r>
          </w:p>
        </w:tc>
        <w:tc>
          <w:tcPr>
            <w:tcW w:w="9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1,676</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1"/>
              </w:rPr>
              <w:t>Medium</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Correctional</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Jun-18</w:t>
            </w:r>
          </w:p>
        </w:tc>
        <w:tc>
          <w:tcPr>
            <w:tcW w:w="11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Clifton, Tennessee</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Design Capacity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Square</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Property Type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34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Primary Customer</w:t>
            </w:r>
          </w:p>
        </w:tc>
        <w:tc>
          <w:tcPr>
            <w:tcW w:w="11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Footage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w:t>
            </w:r>
          </w:p>
        </w:tc>
        <w:tc>
          <w:tcPr>
            <w:tcW w:w="116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63"/>
        </w:trPr>
        <w:tc>
          <w:tcPr>
            <w:tcW w:w="3440" w:type="dxa"/>
            <w:vAlign w:val="bottom"/>
            <w:tcBorders>
              <w:top w:val="single" w:sz="8" w:color="auto"/>
            </w:tcBorders>
            <w:gridSpan w:val="2"/>
            <w:shd w:val="clear" w:color="auto" w:fill="CFF0FC"/>
          </w:tcPr>
          <w:p>
            <w:pPr>
              <w:spacing w:after="0" w:line="164" w:lineRule="exact"/>
              <w:rPr>
                <w:sz w:val="20"/>
                <w:szCs w:val="20"/>
                <w:color w:val="auto"/>
              </w:rPr>
            </w:pPr>
            <w:r>
              <w:rPr>
                <w:rFonts w:ascii="Arial" w:cs="Arial" w:eastAsia="Arial" w:hAnsi="Arial"/>
                <w:sz w:val="16"/>
                <w:szCs w:val="16"/>
                <w:b w:val="1"/>
                <w:bCs w:val="1"/>
                <w:color w:val="auto"/>
              </w:rPr>
              <w:t>Leased Properties:</w:t>
            </w:r>
          </w:p>
        </w:tc>
        <w:tc>
          <w:tcPr>
            <w:tcW w:w="100" w:type="dxa"/>
            <w:vAlign w:val="bottom"/>
            <w:tcBorders>
              <w:top w:val="single" w:sz="8" w:color="CFF0FC"/>
            </w:tcBorders>
            <w:shd w:val="clear" w:color="auto" w:fill="CFF0FC"/>
          </w:tcPr>
          <w:p>
            <w:pPr>
              <w:spacing w:after="0"/>
              <w:rPr>
                <w:sz w:val="14"/>
                <w:szCs w:val="14"/>
                <w:color w:val="auto"/>
              </w:rPr>
            </w:pPr>
          </w:p>
        </w:tc>
        <w:tc>
          <w:tcPr>
            <w:tcW w:w="2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26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0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gridSpan w:val="2"/>
          </w:tcPr>
          <w:p>
            <w:pPr>
              <w:spacing w:after="0"/>
              <w:rPr>
                <w:sz w:val="20"/>
                <w:szCs w:val="20"/>
                <w:color w:val="auto"/>
              </w:rPr>
            </w:pPr>
            <w:r>
              <w:rPr>
                <w:rFonts w:ascii="Arial" w:cs="Arial" w:eastAsia="Arial" w:hAnsi="Arial"/>
                <w:sz w:val="16"/>
                <w:szCs w:val="16"/>
                <w:color w:val="auto"/>
              </w:rPr>
              <w:t>California City Correctional Center</w:t>
            </w:r>
          </w:p>
        </w:tc>
        <w:tc>
          <w:tcPr>
            <w:tcW w:w="10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State of California</w:t>
            </w:r>
          </w:p>
        </w:tc>
        <w:tc>
          <w:tcPr>
            <w:tcW w:w="980" w:type="dxa"/>
            <w:vAlign w:val="bottom"/>
          </w:tcPr>
          <w:p>
            <w:pPr>
              <w:jc w:val="center"/>
              <w:ind w:left="23"/>
              <w:spacing w:after="0"/>
              <w:rPr>
                <w:sz w:val="20"/>
                <w:szCs w:val="20"/>
                <w:color w:val="auto"/>
              </w:rPr>
            </w:pPr>
            <w:r>
              <w:rPr>
                <w:rFonts w:ascii="Arial" w:cs="Arial" w:eastAsia="Arial" w:hAnsi="Arial"/>
                <w:sz w:val="16"/>
                <w:szCs w:val="16"/>
                <w:color w:val="auto"/>
                <w:w w:val="89"/>
              </w:rPr>
              <w:t>2,560</w:t>
            </w:r>
          </w:p>
        </w:tc>
        <w:tc>
          <w:tcPr>
            <w:tcW w:w="200" w:type="dxa"/>
            <w:vAlign w:val="bottom"/>
          </w:tcPr>
          <w:p>
            <w:pPr>
              <w:spacing w:after="0"/>
              <w:rPr>
                <w:sz w:val="24"/>
                <w:szCs w:val="24"/>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6"/>
              </w:rPr>
              <w:t>522,000</w:t>
            </w:r>
          </w:p>
        </w:tc>
        <w:tc>
          <w:tcPr>
            <w:tcW w:w="22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Correctional</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Nov-20</w:t>
            </w: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California City, California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 Beach Community Corrections</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The GEO Group, Inc.</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Community</w:t>
            </w: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112</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5"/>
              </w:rPr>
              <w:t>16,000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Jun-20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(1) 5 year</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 Beach, California</w:t>
            </w:r>
          </w:p>
        </w:tc>
        <w:tc>
          <w:tcPr>
            <w:tcW w:w="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40" w:type="dxa"/>
            <w:vAlign w:val="bottom"/>
            <w:gridSpan w:val="2"/>
          </w:tcPr>
          <w:p>
            <w:pPr>
              <w:spacing w:after="0"/>
              <w:rPr>
                <w:sz w:val="20"/>
                <w:szCs w:val="20"/>
                <w:color w:val="auto"/>
              </w:rPr>
            </w:pPr>
            <w:r>
              <w:rPr>
                <w:rFonts w:ascii="Arial" w:cs="Arial" w:eastAsia="Arial" w:hAnsi="Arial"/>
                <w:sz w:val="16"/>
                <w:szCs w:val="16"/>
                <w:color w:val="auto"/>
              </w:rPr>
              <w:t>Stockton Female Community</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Community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40" w:type="dxa"/>
            <w:vAlign w:val="bottom"/>
            <w:gridSpan w:val="2"/>
          </w:tcPr>
          <w:p>
            <w:pPr>
              <w:ind w:left="120"/>
              <w:spacing w:after="0"/>
              <w:rPr>
                <w:sz w:val="20"/>
                <w:szCs w:val="20"/>
                <w:color w:val="auto"/>
              </w:rPr>
            </w:pPr>
            <w:r>
              <w:rPr>
                <w:rFonts w:ascii="Arial" w:cs="Arial" w:eastAsia="Arial" w:hAnsi="Arial"/>
                <w:sz w:val="16"/>
                <w:szCs w:val="16"/>
                <w:color w:val="auto"/>
              </w:rPr>
              <w:t>Corrections Facility</w:t>
            </w:r>
          </w:p>
        </w:tc>
        <w:tc>
          <w:tcPr>
            <w:tcW w:w="100" w:type="dxa"/>
            <w:vAlign w:val="bottom"/>
          </w:tcPr>
          <w:p>
            <w:pPr>
              <w:spacing w:after="0"/>
              <w:rPr>
                <w:sz w:val="17"/>
                <w:szCs w:val="17"/>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WestCare California, Inc.</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200" w:type="dxa"/>
            <w:vAlign w:val="bottom"/>
          </w:tcPr>
          <w:p>
            <w:pPr>
              <w:spacing w:after="0"/>
              <w:rPr>
                <w:sz w:val="17"/>
                <w:szCs w:val="17"/>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5"/>
              </w:rPr>
              <w:t>15,000</w:t>
            </w:r>
          </w:p>
        </w:tc>
        <w:tc>
          <w:tcPr>
            <w:tcW w:w="2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Apr-21</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(1) 5 year</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Stockton, California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Augusta Transitional Center</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Georgia Department</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230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5"/>
              </w:rPr>
              <w:t>29,000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Community</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Jun-18</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(5) 1 year</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Augusta, Georgia</w:t>
            </w:r>
          </w:p>
        </w:tc>
        <w:tc>
          <w:tcPr>
            <w:tcW w:w="1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of Corrections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40" w:type="dxa"/>
            <w:vAlign w:val="bottom"/>
            <w:gridSpan w:val="2"/>
          </w:tcPr>
          <w:p>
            <w:pPr>
              <w:spacing w:after="0"/>
              <w:rPr>
                <w:sz w:val="20"/>
                <w:szCs w:val="20"/>
                <w:color w:val="auto"/>
              </w:rPr>
            </w:pPr>
            <w:r>
              <w:rPr>
                <w:rFonts w:ascii="Arial" w:cs="Arial" w:eastAsia="Arial" w:hAnsi="Arial"/>
                <w:sz w:val="16"/>
                <w:szCs w:val="16"/>
                <w:color w:val="auto"/>
              </w:rPr>
              <w:t>Milledgeville</w:t>
            </w:r>
          </w:p>
        </w:tc>
        <w:tc>
          <w:tcPr>
            <w:tcW w:w="10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GSA - Social Security</w:t>
            </w:r>
          </w:p>
        </w:tc>
        <w:tc>
          <w:tcPr>
            <w:tcW w:w="9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4"/>
                <w:szCs w:val="24"/>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4"/>
              </w:rPr>
              <w:t>9,000</w:t>
            </w: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Government-</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Jan-20</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Milledgeville, Georgia</w:t>
            </w:r>
          </w:p>
        </w:tc>
        <w:tc>
          <w:tcPr>
            <w:tcW w:w="10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Administration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3"/>
              </w:rPr>
              <w:t>Leased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Greenville</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GSA - Internal</w:t>
            </w: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5"/>
              </w:rPr>
              <w:t>13,000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Government-</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4"/>
              </w:rPr>
              <w:t>Mar-24</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Greenville, North Carolina</w:t>
            </w:r>
          </w:p>
        </w:tc>
        <w:tc>
          <w:tcPr>
            <w:tcW w:w="1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6"/>
              </w:rPr>
              <w:t>Revenue Service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3"/>
              </w:rPr>
              <w:t>Leased</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440" w:type="dxa"/>
            <w:vAlign w:val="bottom"/>
            <w:gridSpan w:val="2"/>
          </w:tcPr>
          <w:p>
            <w:pPr>
              <w:spacing w:after="0"/>
              <w:rPr>
                <w:sz w:val="20"/>
                <w:szCs w:val="20"/>
                <w:color w:val="auto"/>
              </w:rPr>
            </w:pPr>
            <w:r>
              <w:rPr>
                <w:rFonts w:ascii="Arial" w:cs="Arial" w:eastAsia="Arial" w:hAnsi="Arial"/>
                <w:sz w:val="16"/>
                <w:szCs w:val="16"/>
                <w:color w:val="auto"/>
              </w:rPr>
              <w:t>Rockingham</w:t>
            </w:r>
          </w:p>
        </w:tc>
        <w:tc>
          <w:tcPr>
            <w:tcW w:w="10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GSA - Social Security</w:t>
            </w:r>
          </w:p>
        </w:tc>
        <w:tc>
          <w:tcPr>
            <w:tcW w:w="9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4"/>
                <w:szCs w:val="24"/>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4"/>
              </w:rPr>
              <w:t>8,000</w:t>
            </w: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Government-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Mar-25</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Rockingham, North Carolina</w:t>
            </w:r>
          </w:p>
        </w:tc>
        <w:tc>
          <w:tcPr>
            <w:tcW w:w="10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Administration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3"/>
              </w:rPr>
              <w:t>Leased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North Fork Correctional Facility</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State of Oklahoma</w:t>
            </w:r>
          </w:p>
        </w:tc>
        <w:tc>
          <w:tcPr>
            <w:tcW w:w="9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2,400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6"/>
              </w:rPr>
              <w:t>466,000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0"/>
              </w:rPr>
              <w:t>Correctional</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Jul-21</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Sayre, Oklahoma</w:t>
            </w:r>
          </w:p>
        </w:tc>
        <w:tc>
          <w:tcPr>
            <w:tcW w:w="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40" w:type="dxa"/>
            <w:vAlign w:val="bottom"/>
            <w:gridSpan w:val="2"/>
          </w:tcPr>
          <w:p>
            <w:pPr>
              <w:spacing w:after="0"/>
              <w:rPr>
                <w:sz w:val="20"/>
                <w:szCs w:val="20"/>
                <w:color w:val="auto"/>
              </w:rPr>
            </w:pPr>
            <w:r>
              <w:rPr>
                <w:rFonts w:ascii="Arial" w:cs="Arial" w:eastAsia="Arial" w:hAnsi="Arial"/>
                <w:sz w:val="16"/>
                <w:szCs w:val="16"/>
                <w:color w:val="auto"/>
              </w:rPr>
              <w:t>Broad Street Residential Reentry</w:t>
            </w:r>
          </w:p>
        </w:tc>
        <w:tc>
          <w:tcPr>
            <w:tcW w:w="10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The GEO Group, Inc.</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Community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40" w:type="dxa"/>
            <w:vAlign w:val="bottom"/>
            <w:gridSpan w:val="2"/>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3"/>
              <w:spacing w:after="0"/>
              <w:rPr>
                <w:sz w:val="20"/>
                <w:szCs w:val="20"/>
                <w:color w:val="auto"/>
              </w:rPr>
            </w:pPr>
            <w:r>
              <w:rPr>
                <w:rFonts w:ascii="Arial" w:cs="Arial" w:eastAsia="Arial" w:hAnsi="Arial"/>
                <w:sz w:val="16"/>
                <w:szCs w:val="16"/>
                <w:color w:val="auto"/>
                <w:w w:val="89"/>
              </w:rPr>
              <w:t>150</w:t>
            </w:r>
          </w:p>
        </w:tc>
        <w:tc>
          <w:tcPr>
            <w:tcW w:w="200" w:type="dxa"/>
            <w:vAlign w:val="bottom"/>
          </w:tcPr>
          <w:p>
            <w:pPr>
              <w:spacing w:after="0"/>
              <w:rPr>
                <w:sz w:val="17"/>
                <w:szCs w:val="17"/>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5"/>
              </w:rPr>
              <w:t>18,000</w:t>
            </w:r>
          </w:p>
        </w:tc>
        <w:tc>
          <w:tcPr>
            <w:tcW w:w="2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Jul-19</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(4) 5 year</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Chester Residential Reentry Center</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The GEO Group, Inc.</w:t>
            </w:r>
          </w:p>
        </w:tc>
        <w:tc>
          <w:tcPr>
            <w:tcW w:w="9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135</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5"/>
              </w:rPr>
              <w:t>18,000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Community</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Jul-19</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(4) 5 year</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Chester, Pennsylvania</w:t>
            </w:r>
          </w:p>
        </w:tc>
        <w:tc>
          <w:tcPr>
            <w:tcW w:w="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40" w:type="dxa"/>
            <w:vAlign w:val="bottom"/>
            <w:gridSpan w:val="2"/>
          </w:tcPr>
          <w:p>
            <w:pPr>
              <w:spacing w:after="0"/>
              <w:rPr>
                <w:sz w:val="20"/>
                <w:szCs w:val="20"/>
                <w:color w:val="auto"/>
              </w:rPr>
            </w:pPr>
            <w:r>
              <w:rPr>
                <w:rFonts w:ascii="Arial" w:cs="Arial" w:eastAsia="Arial" w:hAnsi="Arial"/>
                <w:sz w:val="16"/>
                <w:szCs w:val="16"/>
                <w:color w:val="auto"/>
              </w:rPr>
              <w:t>Roth Hall Residential Reentry</w:t>
            </w:r>
          </w:p>
        </w:tc>
        <w:tc>
          <w:tcPr>
            <w:tcW w:w="10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The GEO Group, Inc.</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Community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40" w:type="dxa"/>
            <w:vAlign w:val="bottom"/>
            <w:gridSpan w:val="2"/>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160</w:t>
            </w:r>
          </w:p>
        </w:tc>
        <w:tc>
          <w:tcPr>
            <w:tcW w:w="200" w:type="dxa"/>
            <w:vAlign w:val="bottom"/>
          </w:tcPr>
          <w:p>
            <w:pPr>
              <w:spacing w:after="0"/>
              <w:rPr>
                <w:sz w:val="17"/>
                <w:szCs w:val="17"/>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color w:val="auto"/>
                <w:w w:val="85"/>
              </w:rPr>
              <w:t>18,000</w:t>
            </w:r>
          </w:p>
        </w:tc>
        <w:tc>
          <w:tcPr>
            <w:tcW w:w="2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Jul-19</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(4) 5 year</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Walker Hall Residential Reentry</w:t>
            </w:r>
          </w:p>
        </w:tc>
        <w:tc>
          <w:tcPr>
            <w:tcW w:w="10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The GEO Group, Inc.</w:t>
            </w: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Community</w:t>
            </w: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160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5"/>
              </w:rPr>
              <w:t>18,000</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0"/>
              </w:rPr>
              <w:t>Corrections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Jul-19</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(4) 5 year</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9" w:name="page20"/>
    <w:bookmarkEnd w:id="19"/>
    <w:p>
      <w:pPr>
        <w:jc w:val="both"/>
        <w:ind w:left="586" w:hanging="586"/>
        <w:spacing w:after="0" w:line="259"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 We believe design capacity is an appropriate measure for evaluating our operations, because the revenue generated by each facility is based on a per diem or monthly rate per offender cared for at the facility paid by the corresponding contracting governmental entity.</w:t>
      </w:r>
    </w:p>
    <w:p>
      <w:pPr>
        <w:spacing w:after="0" w:line="3" w:lineRule="exact"/>
        <w:rPr>
          <w:rFonts w:ascii="Arial" w:cs="Arial" w:eastAsia="Arial" w:hAnsi="Arial"/>
          <w:sz w:val="17"/>
          <w:szCs w:val="17"/>
          <w:color w:val="auto"/>
        </w:rPr>
      </w:pPr>
    </w:p>
    <w:p>
      <w:pPr>
        <w:jc w:val="both"/>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manage numerous facilities that have more than a single function (i.e., housing both long-term sentenced adult prisoners and pre-trial detainees). The primary functional categories into which facility types are identified was determined by the relative size of offender populations in a particular facility on December 31, 2017. If, for example, a 1,000-bed facility housed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1" w:lineRule="exact"/>
        <w:rPr>
          <w:rFonts w:ascii="Arial" w:cs="Arial" w:eastAsia="Arial" w:hAnsi="Arial"/>
          <w:sz w:val="17"/>
          <w:szCs w:val="17"/>
          <w:color w:val="auto"/>
        </w:rPr>
      </w:pPr>
    </w:p>
    <w:p>
      <w:pPr>
        <w:ind w:left="586" w:hanging="586"/>
        <w:spacing w:after="0"/>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Remaining renewal options represents the number of renewal options, if applicable, and the term of each option renewal.</w:t>
      </w:r>
    </w:p>
    <w:p>
      <w:pPr>
        <w:spacing w:after="0" w:line="14" w:lineRule="exact"/>
        <w:rPr>
          <w:rFonts w:ascii="Arial" w:cs="Arial" w:eastAsia="Arial" w:hAnsi="Arial"/>
          <w:sz w:val="17"/>
          <w:szCs w:val="17"/>
          <w:color w:val="auto"/>
        </w:rPr>
      </w:pPr>
    </w:p>
    <w:p>
      <w:pPr>
        <w:jc w:val="both"/>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jc w:val="both"/>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facilities are subject to purchase options held by the Georgia Department of Corrections, or GDOC, which grants the GDOC the right to purchase the facility for the lesser of the facility's depreciated book value, as defined, or fair market value at any time during the term of the contract between the GDOC and us.</w:t>
      </w:r>
    </w:p>
    <w:p>
      <w:pPr>
        <w:jc w:val="both"/>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facility is subject to a deed of conveyance with the city of Wheelwright, Kentucky which includes provisions that would allow assumption of ownership by the city of Wheelwright under the following occurrences: (1) we cease to operate the facility for more than two years, (2) our failure to maintain at least one employee for a period of sixty consecutive days, or (3) a conversion to a maximum security facility based upon classification by the Kentucky Corrections Cabinet. We have entered into an agreement with the city of Wheelwright that extends the reversion through July 31, 2018, in exchange for $20,000 per month or until we resume operations.</w:t>
      </w:r>
    </w:p>
    <w:p>
      <w:pPr>
        <w:jc w:val="both"/>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facility is subject to a purchase option held by the Tallahatchie County Correctional Authority which grants Tallahatchie County Correctional Authority the right to purchase the facility at any time during the contract at a price generally equal to the cost of the premises less an allowance for amortization originally over a 20 year period. The amortization period was extended through 2050 in connection with an expansion completed during the fourth quarter of 2007.</w:t>
      </w:r>
    </w:p>
    <w:p>
      <w:pPr>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state of Montana has an option to purchase the facility generally at any time during the term of the contract with us at fair market value less the sum of a pre-determined portion of per-diem payments made to us by the state of Montana.</w:t>
      </w:r>
    </w:p>
    <w:p>
      <w:pPr>
        <w:ind w:left="586" w:hanging="586"/>
        <w:spacing w:after="0" w:line="273" w:lineRule="auto"/>
        <w:tabs>
          <w:tab w:leader="none" w:pos="58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ind w:left="586" w:hanging="586"/>
        <w:spacing w:after="0" w:line="257"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facilities are subject to purchase options held by the Oklahoma Department of Corrections, or ODOC, which grants the ODOC the right to purchase the facility at its fair market value at any time during the term of the contract with ODOC.</w:t>
      </w:r>
    </w:p>
    <w:p>
      <w:pPr>
        <w:ind w:left="586" w:hanging="586"/>
        <w:spacing w:after="0" w:line="274" w:lineRule="auto"/>
        <w:tabs>
          <w:tab w:leader="none" w:pos="58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state of Tennessee has the option to purchase the facility in the event of our bankruptcy, or upon an operational or financial breach under the management agreement, at a price equal to the book value, as determined under such agreement.</w:t>
      </w:r>
    </w:p>
    <w:p>
      <w:pPr>
        <w:spacing w:after="0" w:line="380" w:lineRule="exact"/>
        <w:rPr>
          <w:sz w:val="20"/>
          <w:szCs w:val="20"/>
          <w:color w:val="auto"/>
        </w:rPr>
      </w:pPr>
    </w:p>
    <w:p>
      <w:pPr>
        <w:ind w:left="5026"/>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70485</wp:posOffset>
            </wp:positionV>
            <wp:extent cx="729297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6"/>
          </w:cols>
          <w:pgMar w:left="834" w:top="376"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Competitive Strengths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our three business offerings,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The First and Largest Private Prison Owner. </w:t>
      </w:r>
      <w:r>
        <w:rPr>
          <w:rFonts w:ascii="Arial" w:cs="Arial" w:eastAsia="Arial" w:hAnsi="Arial"/>
          <w:sz w:val="16"/>
          <w:szCs w:val="16"/>
          <w:color w:val="auto"/>
        </w:rPr>
        <w:t>Under our CoreCivic Safety platform, we are the nation's largest private prison owner and one of the largest prison</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 the United States, which provides us significant credibility with our current and prospective clients. We believe we own approximately 58% of all privately owned prison beds in the United States and manage nearly 39% of all privately managed prison beds in the United States. We pioneered modern-day private prisons with a list of notable accomplishments, such as being the first company to design, build, and operate a private prison, the first company to manage a private maximum-security facility under a direct contract with the federal government, the first company to purchase a government-owned correctional facility from a governmental agency in the United States and to manage the facility for the government agency, the first company to lease a private prison to a state government, and with an award from the state of Kansas in January 2018, we will be the first company to develop a privately-owned, build-to-suit correctional facility to be operated by a government agency through a long-term lease agreement. In addition to providing us with extensive experience and institutional knowledge, our size also helps us deliver value to our customers by providing purchasing power and allowing us to achieve certain economies of scale.</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Available Beds within Our Existing Facilities. </w:t>
      </w:r>
      <w:r>
        <w:rPr>
          <w:rFonts w:ascii="Arial" w:cs="Arial" w:eastAsia="Arial" w:hAnsi="Arial"/>
          <w:sz w:val="17"/>
          <w:szCs w:val="17"/>
          <w:color w:val="auto"/>
        </w:rPr>
        <w:t>As of December 31, 2017, we had approximately 9,800 beds at eight prison facilities that are vacant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available to use. We are actively engaged in marketing this available capacity to existing and prospective customers. Historically, we have been successful in substantially filling our inventory of available beds and the beds that we have constructed. Filling these available beds could provide substantial growth in revenues, cash flow, and earnings per share. We expect the Commonwealth of Kentucky to utilize one of our previously idled prison facilities containing 816 beds beginning in the second quarter of 2018 pursuant to a new management contract we executed in November 2017.</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Well-Established Community Corrections Platform. </w:t>
      </w:r>
      <w:r>
        <w:rPr>
          <w:rFonts w:ascii="Arial" w:cs="Arial" w:eastAsia="Arial" w:hAnsi="Arial"/>
          <w:sz w:val="17"/>
          <w:szCs w:val="17"/>
          <w:color w:val="auto"/>
        </w:rPr>
        <w:t>Under our CoreCivic Community and CoreCivic Properties platforms, we have a rapidly growing network of</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corrections facilities we own and manage, as well as facilities we own and lease to third-party operators. Community corrections facilities offer housing and programs, with a key focus on employment, job readiness and life skills in order to help offenders successfully re-enter the community and reduce the risk of recidivism.</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the second largest community corrections owner and operator in the United States, with 33 residential reentry centers containing a total of 6,261 beds. We believe this recognition provides us with a platform for further growth. We acquired eight residential reentry centers during 2017, which added an additional 1,179 beds to our existing residential reentry portfolio. See "2017 Accomplishments" for a summary of certain of our growth transactions completed during the year ended December 31, 2017. We acquired the residential reentry centers as strategic investments that further expand the network of reentry assets we own and the reentry services we provide. Acquisitions of residential reentry centers prior to 2017 include the following:</w:t>
      </w:r>
    </w:p>
    <w:p>
      <w:pPr>
        <w:spacing w:after="0" w:line="73" w:lineRule="exact"/>
        <w:rPr>
          <w:sz w:val="20"/>
          <w:szCs w:val="20"/>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 of Correctional Management, Inc., or CMI, in April 2016 (7 facilities with 605 beds);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 of a residential reentry center in Long Beach, California in June 2016 (112 beds);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 of Avalon Correctional Services, Inc., or Avalon, in October 2015 (11 facilities with 3,157 beds);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 of four community corrections facilities in Pennsylvania in August 2015 (605 beds); and</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Acquisition of Correctional Alternatives, Inc., or CAI, in July 2013 (2 facilities with 603 beds).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believe the demand for the housing and programs that community corrections facilities offer will continue to grow as offenders are released from prison and due to an increased awareness of the important role these programs play in an offender's successful transition from prison to society. We expect to continue to pursue opportunities to acquire additional community corrections facilities in order to provide these services to parolees, defendants, and offenders who are serving their full sentence, the last portion of their sentence, waiting to be sentenced, awaiting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trial while supervised in a community environment, or as an alternative to incarceration. We also believe we have the opportunity to maximize utilization of available beds within our community corrections portfolio that would further increase the number of individuals benefiting from the services we provide in such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Attractive REIT Profile. </w:t>
      </w:r>
      <w:r>
        <w:rPr>
          <w:rFonts w:ascii="Arial" w:cs="Arial" w:eastAsia="Arial" w:hAnsi="Arial"/>
          <w:sz w:val="17"/>
          <w:szCs w:val="17"/>
          <w:color w:val="auto"/>
        </w:rPr>
        <w:t>Key characteristics of our business make us a highly attractive REIT. As of December 31, 2017, we owned or controlled 82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containing approximately 14.8 million square feet which, for the year ended December 31, 2017, generated 99% of our net operating income, or our operating income before general and administrative expenses, asset impairments, depreciation, and amortization. Land and buildings comprise approximately 90% of our gross fixed assets.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believe we are the largest developer of mission-critical, criminal justice center real estate projects over the past 15 years. We also believe we are the largest private owner of real estate used by government agencies. We provide space and services under contracts with federal, state, and local government agencies that generally have credit ratings of single-A or better. In addition, a majority of our contracts have terms between one and five years, and we have historically experienced customer retention of approximately 91%, which contributes to our relatively predictable and stable revenue base. This stream of revenue combined with our low maintenance capital expenditure requirement translates into steady, predictable cash flow. We believe the REIT structure also provides us with greater access to capital and flexibility to pursue growth opportunities, and provides a high dividend yield to our shareholders compared with other investments.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Flexible Real Estate Solutions and Attractive Real Estate Portfolio. </w:t>
      </w:r>
      <w:r>
        <w:rPr>
          <w:rFonts w:ascii="Arial" w:cs="Arial" w:eastAsia="Arial" w:hAnsi="Arial"/>
          <w:sz w:val="17"/>
          <w:szCs w:val="17"/>
          <w:color w:val="auto"/>
        </w:rPr>
        <w:t>Under our CoreCivic Properties platform, we offer our customers an attractive portfolio of</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that can be leased for various needs as an alternative to providing "turn-key" correctional, detention, and residential reentry bed space and services to our government partners. In May 2016, we entered into a lease with the ODOC for our previously idled 2,400-bed North Fork Correctional Facility. The lease agreement commenced on July 1, 2016, and includes a five-year base term with unlimited two-year renewal options. The lease of the North Fork facility, along with the lease of our California City Correctional Center to the CDCR originating in 2013, exemplify our ability to react quickly to our partners' needs with innovative and flexible solutions that make the best use of taxpayer dollars. We intend to pursue additional opportunities to lease prison facilities to government and other third-party operators in need of correctional capacity.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24, 2018, we entered into a 20-year lease agreement with the Kansas Department of Corrections for a 2,432-bed correctional facility we will construct in Lansing, Kansas. The new facility will replace the Lansing Correctional Facility, the State's largest correctional complex for adult male inmates, originally constructed in 1863.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Construction of the new facility is expected to commence in the first quarter of 2018 with a timeline for completion of approximately 24 months. With the extensively aged criminal justice infrastructure in the U.S. today, we believe we can bring our flexible solutions like this to other government agencies.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we intend to pursue additional opportunities like the 2017 acquisition of the residential reentry center in Stockton, California, the 2016 acquisition of the Long Beach facility in California, and the 2015 acquisition of four community corrections facilities in Pennsylvania, all of which are leased to third-party operators.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2017, we completed the acquisition of a portfolio of four properties, which not only included a 230-bed residential reentry center which is leased to the state of Georgia, but also three properties in North Carolina and Georgia leased to the GSA, two of which are occupied by the SSA and one of which is occupied by the IRS. In January 2018, we completed the acquisition of Capital Commerce Center, a 261,000 square foot office building leased primarily to the Florida Department of Business and Professional Regulation, an agency of the state of Florida. We intend to pursue additional opportunities to acquire government-leased assets, with a bias toward those used to provide mission-critical governmental services, that we believe have favorable investment returns, diversify our cash flows, and increase value to our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17"/>
          <w:szCs w:val="17"/>
          <w:i w:val="1"/>
          <w:iCs w:val="1"/>
          <w:color w:val="auto"/>
        </w:rPr>
        <w:t xml:space="preserve">Offer Compelling Value. </w:t>
      </w:r>
      <w:r>
        <w:rPr>
          <w:rFonts w:ascii="Arial" w:cs="Arial" w:eastAsia="Arial" w:hAnsi="Arial"/>
          <w:sz w:val="17"/>
          <w:szCs w:val="17"/>
          <w:color w:val="auto"/>
        </w:rPr>
        <w:t>We believe our government partners seek a compelling value and service offering when selecting an outsourced correctional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We believe we offer a cost-effective alternative to our government partners by reducing their correctional services costs, including the avoidance of long-term pension obligations and large capital investments in new prison beds.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productivity. Through ongoing company-wide initiatives, we continue to focus on efforts to contain costs and improve operating efficiencies.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2017, we launched a nationwide initiative to advocate for a range of government policies that will help former offenders successfully reenter society and stay out of prison. 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offenders with the opportunity to succeed when they are released, making our communities safer, and, ultimately, reducing recidivism.</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believe our robust preventive maintenance program included in our service offering significantly reduces the risk of real estate neglect. We also offer utility management services using environmentally-friendly, state-of-the-art technology. We believe our strengths in these areas were significant contributing factors in the state of Kansas selecting us to construct a replacement facility for the Lansing Correctional Center, which we will lease to the State under a twenty-year lease agreement.</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Acquisitions, Development, and Expansion Opportunitie</w:t>
      </w:r>
      <w:r>
        <w:rPr>
          <w:rFonts w:ascii="Arial" w:cs="Arial" w:eastAsia="Arial" w:hAnsi="Arial"/>
          <w:sz w:val="17"/>
          <w:szCs w:val="17"/>
          <w:color w:val="auto"/>
        </w:rPr>
        <w:t>s. The demand for prison capacity in the short-term has been affected by the budget challenges many of</w:t>
      </w:r>
      <w:r>
        <w:rPr>
          <w:rFonts w:ascii="Arial" w:cs="Arial" w:eastAsia="Arial" w:hAnsi="Arial"/>
          <w:sz w:val="17"/>
          <w:szCs w:val="17"/>
          <w:i w:val="1"/>
          <w:iCs w:val="1"/>
          <w:color w:val="auto"/>
        </w:rPr>
        <w:t xml:space="preserve"> </w:t>
      </w:r>
      <w:r>
        <w:rPr>
          <w:rFonts w:ascii="Arial" w:cs="Arial" w:eastAsia="Arial" w:hAnsi="Arial"/>
          <w:sz w:val="17"/>
          <w:szCs w:val="17"/>
          <w:color w:val="auto"/>
        </w:rPr>
        <w:t>our government partners currently face. At the same time, these challenges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before we develop new prison capacity on a speculative basis. We will, however, respond to customer demand and may develop or expand correctional and detention facilities when we believe potential long-term returns justify the capital deployment. We expect to continue to pursue investment opportunities in residential reentry centers and are in various stages of due diligence to complete additional acquisitions. The transactions that have not yet closed will also be subject to various customary closing conditions, and we can provide no assurance that any such transactions will ultimately be completed. We are also pursuing investment opportunities in other real estate assets with a bias toward those used to provide mission-critical governmental services, as well as other businesses that expand the range of solutions we provide to government partners which will further diversify our cash flows.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Proven Senior Management Team. </w:t>
      </w:r>
      <w:r>
        <w:rPr>
          <w:rFonts w:ascii="Arial" w:cs="Arial" w:eastAsia="Arial" w:hAnsi="Arial"/>
          <w:sz w:val="17"/>
          <w:szCs w:val="17"/>
          <w:color w:val="auto"/>
        </w:rPr>
        <w:t>Our senior management team has applied their prior experience and diverse industry expertise to improve our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financial results, and capital structure. Under our senior management team's leadership, we have successfully executed strategies to diversify our business and offer a broader range of solutions to government partners over the past several years resulting in the Company being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both"/>
        <w:spacing w:after="0" w:line="322" w:lineRule="auto"/>
        <w:rPr>
          <w:sz w:val="20"/>
          <w:szCs w:val="20"/>
          <w:color w:val="auto"/>
        </w:rPr>
      </w:pPr>
      <w:r>
        <w:rPr>
          <w:rFonts w:ascii="Arial" w:cs="Arial" w:eastAsia="Arial" w:hAnsi="Arial"/>
          <w:sz w:val="16"/>
          <w:szCs w:val="16"/>
          <w:color w:val="auto"/>
        </w:rPr>
        <w:t>renamed and rebranded as CoreCivic, created new business opportunities with customers that have not previously utilized the private corrections sector, converted to a REIT, completed several business combination transactions, and successfully completed numerous recapitalization and refinancing transactions.</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Financial Flexibility</w:t>
      </w:r>
      <w:r>
        <w:rPr>
          <w:rFonts w:ascii="Arial" w:cs="Arial" w:eastAsia="Arial" w:hAnsi="Arial"/>
          <w:sz w:val="16"/>
          <w:szCs w:val="16"/>
          <w:color w:val="auto"/>
        </w:rPr>
        <w:t>. As of December 31, 2017, we had cash on hand of $52.2 million and $694.1 million available under our revolving credit facility, with a total</w:t>
      </w:r>
      <w:r>
        <w:rPr>
          <w:rFonts w:ascii="Arial" w:cs="Arial" w:eastAsia="Arial" w:hAnsi="Arial"/>
          <w:sz w:val="16"/>
          <w:szCs w:val="16"/>
          <w:i w:val="1"/>
          <w:iCs w:val="1"/>
          <w:color w:val="auto"/>
        </w:rPr>
        <w:t xml:space="preserve"> </w:t>
      </w:r>
      <w:r>
        <w:rPr>
          <w:rFonts w:ascii="Arial" w:cs="Arial" w:eastAsia="Arial" w:hAnsi="Arial"/>
          <w:sz w:val="16"/>
          <w:szCs w:val="16"/>
          <w:color w:val="auto"/>
        </w:rPr>
        <w:t>weighted average effective interest rate of 4.7% on all outstanding debt, while our total weighted average maturity on all outstanding debt was 4.8 years. For the year ended December 31, 2017, our fixed charge coverage ratio was 5.6x and our debt leverage was 3.6x. During the year ended December 31, 2017, we generated $341.3 million in cash through operating activities, and as of December 31, 2017, we had net working capital of $36.7 million.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Strategy</w:t>
      </w:r>
    </w:p>
    <w:p>
      <w:pPr>
        <w:spacing w:after="0" w:line="125"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Our business development strategy includes marketing our available beds to existing and potential government partners that seek corrections, detention, and reentry management services. We may also offer government partners the opportunity to lease our idle facilities as an alternative to providing "turn-key" bed space and services to our government partners. Successful efforts would generate significant cash flows without the need to incur substantial capital expenditures.</w:t>
      </w:r>
    </w:p>
    <w:p>
      <w:pPr>
        <w:spacing w:after="0" w:line="13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business development strategy also includes mergers and acquisitions, or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These business development activities will require capital. We currently expect to fund these growth opportunities with cash on hand and availability under our revolving credit facility. As of December 31, 2017, we had cash on hand of $52.2 million and $694.1 million available under our revolving credit facility. We may also seek to issue debt or equity securities from time to time when we determine that market conditions and the opportunity to utilize the proceeds from the issuance of such securities are favorable. We currently anticipate that any proceeds obtained through capital markets transactions would be used to repay borrowings under our revolving credit facility. We will also pursue alternative sources of capital that could include secured indebtedness, subject to limitations set forth in our debt agreements.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2017, we completed the offering of $250.0 million aggregate principal amount of 4.75% senior notes due October 15, 2027. We used net proceeds from the offering to pay down a portion of our revolving credit facility, thereby increasing the availability of borrowings under the revolving credit facility that is used to fund growth opportunities that require capital deployment.</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January 2018, we obtained a $24.5 million mortgage note with an interest rate of 4.5%, maturing in 2033, to partially finance the $44.7 million acquisition of Capital Commerce Center, a 261,000 square-foot property located in Tallahassee, Florida. We may obtain additional secured indebtedness in connection with the acquisition of additional government-leased properties like Capital Commerce Center, where we believe the terms offer attractive alternatives to other forms of capital.</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February 26, 2016, we entered into an ATM Equity Offering Sales Agreement, or ATM Agreement, with multiple sales agents. Pursuant to the ATM Agreement, we may offer and sell to or through the sales agents from time to time, shares of our common stock, par value $0.01 per share, having an aggregate gross sales price of up to $200.0 million. Sales, if any, of our shares of common stock will be made primarily in "at-the-market" offerings, as defined in Rule 415 under the Securities Act of 1933, as amended. The shares of common stock would be offered and sold pursuant to our registration statement on Form S-3 filed with the SEC on May 15, 2015, and a related prospectus supplement dated February 26, 2016. We intend to use the net proceeds from any sale of shares of our common stock to repay borrowings under our revolving credit facility (including the Term Loan under the "accordion" feature of the revolving credit facility) and for general corporate purposes, including to fund future acquisitions and development projects. We believe the ATM program is a useful tool to match fund proceeds from common stock sales with M&amp;A activities and other capital needs, in order to manage our capital allocation strategy.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There were no shares of our common stock sold under the ATM Agreement during the years ended December 31, 2017 and 2016.</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reorganized our corporate structure to facilitate our qualification as a REIT for federal income tax purposes effective for our taxable year beginning January 1, 2013. To qualify and be taxed as a REIT, we generally are required to distribute annually to our stockholders at least 90% of our REIT taxable income (determined without regard to the dividends paid deduction and excluding net capital gains), and are subject to regular corporate income taxes to the extent we distribute less than 100% of our REIT taxable income (including capital gains) each year. The amount, timing and frequency of future distributions, however, will be at the sole discretion of our Board of Directors and will be declared based upon various factors, many of which are beyond our control, including our financial condition and operating cash flows, the amount required to maintain qualification and taxation as a REIT and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 Because as a REIT we are required to distribute a substantial portion of our cash generated from operations to stockholders as a dividend, growth opportunities may require more external capital resources than were required prior to our conversion to a REIT. During 2017, our Board of Directors declared a quarterly dividend of $0.42 in each quarter, totaling $199.8 million for the year, compared with a total of $241.7 million during 2016 and $254.8 million during 2015.</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the cash on hand and availability under our revolving credit facility, we currently expect our REIT taxable income to be less than our operating cash flow, primarily due to the deductibility of non-cash expenses such as depreciation on our real estate assets. This liquidity provides us with the flexibility to (i) invest in additional facility acquisitions and developments, which could include acquisitions of facilities from government partners, third parties, or additional business combinations, (ii) pay down debt, (iii) increase dividends to our stockholders, or (iv) repurchase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Regulations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industry in which we operate is subject to extensive federal, state, and local regulations, including educational, health care, and safety regulations, which are administered by many governmental and regulatory authorities. Some of the regulations are unique to the corrections industry. Facility management contracts typically include specific staffing requirements, reporting requirements, supervision, and on-site monitoring by representatives of the contracting governmental agencies. Corrections officers are customarily required to meet certain training standards and, in some instances, facility personnel are required to be licensed and subject to background investigation. Certain jurisdictions also require us to award subcontracts on a competitive basis or to subcontract with businesses owned by members of minority groups. Our facilities are also subject to operational and financial audits by the governmental agencies with which we have contracts. Failure to comply with these regulations and contract requirements can result in material penalties or non-renewal or termination of facility management contracts.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may adversely affect our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 of 1996 and Privacy and Security Requirements</w:t>
      </w:r>
    </w:p>
    <w:p>
      <w:pPr>
        <w:spacing w:after="0" w:line="119"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In 1996, Congress enacted the Health Insurance Portability and Accountability Act of 1996, or HIPAA. HIPAA was designed to improve the portability and continuity of health insurance coverage, simplify the administration of health insurance, and protect the privacy and security of health-related information.</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Privacy regulations promulgated under HIPAA regulate the use and disclosure of individually identifiable health information, whether communicated electronically, on paper, or orally. The regulations also provide patients with significant rights related to understanding and controlling how their health information is used or disclosed. Security regulations promulgated under HIPAA require that covered entities, including most health care providers, health clearinghouses, group health plans, and their business associates, implement administrative, physical, and technical safeguards to protect the security of individually identifiable health information that is maintained or transmitted electronically. These privacy and security regulations require the implementation of compliance training and awareness programs for our health care service providers and selected other employees primarily associated with our employee medical plans. Further, covered entities and their business associates must provide notification to affected individuals without unreasonable delay but not to exceed 60 days of discovery of a breach of unsecured protected health information. Notification must also be made to the U.S. Department of Health and Human Services, or DHHS, and, in certain situations involving large breaches, to the media. In a final rule released in January 2013, DHHS modified the breach notification requirement by creating a presumption that all non-permitted uses or disclosures of unsecured protected health information are breaches unless the covered entity or business associate establishes that there is a low probability the information has been compromised.</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Violations of the HIPAA privacy and security regulations could result in significant civil and criminal penalties, and the Health Information Technology for Economic and Clinical Health Act of 2009, or HITECH, which was modified by the 2013 final HITECH rule, strengthened the enforcement provisions of HIPAA. HITECH broadens the applicability of the criminal penalty provisions to employees of covered entities and requires DHHS to impose penalties for violations resulting from willful neglect. HITECH also increases the amount of the civil penalties, with penalties of up to $50,000 per violation for a maximum civil penalty of $1,500,000 in a calendar year for violations of the same requirement. Further, HITECH authorizes state attorneys general to bring civil actions for injunctions or damages in response to violations that threaten the privacy of state residents. In addition, under HITECH, DHHS is required to perform periodic HIPAA compliance audits of covered entities and their business associates. These provisions, as modified by the 2013 final HITECH rule, may be subject to interpretation by various courts and other governmental authorities, thus creating potentially complex compliance issues.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there are numerous legislative and regulatory initiatives at the federal and state levels addressing the privacy and security of patient health information and other identifying information. For example, federal and various state laws and regulations strictly regulate the disclosure of patient identifiable information related to substance abuse treatment. Further, various state laws and regulations require providers and other entities to notify affected individuals in the event of a data breach involving certain types of individually identifiable health or financial information, and these requirements may be more restrictive than the regulations issued under HIPAA and HITECH. Such laws may not be preempted by the HIPAA privacy standards and security standards. These statutes vary and could impose additional penalties and compliance costs.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maintain general liability insurance for all the facilities we operate, as well as insurance in amounts we deem adequate to cover property and casualty risks, workers' compensation,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Each of our management contracts and the statutes of certain states require the maintenance of insurance. We maintain various insurance policies including employee health, workers' compensation, automobile liability, and general liability insurance.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jc w:val="both"/>
        <w:spacing w:after="0" w:line="267" w:lineRule="auto"/>
        <w:rPr>
          <w:sz w:val="20"/>
          <w:szCs w:val="20"/>
          <w:color w:val="auto"/>
        </w:rPr>
      </w:pPr>
      <w:r>
        <w:rPr>
          <w:rFonts w:ascii="Arial" w:cs="Arial" w:eastAsia="Arial" w:hAnsi="Arial"/>
          <w:sz w:val="17"/>
          <w:szCs w:val="17"/>
          <w:color w:val="auto"/>
        </w:rPr>
        <w:t>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2017, we employed 12,875 full- and part-time employees. Of such employees, 385 were employed at our corporate offices and 12,490 were employed at our facilities and in our inmate transportation business. We employ personnel in the following areas: clerical and administrative, facility administrators/wardens, security, medical, quality assurance, transportation and scheduling, maintenance, teachers, counselors, case managers, chaplains, and other support services.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not experienced a strike or work stoppage at any of our facilities. Approximately 810 employees at three of our facilities are represented by labor unions. In the opinion of management, overall employee relations are good.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 material adverse effect on the operating revenue of our facilities. In addition, revenue derived from our facilities will be affected by a number of factors, including the demand for beds, general economic conditions, and the age of the general population.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compete with numerous developers, real estate companies and other owners of commercial properties for acquisitions of government-leased assets. Other real estate investors, including insurance companies, private equity funds, sovereign wealth funds, pension funds, other REITs, and other well-capitalized investors will compete with us to acquire government-leased properties. In addition, U.S. Government tenants are viewed as desirable tenants by other landlords because of their strong credit profile, and properties leased to U.S. Government tenant agencies often attract many potential buyers. This competition could increase prices for properties of the type we may pursue and impede our ability to grow and diversify.</w:t>
      </w:r>
    </w:p>
    <w:p>
      <w:pPr>
        <w:spacing w:after="0" w:line="27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the owner and operator of correctional, detention, and residential reentry facilities, we are subject to certain risks and uncertainties associated with, among other things, the corrections and detention industry and pending or threatened litigation in which we are involved. In addition, we are also currently subject to risks associated with our indebtedness as well as our qualification as a REIT for federal income tax purposes effective for our taxable years beginning January 1, 2013.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results of operations are dependent on revenues generated by our correctional, detention, and residential reentry facilities, which are subject to the following risks associated with the corrections and detention industry.</w:t>
      </w:r>
    </w:p>
    <w:p>
      <w:pPr>
        <w:spacing w:after="0" w:line="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We are subject to fluctuations in occupancy levels, and a decrease in occupancy levels could cause a decrease in revenues and profitability. </w:t>
      </w:r>
      <w:r>
        <w:rPr>
          <w:rFonts w:ascii="Arial" w:cs="Arial" w:eastAsia="Arial" w:hAnsi="Arial"/>
          <w:sz w:val="16"/>
          <w:szCs w:val="16"/>
          <w:color w:val="auto"/>
        </w:rPr>
        <w:t>While a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our cost structure is fixed, a substantial portion of our revenue is generated under facility ownership and management contracts that specify per diem payments based upon daily occupancy. We are dependent upon the governmental agencies with which we have contracts to provide offenders for facilities we operate. We cannot control occupancy levels at the facilities we operate. Under a per diem rate structure, a decrease in our occupancy rates could cause a decrease in revenue and profitability. For the years 2017, 2016, and 2015, the average compensated occupancy of our facilities, based on rated capacity, was 80%, 79%, and 83%,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 material adverse effect on our profitability.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We are dependent on government appropriations, and our results of operations may be negatively affected by governmental budgetary challenges. </w:t>
      </w:r>
      <w:r>
        <w:rPr>
          <w:rFonts w:ascii="Arial" w:cs="Arial" w:eastAsia="Arial" w:hAnsi="Arial"/>
          <w:sz w:val="16"/>
          <w:szCs w:val="16"/>
          <w:color w:val="auto"/>
        </w:rPr>
        <w:t>Our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Competition may adversely affect the profitability of our business. </w:t>
      </w:r>
      <w:r>
        <w:rPr>
          <w:rFonts w:ascii="Arial" w:cs="Arial" w:eastAsia="Arial" w:hAnsi="Arial"/>
          <w:sz w:val="17"/>
          <w:szCs w:val="17"/>
          <w:color w:val="auto"/>
        </w:rPr>
        <w:t>We compete with government entities and other private operators on the basis of bed</w:t>
      </w:r>
      <w:r>
        <w:rPr>
          <w:rFonts w:ascii="Arial" w:cs="Arial" w:eastAsia="Arial" w:hAnsi="Arial"/>
          <w:sz w:val="17"/>
          <w:szCs w:val="17"/>
          <w:i w:val="1"/>
          <w:iCs w:val="1"/>
          <w:color w:val="auto"/>
        </w:rPr>
        <w:t xml:space="preserve"> </w:t>
      </w:r>
      <w:r>
        <w:rPr>
          <w:rFonts w:ascii="Arial" w:cs="Arial" w:eastAsia="Arial" w:hAnsi="Arial"/>
          <w:sz w:val="17"/>
          <w:szCs w:val="17"/>
          <w:color w:val="auto"/>
        </w:rPr>
        <w:t>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housed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6"/>
          <w:szCs w:val="16"/>
          <w:i w:val="1"/>
          <w:iCs w:val="1"/>
          <w:color w:val="auto"/>
        </w:rPr>
        <w:t xml:space="preserve">Resistance to privatization of correctional and detention facilities, and negative publicity regarding inmate disturbances or perceived poor operational performance, could result in our inability to obtain new contracts, the loss of existing contracts, or other unforeseen consequences. </w:t>
      </w:r>
      <w:r>
        <w:rPr>
          <w:rFonts w:ascii="Arial" w:cs="Arial" w:eastAsia="Arial" w:hAnsi="Arial"/>
          <w:sz w:val="16"/>
          <w:szCs w:val="16"/>
          <w:color w:val="auto"/>
        </w:rPr>
        <w:t>Privatization of correctional</w:t>
      </w:r>
      <w:r>
        <w:rPr>
          <w:rFonts w:ascii="Arial" w:cs="Arial" w:eastAsia="Arial" w:hAnsi="Arial"/>
          <w:sz w:val="16"/>
          <w:szCs w:val="16"/>
          <w:i w:val="1"/>
          <w:iCs w:val="1"/>
          <w:color w:val="auto"/>
        </w:rPr>
        <w:t xml:space="preserve"> </w:t>
      </w:r>
      <w:r>
        <w:rPr>
          <w:rFonts w:ascii="Arial" w:cs="Arial" w:eastAsia="Arial" w:hAnsi="Arial"/>
          <w:sz w:val="16"/>
          <w:szCs w:val="16"/>
          <w:color w:val="auto"/>
        </w:rPr>
        <w:t>and detention facilities has not achieved complete acceptance by either governments or the public. The operation of correctional and detention facilities by private entities has encountered resistance from certain groups, such as labor unions and others, that believe that correctional and detention facilities should only be operated by governmental agencies. In the past, legislation has been proposed in the United States Congress to prohibit the federal government from entering into contracts with private prison operators and to eliminate state and local contracts for privately run prisons. Further, in September 2017, another bill was introduced in the U.S. House of Representatives that could affect private immigrant detention facilities. If enacted as written, the Dignity for Detained Immigrants Act would, from the day of its enactment, prohibit the Department of Homeland Security from entering into or extending any contract with a private company for an immigrant detention facility. It would also be required to terminate any such contract it had within three years of the law's passage. While this would impact only our contracts with ICE and would not impact our contracts with BOP or USMS, such legislation runs contrary to our primary business purpose and, if passed, could have a material adverse impact on our business, financial condition, or results of operations. Moreover, the belief or market perception that such legislation could be passed could have a negative impact on our stock price.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 negative publicity regarding an escape, riot or other disturbance or perceived poor operational performance, contract compliance, or other conditions at a privately managed facility may result in adverse publicity to us and the private corrections industry in general. Any of these occurrences or continued trends may make it more difficult for us to renew or maintain existing contracts or to obtain new contracts, which could have a material adverse effect on our business.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We are subject to terminations, non-renewals, or competitive re-bids of our government contracts. </w:t>
      </w:r>
      <w:r>
        <w:rPr>
          <w:rFonts w:ascii="Arial" w:cs="Arial" w:eastAsia="Arial" w:hAnsi="Arial"/>
          <w:sz w:val="16"/>
          <w:szCs w:val="16"/>
          <w:color w:val="auto"/>
        </w:rPr>
        <w:t>We typically enter into facility contracts with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terms of up to five years, with additional renewal periods at the option of the contracting governmental agency. Notwithstanding any contractual renewal option of a contracting governmental agency, as of December 31, 2017, 43 of our facility contracts with the customers listed under "Business – Facility Portfolio – Facilities and Facility Management Contracts" are currently scheduled to expire on or before December 31, 2018 but have renewal options (25), or are currently scheduled to expire on or before December 31, 2018 and have no renewal options (18). Although we generally expect these customers to exercise renewal options or negotiate new contracts with us, one or more of these contracts may not be renewed by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2017 for the 43 contracts with scheduled maturity dates, notwithstanding contractual renewal options, on or before December 31, 2018 was $640.4 million, or 36% of total revenue.</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Based on information available as of the date of this filing, we believe we will renew all material contracts that have expired or are scheduled to expire within the next twelve months.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6"/>
          <w:szCs w:val="16"/>
          <w:i w:val="1"/>
          <w:iCs w:val="1"/>
          <w:color w:val="auto"/>
        </w:rPr>
        <w:t xml:space="preserve">Our ability to secure new contracts to develop and manage correctional, detention, and residential reentry facilities depends on many factors outside our control. </w:t>
      </w:r>
      <w:r>
        <w:rPr>
          <w:rFonts w:ascii="Arial" w:cs="Arial" w:eastAsia="Arial" w:hAnsi="Arial"/>
          <w:sz w:val="16"/>
          <w:szCs w:val="16"/>
          <w:color w:val="auto"/>
        </w:rPr>
        <w:t>Our growth is generally dependent upon our ability to obtain new contracts to develop and manage correctional, detention, and residential reentry</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This possible growth depends on a number of factors we cannot control, including crime rates and sentencing patterns in various jurisdictions, governmental budgetary constraints, and governmental and public acceptance of privatization. The demand for our facilities and services could be adversely affected by the relaxation of enforcement efforts, the expansion of alternatives to incarceration and detention, leniency in conviction or parole standards and sentencing practices or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Also, the expansion of alternatives to incarceration and detention, such as electronic monitoring, may reduce the number of offenders who would otherwise be incarcerated or detained. Similarly, reductions in crime rates or resources dedicated to prevent and enforce crime could lead to reductions in arrests, convictions and sentences requiring incarceration at correctional facilities. Our company does not, under longstanding policy, lobby for or against policies or legislation that would determine the basis for, or duration of, an individual's incarceration or detention.</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certain jurisdictions recently have required successful bidders to make a significant capital investment in connection with the financing of a particular project, a trend that will require us to have sufficient capital resources to compete effectively. We may compete for such projects with companies that have more financial resources than we have. Further, we may not be able to obtain the capital resources when needed. A prolonged downturn in the financial capital markets or in our stock price could make it more difficult to obtain capital resources at favorable rates of return or obtain capital resources at all.</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We may face community opposition to facility location, which may adversely affect our ability to obtain new contracts</w:t>
      </w:r>
      <w:r>
        <w:rPr>
          <w:rFonts w:ascii="Arial" w:cs="Arial" w:eastAsia="Arial" w:hAnsi="Arial"/>
          <w:sz w:val="16"/>
          <w:szCs w:val="16"/>
          <w:color w:val="auto"/>
        </w:rPr>
        <w:t>. Our success in obtaining new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i w:val="1"/>
          <w:iCs w:val="1"/>
          <w:color w:val="auto"/>
        </w:rPr>
        <w:t xml:space="preserve">Providing family residential services increases certain unique risks and difficulties compared to operating our other facilities. </w:t>
      </w:r>
      <w:r>
        <w:rPr>
          <w:rFonts w:ascii="Arial" w:cs="Arial" w:eastAsia="Arial" w:hAnsi="Arial"/>
          <w:sz w:val="15"/>
          <w:szCs w:val="15"/>
          <w:color w:val="auto"/>
        </w:rPr>
        <w:t>In September 2014, we signed an</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agreement to provide safe and humane residential housing, as well as educational opportunities, to women and children under the custody of ICE, who are awaiting their due process before immigration courts. In October 2016, we entered into an amended agreement that extended the term of the 2014 agreement through September 2021. This is an important service to our federal government partner. At the same time, providing this type of residential service subjects us to unique risks such as unanticipated increased costs and litigation that could materially adversely affect our business, financial condition, or results of operations. For example, the contract mandates resident-to-staff ratios that are higher than our typical contract, requires services unique to this contract (e.g. child care and primary education services), and limits the use of security protocols and techniques typically utilized in correctional and detention settings. These operational risks and others associated with privately managing this type of residential facility could result in higher costs associated with staffing and lead to increased litigation.</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Numerous lawsuits, to which we are not a party, have challenged the government's policy of detaining migrant families, and government policies with respect to family immigration may impact the demand for the South Texas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both"/>
        <w:spacing w:after="0" w:line="289" w:lineRule="auto"/>
        <w:rPr>
          <w:sz w:val="20"/>
          <w:szCs w:val="20"/>
          <w:color w:val="auto"/>
        </w:rPr>
      </w:pPr>
      <w:r>
        <w:rPr>
          <w:rFonts w:ascii="Arial" w:cs="Arial" w:eastAsia="Arial" w:hAnsi="Arial"/>
          <w:sz w:val="17"/>
          <w:szCs w:val="17"/>
          <w:color w:val="auto"/>
        </w:rPr>
        <w:t>Family Residential Center. Any court decision or government action that impacts our existing contract for the South Texas Family Residential Center could materially affect our cash flows, financial condition, and results of operations.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We may incur significant start-up and operating costs on new contracts before receiving related revenues, which may impact our cash flows and not be recouped. </w:t>
      </w:r>
      <w:r>
        <w:rPr>
          <w:rFonts w:ascii="Arial" w:cs="Arial" w:eastAsia="Arial" w:hAnsi="Arial"/>
          <w:sz w:val="17"/>
          <w:szCs w:val="17"/>
          <w:color w:val="auto"/>
        </w:rPr>
        <w:t>When we are awarded a contract to provide or manage a facility, we may incur significant start-up and operating expenses, including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constructing the facility, purchasing equipment and staffing the facility, before we receive any payments under the contract. These expenditures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RFPs. </w:t>
      </w:r>
      <w:r>
        <w:rPr>
          <w:rFonts w:ascii="Arial" w:cs="Arial" w:eastAsia="Arial" w:hAnsi="Arial"/>
          <w:sz w:val="16"/>
          <w:szCs w:val="16"/>
          <w:color w:val="auto"/>
        </w:rPr>
        <w:t>Certain of the governmental agencies with which we contract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ability to bid in response to RFPs in one or more jurisdictions.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 </w:t>
      </w:r>
      <w:r>
        <w:rPr>
          <w:rFonts w:ascii="Arial" w:cs="Arial" w:eastAsia="Arial" w:hAnsi="Arial"/>
          <w:sz w:val="16"/>
          <w:szCs w:val="16"/>
          <w:color w:val="auto"/>
        </w:rPr>
        <w:t>The industry in which we operate is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extensive federal, state, and local regulations, including educational, health care, and safety regulations, which are administered by many regulatory authorities. Some of the regulations are unique to the corrections industry, some are unique to government contractors, and the combination of regulations we face is unique and complex. Facility contracts typically include reporting requirements, supervision, and on-site monitoring by representatives of the contracting governmental agencies. Corrections officers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or our other facility contracts, and suspension or debarment from contracting with certain government entities.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may have an adverse effect on 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7"/>
          <w:szCs w:val="17"/>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We are subject to changes in such regulations, which could result in an increase in the cost of our transportation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June 13, 2017, the US Court of Appeals for the District of Columbia Circuit, or the Court, struck down large portions of a late 2016 Order, or the Order, from the Federal Communications Commission, or FCC, which regulates telecommunications. The Order had set numerous rate caps on interstate and intrastate calling services, or ICS, and applied directly to ICS providers that offer their services pursuant to contracts with correctional facilities, including those that we manage. The Court found that the FCC lacked authority to regulate intrastate ICS rates. The Court also found that the FCC had neglected critical factors in calculating interstate rate caps, remanding the interstate rate proceeding back to the FCC for reconsideration. As a result of the Court's decision, an earlier FCC order setting interstate rate caps remains in effect.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it is unclear what, if any, further rate capping action the FCC may take with respect to interstate ICS rates, the financial impact cannot be anticipated at this time. The impact to our revenue is limited because a significant amount of commissions paid by our ICS providers is passed along to our customers or is reserved and used for the benefit of offenders in our care.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previous notices, the FCC sought comment on various topics, including the development of international ICS rate caps; the potential regulation of rates associated with technology based ICS alternatives, such as videoconferencing; and whether additional reforms are necessary for effective regulation of revenue sharing agreements. All of these reforms, if pursued, could impact revenue to correctional facility operators, both public and private, but the most recent decision by the Court appears to limit FCC jurisdiction in some of these areas. For this reason, it remains unclear whether the FCC will undertake further regulatory activity in these fields.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We depend on a limited number of governmental customers for a significant portion of our revenues. </w:t>
      </w:r>
      <w:r>
        <w:rPr>
          <w:rFonts w:ascii="Arial" w:cs="Arial" w:eastAsia="Arial" w:hAnsi="Arial"/>
          <w:sz w:val="16"/>
          <w:szCs w:val="16"/>
          <w:color w:val="auto"/>
        </w:rPr>
        <w:t>We currently derive, and expect to continue to derive,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portion of our revenues from a limited number of governmental agencies. The loss of, or a significant decrease in, business from the BOP, ICE, USMS, or various state agencies could seriously harm our financial condition and results of operations. The three primary federal governmental agencies with correctional and detention responsibilities, the BOP, ICE, and USMS, accounted for 48% of our total revenues for the year ended December 31, 2017 ($839.1 million). ICE accounted for 25% of our total revenues for the year ended December 31, 2017 ($444.1 million), USMS accounted for 16% of our total revenues for the year ended December 31, 2017 ($277.4 million), and BOP accounted for 7% of our total revenues for the year ended December 31, 2017 ($117.6 million). Although the revenue generated from each of these agencies is derived from numerous management contracts, the loss or substantial reduction in value of one or more of such contracts could have a material adverse impact on our financial condition, results of operations, and cash flows. We expect to continue to depend upon these federal agencies and a relatively small group of other governmental customers for a significant percentage of our revenues.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On February 21, 2017, the newly appointed U.S. Attorney General issued a memorandum rescinding the DOJ's prior directive stating the August 18, 2016 memorandum changed long-standing policy and practice and impaired the BOP's ability to meet the future needs of the federal correctional system.</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from our South Texas Family Residential Center was $170.6 million in 2017 and $267.3 million in 2016, reflecting the aforementioned amendment executed in October 2016 as discussed under Item 1, "Business - Business Development". The loss or further reduction in value of this contract would have a material adverse impact on our financial condition, results of operations, and cash flows. See "Management's Discussion and Analysis of Financial Condition and Results of Operations - Results of Operations" for a further discussion regarding our contract at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South Texas Family Residential Center and the reduction in revenue in 2017 that resulted from the amendment to this contract.</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Approximately 6% of our total revenues for the year ended December 31, 2017 ($104.1 million) was generated from the CDCR in facilities housing inmates outside the state of California, a decrease from $113.4 million, or 6%, of our total revenues in 2016, and $170.5 million, or 10% of our total revenues in 2015. Our management agreement with the CDCR, as well as the status of legal and legislative action contributing to the reduction in the state of California inmate populations, are more fully described hereafter in "Management's Discussion and Analysis of Financial Condition and Results of Operations - Results of Operations".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first quarter of 2015, the adult inmate population held in state of California institutions under custody of the CDCR first met a Federal court order to reduce inmate populations below 137.5% of the State's capacity. Inmate populations in the state continued to decline below the court ordered capacity limit which has resulted in declining inmate populations in the out-of-state program at facilities we own and operate. As of December 31, 2017, the adult inmate population held in state of California institutions remained in compliance with the Federal court order at approximately 134.6% of capacity, or approximately 114,500 inmates, which did not include the California inmates held in our out-of-state facilities, compared with 114,000 inmates at December 31, 2016.</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10, 2018, the Governor of California issued a proposed budget for fiscal 2018-2019. The proposed budget contemplates that the continued implementation of initiatives to reduce prison populations will allow the CDCR to eliminate the use of out-of-state contract beds. Current estimates include the removal of all inmates from one of our two out-of-state facilities by the end of fiscal 2017-2018. As the impact of the initiatives grows, the CDCR anticipates the removal of inmates from our other out-of-state facility by fall 2019. Although the proposed budget acknowledges that estimates of population reductions are subject to considerable uncertainty, the complete removal by the CDCR of all inmates from our out-of-state facilities could have a material adverse effect on our financial position, results of operations, and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identify, consummate or integrate acquisitions.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an active acquisition program, the objective of which is to identify suitable acquisition targets that will enhance our growth and diversify our cash flows. The pursuit of acquisitions may pose certain risks to us. We may not be able to identify acquisition candidates that fit our criteria for growth, profitability and diversification strategy. Even if we are able to identify such candidates, we may not be able to acquire them on terms satisfactory to us. We will incur expenses and dedicate attention and resources associated with the review and pursuit of acquisition opportunities, whether or not we consummate such acquisitions.</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Additionally, even if we are able to identify and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the anticipated timing, or at all. We may also assume liabilities in connection with acquisitions to which we would otherwise not be exposed.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270"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 substantial amount of goodwill and other intangible assets resulting from business acquisitions. As of December 31, 2017, we had $40.9 million of goodwill and other intangible assets. At least annually, or whenever events or changes in circumstances indicate a potential impairment in the carrying value as defined by U.S. generally accepted accounting principles, we will evaluate this goodwill for impairment by first assessing qualitative factors to determine whether the existence of events or circumstances leads to a determination that it is more likely than not that the fair value of the reporting unit is less than the carrying amount. Estimated fair values could change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spacing w:after="0" w:line="289" w:lineRule="auto"/>
        <w:rPr>
          <w:sz w:val="20"/>
          <w:szCs w:val="20"/>
          <w:color w:val="auto"/>
        </w:rPr>
      </w:pPr>
      <w:r>
        <w:rPr>
          <w:rFonts w:ascii="Arial" w:cs="Arial" w:eastAsia="Arial" w:hAnsi="Arial"/>
          <w:sz w:val="17"/>
          <w:szCs w:val="17"/>
          <w:color w:val="auto"/>
        </w:rPr>
        <w:t>if there are changes in our capital structure, cost of debt, interest rates, capital expenditure levels, operating cash flows, or market capitalization. Impairments of goodwill or other intangible assets could require material non-cash charges to our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senior management and our ability to attract and retain sufficient qualified personnel.</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success of our business depends in large part on the ability and experience of our senior management. The unexpected loss of any of these persons could materially adversely affect our business and operations.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Many of our contracts include specific staffing requirements, and our failure to satisfy such requirements may result in the imposition of financial penalties.</w:t>
      </w:r>
    </w:p>
    <w:p>
      <w:pPr>
        <w:spacing w:after="0" w:line="26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Legal proceedings related to, and adverse developments in our relationship with, our employees could adversely affect our business, financial condition or results of operations.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and our subsidiaries are party to a variety of claims and legal proceedings in the ordinary course of business, including but not 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 material adverse effect on our business, financial condition or results of operations.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2017, we employed 12,875 full- and part-time employees. Approximately 810 of our employees at three of our facilities, or approximately 6% of our workforce, are represented by labor unions. We have not experienced a strike or work stoppage at any of our facilities and,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 material adverse effect on our business, financial condition, or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necessary insurance costs.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 material adverse effect on us.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inflation.</w:t>
      </w:r>
    </w:p>
    <w:p>
      <w:pPr>
        <w:spacing w:after="0" w:line="119"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See "Management's Discussion and Analysis of Financial Condition and Results of Operations – Inflation."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are subject to legal proceedings associated with owning and managing correctional, detention, and residential reentry facilities.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ownership and management of correctional, detention, and residential reentry facilities, and the provision of inmate transportation services by a subsidiary, expose us to potential third-party claims or litigation by prisoners or other persons relating to personal injury or other damages resulting from contact with a facility, its managers, personnel or other prisoners, including damages arising from a prisoner's escape from, or a disturbance or riot at, a facility we own or manage, or from the misconduct of our employees.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certain stockholder litigation.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August 18, 2016 memorandum changed long-standing policy and practice and impaired the BOP's ability to meet the future needs of the federal correctional system.</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Arial" w:cs="Arial" w:eastAsia="Arial" w:hAnsi="Arial"/>
          <w:sz w:val="17"/>
          <w:szCs w:val="17"/>
          <w:i w:val="1"/>
          <w:iCs w:val="1"/>
          <w:color w:val="auto"/>
        </w:rPr>
        <w:t>Grae v. Corrections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America et al.</w:t>
      </w:r>
      <w:r>
        <w:rPr>
          <w:rFonts w:ascii="Arial" w:cs="Arial" w:eastAsia="Arial" w:hAnsi="Arial"/>
          <w:sz w:val="17"/>
          <w:szCs w:val="17"/>
          <w:color w:val="auto"/>
        </w:rPr>
        <w:t>, Case No. 3:16-cv-02267. The lawsuit is brought on behalf of a putative class of shareholders who purchased or acquired our securities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May 12, 2017, we submitted a motion to dismiss the plaintiff's complaint in its entirety with prejudice. On December 18, 2017, the District Court entered an order denying our motion to dismiss. We believe the lawsuit is entirely without merit, and intend to vigorously defend against it. In addition, we maintain insurance, with certain self-insured retention amounts, to cover the alleged claims which mitigates the risk such litigation would have a material adverse effect on our financial condition,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ownership of real estate.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ownership of correctional, detention, and residential reentry facilities and other government-leased assets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and acts of terrorism, which may be either uninsurable or for which it may not be economically feasible to obtain insurance coverage in light of the substantial costs associated with such insurance. As a result, we could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5" w:name="page36"/>
    <w:bookmarkEnd w:id="35"/>
    <w:p>
      <w:pPr>
        <w:jc w:val="both"/>
        <w:spacing w:after="0" w:line="289" w:lineRule="auto"/>
        <w:rPr>
          <w:sz w:val="20"/>
          <w:szCs w:val="20"/>
          <w:color w:val="auto"/>
        </w:rPr>
      </w:pPr>
      <w:r>
        <w:rPr>
          <w:rFonts w:ascii="Arial" w:cs="Arial" w:eastAsia="Arial" w:hAnsi="Arial"/>
          <w:sz w:val="17"/>
          <w:szCs w:val="17"/>
          <w:color w:val="auto"/>
        </w:rPr>
        <w:t>lose both our capital invested in, and anticipated profits from, one or more of the properties we own. Further, it is possible to experience losses that may exceed the limits of insurance coverage.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facility development and expansion projects pose additional risks, including cost overruns caused by various factors, many of which are beyond our control, such as weather, labor conditions, and material shortages, resulting in increased construction costs. Further, if we are unable to utilize the new bed capacity, our financial results could deteriorate.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Certain of our facilities are subject to options to purchase and reversions. </w:t>
      </w:r>
      <w:r>
        <w:rPr>
          <w:rFonts w:ascii="Arial" w:cs="Arial" w:eastAsia="Arial" w:hAnsi="Arial"/>
          <w:sz w:val="16"/>
          <w:szCs w:val="16"/>
          <w:color w:val="auto"/>
        </w:rPr>
        <w:t>Ten of our facilities are subject to an option to purchase by certain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Such options are exercisable by the corresponding contracting governmental entity generally at any time during the term of the respective facility contract. Certain of these purchase options are based on the depreciated book value of the facility, which essentially results in the transfer of ownership of the facility to the governmental agency at the end of the life used for accounting purposes, while other options to purchase are exercisable at prices below fair market value. See "Business – Facility Portfolio – Facilities and Facility Management Contracts."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2017, the ten facilities currently subject to these options generated $338.9 million in revenue (19.2% of total revenue) and incurred $257.5 million in operating expenses.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Risks related to facility construction and development activities may increase our costs related to such activities. </w:t>
      </w:r>
      <w:r>
        <w:rPr>
          <w:rFonts w:ascii="Arial" w:cs="Arial" w:eastAsia="Arial" w:hAnsi="Arial"/>
          <w:sz w:val="16"/>
          <w:szCs w:val="16"/>
          <w:color w:val="auto"/>
        </w:rPr>
        <w:t>When we are engaged to perform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an increase in costs or difficulty of obtaining adequate levels of surety credit on favorable terms.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at the time, and our ability to bid for or obtain new contracts could be impaired.</w:t>
      </w:r>
    </w:p>
    <w:p>
      <w:pPr>
        <w:spacing w:after="0" w:line="28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Components of our business depend significantly on effective information systems and technologies. As with all companies that utilize information systems, we are vulnerable to negative impacts if the operation of those systems is interrupted, delayed, or certain information contained therein is compromised. As a matter of course, we exchange data with our government partners and other third-party providers. The nature of this business is such that we do not store credit card or other retail transactional data. Additionally, our revenue cycle is such that it provides for a much longer post-breach recovery window without adversely impacting revenue management than is typical. For other personal information we do store, we employ industry-standard methodologies to ensure the availability and security of such systems and information. Additionally, we conduct detailed cyber security and data handling training for all employees with access to that data, and employ independent third parties to assess configuration status, perimeter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7"/>
          <w:szCs w:val="17"/>
          <w:color w:val="auto"/>
        </w:rPr>
        <w:t>strength, and social engineering effectiveness.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Any security breach or event resulting in the interruption, delay or failure of our services or information systems, or the misappropriation, loss, or other unauthorized disclosure of customer data or confidential information, including confidential information about our employees, whether by us directly or our third-party service providers, could damage our reputation, expose us to the risks of litigation and liability, disrupt our business, result in lost business, or otherwise adversely affect our results of operations. We did not experience any such incidents in 2017.</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prevent us from fulfilling our obligations under our debt securities.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a significant amount of indebtedness. As of December 31, 2017, we had total indebtedness of $1,459.0 million. Our indebtedness could have important consequences. For example, it could:</w:t>
      </w:r>
    </w:p>
    <w:p>
      <w:pPr>
        <w:spacing w:after="0" w:line="53" w:lineRule="exact"/>
        <w:rPr>
          <w:sz w:val="20"/>
          <w:szCs w:val="20"/>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our indebtedness;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8"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53"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 us from pursuing strategic acquisitions or certain other business opportunities;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our competitors that have less debt; and</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our ability to borrow additional funds or refinance existing indebtedness on favorable terms.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meet our debt service obligations, we may need to reduce capital expenditures and dividend distributions, restructure or refinance our indebtedness, obtain additional equity financing or sell assets. We may be unable to restructure or refinance our indebtedness, obtain additional equity financing or sell assets on satisfactory terms or at all.</w:t>
      </w: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senior bank credit facility, indentures related to our senior notes, and other debt instruments have restrictive covenants that could limit our financial flexibility.</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indentures related to our aggregate original principal amount of $325.0 million 4.125% senior notes due 2020, $350.0 million 4.625% senior notes due 2023, $250.0 million 5.0% senior notes due 2022, and $250.0 million 4.75% senior notes due 2027, collectively referred to herein as our senior notes, and our senior bank credit facility, contain financial and other restrictive covenants that limit our ability to engage in activities that may be in our long-term best interests. Our ability to borrow under our senior bank credit facility is subject to compliance with certain financial covenants, including leverage and interest coverage ratios. Our senior bank credit facility includes other restrictions that, among other things, limit our ability to incur indebtedness; grant liens; engage in mergers, consolidations and liquidations; make asset dispositions, restricted payments and investments;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Our failure to comply with these covenants could result in an event of default that, if not cured or waived, could result in the acceleration of all or a substantial portion of our debts. We do not have sufficient working capital to satisfy our debt obligations in the event of an acceleration of all or a significant portion of our outstanding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is secured by a substantial portion of our assets.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Subject to applicable laws and certain agreed-upon exceptions, our $900.0 revolving credit facility and our incremental term loans, available pursuant to an “accordion” feature under our revolving credit facility in an aggregate principal amount of up to an additional $350.0 million, are secured by a pledge of all of the capital stock of CoreCivic’s domestic subsidiaries, 65% of the capital stock of CoreCivic’s foreign subsidiaries, all of CoreCivic’s accounts receivable and all of CoreCivic’s deposit accounts. Subject to compliance with the restrictive covenants under our existing indebtedness, we may incur additional indebtedness secured by existing or future assets of CoreCivic or our subsidiaries. In the event of a default under our credit facility or any other secured indebtedness,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 In such an event, there can be no assurance that we would have sufficient assets to pay amounts due to holders of our unsecured debt and such holders may receive less than the full amount to which they are entitled.</w:t>
      </w:r>
    </w:p>
    <w:p>
      <w:pPr>
        <w:spacing w:after="0" w:line="28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w:t>
      </w:r>
    </w:p>
    <w:p>
      <w:pPr>
        <w:spacing w:after="0" w:line="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Currently, our incremental term loan and revolving credit facility both mature in July 2020. We also have outstanding $325.0 million in aggregate principal amount of our 4.125% senior notes due 2020, $350.0 million in aggregate principal amount of our 4.625% senior notes due 2023, $250.0 million in aggregate principal amount of our 5.0% senior notes due 2022 and $250.0 million in aggregate principal amount of our 4.75% senior notes due 2027.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sell one or more properties at unattractive prices or on disadvantageous terms. Any one of these options could have a material adverse effect on our business, financial condition, results of operations and our ability to make distributions to our stockholders.</w:t>
      </w:r>
    </w:p>
    <w:p>
      <w:pPr>
        <w:spacing w:after="0" w:line="2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required to repurchase all or a portion of our senior notes upon a change of control, and our senior bank credit facility is subject to acceleration upon a change of control.</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senior bank credit facility and under the terms of our other indebtedness. In addition, terms of our senior bank credit facility, which are subject to acceleration upon the occurrence of a change in control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both"/>
        <w:spacing w:after="0" w:line="267" w:lineRule="auto"/>
        <w:rPr>
          <w:sz w:val="20"/>
          <w:szCs w:val="20"/>
          <w:color w:val="auto"/>
        </w:rPr>
      </w:pPr>
      <w:r>
        <w:rPr>
          <w:rFonts w:ascii="Arial" w:cs="Arial" w:eastAsia="Arial" w:hAnsi="Arial"/>
          <w:sz w:val="17"/>
          <w:szCs w:val="17"/>
          <w:color w:val="auto"/>
        </w:rPr>
        <w:t>described therein), may prohibit us from making any such required repurchases. Prior to repurchasing the notes upon a change of control event, we must either repay outstanding indebtedness under our senior bank credit facility or obtain the consent of the lenders under our senior bank credit facility. If we do not obtain the required consents or repay our outstanding indebtedness under our senior bank credit facility, we would remain effectively prohibited from offering to repurchase the notes.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Despite current indebtedness levels, we may still incur more debt.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terms of the indentures for our senior notes and our senior bank credit facility restrict our ability to incur indebtedness; however, we may nevertheless incur additional indebtedness in the future, and in the future, we may refinance all or a portion of our indebtedness, including our senior bank credit facility, and may incur additional indebtedness as a result. As of December 31, 2017, we had $694.1 million of additional borrowing capacity available under our revolving credit facility. In addition, we may issue an indeterminate amount of debt securities from time to time when we determine that market conditions and the opportunity to utilize the proceeds from the issuance of such debt securities are favorable. If new debt is added to our and our subsidiaries' current debt levels, the related risks that we and they now face could intensify.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access to capital may be affected by general macroeconomic conditions.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Credit markets may tighten significantly such that our ability to obtain new capital will be more challenging and more expensive. We can provide no assurance that the banks that have made commitments under our senior bank credit facility will continue to operate as going concerns in the future or will agree to extend commitments beyond the maturity date. If any of the banks in the lending group were to fail, or fail to renew their commitments, it is possible that the capacity under our senior bank credit facility would be reduced. In the event that the availability under our senior bank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senior bank credit facility, (iii) accessing the public capital markets, or (iv) reducing our dividend (but not less than amounts required to maintain our status as a REIT and avoid income and excise taxes). Such alternatives could be on terms less favorable than under existing terms, which could have a material effect on our consolidated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Rising interest rates would increase the cost of our variable rate debt.</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incurred and expect in the future to incur indebtedness that bears interest at variable rates, including indebtedness under our senior bank credit facility. Accordingly, increases in interest rates would increase our interest costs, which could have a material adverse effect on us and our ability to make distributions to our stockholders and pay amounts due on our debt or cause us to be in default under certain debt instruments. In addition, an increase in market interest rates may lead holders of our common stock to demand a higher yield on their shares from distributions by us, which could adversely affect the market price for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REIT Structure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remain qualified as a REIT, we would be subject to corporate income taxes and would not be able to deduct distributions to stockholders when computing our taxable income.</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currently operate in a manner that is intended to allow us to qualify as a REIT for federal income tax purposes commencing with our taxable year beginning January 1, 2013. However, we cannot assure you that we have qualified or will remain qualified as a REIT. Qualification as a REIT requires us to satisfy numerous requirements established under highly technical and complex sections of the Internal Revenue Code of 1986, as amended, or the Code, which may change from time to time and for which there are only limited judicial and administrative interpretations, and involves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9" w:name="page40"/>
    <w:bookmarkEnd w:id="39"/>
    <w:p>
      <w:pPr>
        <w:jc w:val="both"/>
        <w:spacing w:after="0" w:line="289" w:lineRule="auto"/>
        <w:rPr>
          <w:sz w:val="20"/>
          <w:szCs w:val="20"/>
          <w:color w:val="auto"/>
        </w:rPr>
      </w:pPr>
      <w:r>
        <w:rPr>
          <w:rFonts w:ascii="Arial" w:cs="Arial" w:eastAsia="Arial" w:hAnsi="Arial"/>
          <w:sz w:val="17"/>
          <w:szCs w:val="17"/>
          <w:color w:val="auto"/>
        </w:rPr>
        <w:t>its REIT taxable income (determined without regard to the dividends paid deduction and by excluding capital gains) and must satisfy specified asset tests on a quarterly basis.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fail to qualify as a REIT in any taxable year, we would be subject to federal income tax (including any applicable alternative minimum tax) on our taxable income computed in the usual manner for corporate taxpayers without deduction for distributions to our stockholders and we may need to borrow additional funds or issue securities to pay such additional tax liability. Any such corporate income tax liability could be substantial and would reduce the amount of cash available for other purposes, including distributions to our stockholders, because, unless we are entitled to relief under certain statutory provisions, we would be taxable as a C-corporation, beginning in the year in which the failure occurs, and we would not be allowed to re-elect to be taxed as a REIT for the following four years.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remain qualified as a REIT, we may owe taxes under certain circumstances.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Even if we qualify as a REIT, we will be subject to certain U.S. federal, state and local taxes on our income and property, including on taxable income that we do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Furthermore, we conduct substantial activities through TRSs, and the income of those subsidiaries is subject to U.S. federal income tax at regular corporate rates.</w:t>
      </w:r>
    </w:p>
    <w:p>
      <w:pPr>
        <w:spacing w:after="0" w:line="28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To maintain our REIT status, we may be forced to obtain capital during unfavorable market conditions, which could adversely affect our overall financial performance.</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order to qualify as a REIT, we will be required each year to distribute to our stockholders at least 90% of our REIT taxable income (determined without regard to the dividends paid deduction and by excluding any net capital gain), and we will be subject to tax to the extent our taxable income (including net capital gain) is not fully distributed. In addition, we will be subject to a 4% nondeductible excise tax on the amount, if any, by which distributions we pay in any calendar year are less than the sum of 85% of our ordinary income, 95% of our net capital gains, and 100% of our undistributed income from prior years. We intend to continue to make distributions to our stockholders to comply with the distribution requirements of the Code as well as to reduce our exposure to federal income taxes and the nondeductible excise tax. Differences in timing between the receipt of income and the payment of expenses to arrive at taxable income, along with the effect of required debt amortization payments, could require us to borrow funds to meet the distribution requirements that are necessary to achieve the tax benefits associated with qualifying as a REIT. We may acquire additional capital through our issuance of securities senior to our common stock, including additional borrowings or other indebtedness or the issuance of additional securities. Issuance of such senior securities creates additional risks because leverage is a speculative technique that may adversely affect common stockholders or noteholders. If the return on assets acquired with borrowed funds or other leverage proceeds does not exceed the cost of the leverage, the use of leverage could negatively affect our cash flow.</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the issuance of senior securities involves offering expenses and other costs, including interest payments, which are borne indirectly by our common stockholders. Fluctuations in interest rates could increase interest payments on our senior securities, and could reduce cash available for distribution on common stock or for payment on our debt securities. Increased operating costs, including the financing cost associated with any leverage, may reduce our total return to common stockholders. Rating agency guidelines applicable to any senior securities may impose asset coverage requirements, dividend limitations, voting right requirements (in the case of the senior equity securities), and other restrictions. Further, the terms of any senior securities or other borrowings may impose additional requirements, restrictions and limitations that are more stringent than those required by a rating agency that rates outstanding senior securities that may have an adverse effect on us and may affect our ability to pay distributions to our stockholders. On the other hand, we may not be able to raise such additional capital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7"/>
          <w:szCs w:val="17"/>
          <w:color w:val="auto"/>
        </w:rPr>
        <w:t>on favorable terms or at all. Unfavorable economic conditions could increase our funding costs, limit our access to the capital markets or result in a decision by lenders not to extend credit to us.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Further, in order to maintain our REIT status, we may need to borrow funds to meet the REIT distribution requirements even if the then-prevailing market conditions are not favorable for these borrowings. These borrowing needs could result from differences in timing between the actual receipt of cash and inclusion of income for federal income tax purposes or the effect of non-deductible capital expenditures, the creation of reserves, or required debt or amortization payments. Our ability to access debt and equity capital on favorable terms or at all is dependent upon a number of factors, including general market conditions, the market's perception of our growth potential, our current and potential future earnings and cash distributions, and the market price of our securities. Issuance of debt or equity securities will expose us to typical risks associated with leverage, including increased risk of loss.</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our ability to issue debt or other senior securities such as preferred stock is constrained, we may depend on issuance of additional shares of common stock to finance new investments. If we raise additional funds by issuing more shares of our common stock or senior securities convertible into, or exchangeable for, shares of our common stock, the percentage ownership of our stockholders at that time would decrease, and you may experience dilution.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Performing services through our TRSs may increase our overall tax liability relative to other REITs or subject us to certain excise taxes.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TRS may hold assets and earn income, including income earned from the performance of correctional services, that would not be qualifying assets or income if held or earned directly by a REIT. We conduct a significant portion of our business activities through our TRSs. Our TRSs are subject to federal, foreign, state and local income tax on their taxable income, and their after-tax net income generally is available for distribution to us but is not required to be distributed to us. The TRS rules also impose a 100% excise tax on certain transactions between a TRS and its parent REIT that are not conducted on an arm's-length basis. In addition, the TRS rules limit the deductibility of interest paid or accrued by a TRS to its parent REIT to ensure that the TRS is subject to an appropriate level of corporate income taxation. We believe our arrangements with our TRSs are on arm's-length terms and intend to continue to operate in a manner that allows us to avoid incurring the 100% excise tax described above. There can be no assurance, however, that we will be able to avoid application of the 100% excise tax or the limitations on interest deductions discussed above.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value of the securities we own in our TRS is limited under the REIT asset tests.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the Code, no more than 25% (20% for tax years beginning on or after January 1, 2018) of the value of the gross assets of a REIT may be represented by securities of one or more TRSs. This limitation may affect our ability to increase the size of our TRSs' operations and assets, and there can be no assurance that we will be able to comply with this limitation. If we are unable to comply with this limitation, we would fail to qualify as a REIT. Furthermore, our significant use of TRSs may cause the market to value shares of our common stock differently than the stock of other REITs, which may not use TRSs as extensively. Although we intend to monitor the value of our investments in TRSs, there can be no assurance that we will be able to comply with the 25% (20% for tax years beginning on or after January 1, 2018) limitation discussed above.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fund distributions using cash generated through our TRSs.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 least 75% of gross income for each taxable year as a REIT must be derived from passive real estate sources and no more than 25% of gross income may consist of dividends from our TRSs and other non-real estate income. This limitation on our ability to receive dividends from our TRSs may affect our ability to fund cash distributions to our stockholders using cash from our TRSs. Moreover, our TRSs are not required to distribute their net income to us, and any income of our TRSs that is not distributed to us will not be subject to the REIT income distribution requirement.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REIT ownership limitations may restrict or prevent you from engaging in certain transfers of our common stock.</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order to satisfy the requirements for REIT qualification, no more than 50% in value of all classes or series of our outstanding shares of stock may be owned, actually or constructively, by five or fewer individuals (as defined in the Code to include certain entities) at any time during the last half of each taxable year beginning with our 2014 taxable year. To assist us in satisfying this share ownership requirement, our charter imposes ownership limits on each class and series of our shares of stock. Under applicable constructive ownership rules, any shares of stock owned by certain affiliated owners generally would be added together for purposes of the common stock ownership limits, and any shares of a given class or series of preferred stock owned by certain affiliated owners generally would be added together for purposes of the ownership limit on such class or series.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anyone transfers shares of our common stock in a manner that would violate the ownership limits, or prevent us from qualifying as a REIT under the federal income tax laws, those shares of common stock instead would be transferred to a trust for the benefit of a charitable beneficiary and will be either redeemed by us or sold to a person whose ownership of the shares will not violate the ownership limit. If this transfer to a trust fails to prevent such a violation or fails to permit our continued qualification as a REIT, then the initial intended transfer would be null and void from the outset. The intended transferee of those shares will be deemed never to have owned the shares. Anyone who acquires shares in violation of the ownership limit or the other restrictions on transfer bears the risk of suffering a financial loss when the shares of common stock are redeemed or sold if the market price of our shares of common stock falls between the date of purchase and the date of redemption or sale.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Complying with REIT requirements may cause us to forego otherwise attractive opportunities or liquidate otherwise attractive investments.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If we fail to comply with one or more of the asset tests at the end of any calendar quarter, we must correct the failure within 30 days after the end of the calendar quarter or qualify for certain statutory relief provisions to avoid losing our REIT qualification and suffering adverse tax consequences. In order to meet these tests, we may be required to forego investments we might otherwise make or to liquidate otherwise attractive investments. Thus, compliance with the REIT requirements may hinder our performance and reduce amounts available for distribution to our stockholders.</w:t>
      </w:r>
    </w:p>
    <w:p>
      <w:pPr>
        <w:spacing w:after="0" w:line="28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tax imposed on REITs engaging in "prohibited transactions" may limit our ability to engage in transactions which would be treated as sales for federal income tax purposes.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2" w:name="page43"/>
    <w:bookmarkEnd w:id="42"/>
    <w:p>
      <w:pPr>
        <w:jc w:val="both"/>
        <w:spacing w:after="0" w:line="289" w:lineRule="auto"/>
        <w:rPr>
          <w:sz w:val="20"/>
          <w:szCs w:val="20"/>
          <w:color w:val="auto"/>
        </w:rPr>
      </w:pPr>
      <w:r>
        <w:rPr>
          <w:rFonts w:ascii="Arial" w:cs="Arial" w:eastAsia="Arial" w:hAnsi="Arial"/>
          <w:sz w:val="17"/>
          <w:szCs w:val="17"/>
          <w:b w:val="1"/>
          <w:bCs w:val="1"/>
          <w:i w:val="1"/>
          <w:iCs w:val="1"/>
          <w:color w:val="auto"/>
        </w:rPr>
        <w:t>We have not established a minimum distribution payment level, and we may be unable to generate sufficient cash flows from our operations to make distributions to our stockholders at any time in the future.</w:t>
      </w:r>
    </w:p>
    <w:p>
      <w:pPr>
        <w:spacing w:after="0" w:line="5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are generally required to distribute to our stockholders at least 90% of our net taxable income (excluding net capital gains) each year to qualify as a REIT under the Code. To the extent we satisfy the 90% distribution requirement but distribute less than 100% of our net taxable income (including net capital gains), we will be subject to federal corporate income tax on our undistributed net taxable income. We intend to distribute at least 100% of our net taxable income (excluding net capital gains). However, our ability to make distributions to our stockholders may be adversely affected by the issues described in the risk factors set forth in this Annual Report. Subject to satisfying the requirements for REIT qualification, we intend to continue to make regular quarterly distributions to our stockholders. Our Board of Directors has the sole discretion to determine the timing, form and amount of any distributions to our stockholders. Our Board of Directors makes determinations regarding distributions based upon, among other factors, our historical and projected results of operations, financial condition, cash flows and liquidity, satisfaction of the requirements for REIT qualification and other tax considerations, capital expenditure and other expense obligations, debt covenants, contractual prohibitions or other limitations and applicable law and such other matters as our Board of Directors may deem relevant from time to time.</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possible that we will not be able to continue to make distributions to our stockholders or that the level of any distributions we do make to our stockholders will achieve a market yield or increase or even be maintained over time, any of which could materially and adversely affect the market price of our shares of common stock. Distributions could be dilutive to our financial results and may constitute a return of capital to our investors, which would have the effect of reducing each stockholder's basis in its shares of common stock. We also could use borrowed funds or proceeds from the sale of assets to fund distributions.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payable by REITs, including us, generally do not qualify for the reduced tax rates available for some dividends.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"Qualified dividends" payable to U.S. stockholders that are individuals, trusts and estates generally are subject to tax at preferential rates. Subject to limited exceptions, dividends payable by REITs are not eligible for these reduced rates and are taxable at ordinary income tax rates.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the shares of our common stock.</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Distributions that we make to our stockholders are treated as dividends to the extent of our earnings and profits as determined for federal income tax purposes and are generally taxable to our stockholders as ordinary income. However, our dividends are eligible for the lower rate applicable to "qualified dividends" to the extent they are attributable to income that was previously subject to corporate income tax, such as the dividends we receive from our TRSs or attributable to the accumulated earnings and profits in connection with acquisitions of C-corporations. Also, a portion of our distributions may be designated by us as long-term capital gains to the extent that they are attributable to capital gain income recognized by us. Our distributions may constitute a return of capital to the extent that they exceed our earnings and profits as determined for federal income tax purposes. A return of capital generally is not taxable, but has the effect of reducing the basis of a stockholder's investment in our shares of common stock. Any such distributions that exceed a stockholder's tax basis in our shares of common stock generally will be taxable as capital gains.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tax years beginning after December 31, 2017 (but subject to a sunset expiration at the end of 2025), U.S. stockholders that are individuals, trusts and estates generally are allowed a deduction in computing taxable income equal to 20% of any dividends received from REITs (other than any portion that is a capital gain dividend). Depending on the ordinary income tax rate applicable to investors who are individuals, trust and estates, the 20% deduction for REIT dividends may offset (or eliminate) the relatively more favorable tax treatment applicable to regular corporate qualified dividends.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We could have potential deferred and contingent tax liabilities from our REIT conversion that could limit, delay or impede future sales of our properties.</w:t>
      </w:r>
    </w:p>
    <w:p>
      <w:pPr>
        <w:spacing w:after="0" w:line="14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Even though we qualify for taxation as a REIT, if we acquire any asset from a corporation which is or has been a C-corporation in a transaction in which the basis of the asset in our hands is less than the fair market value of the asset determined at the time we acquired the asset, and we subsequently recognize a gain on the disposition of the asset during the five-year period beginning on the date on which we acquired the asset, then we will be required to pay tax at the highest regular corporate tax rate on this gain to the extent of the excess of (a) the fair market value of the asset over (b) our adjusted basis in the asset, in each case determined as of the date on which we acquired the asset. These requirements could limit, delay or impede future sales of our properties. We currently do not expect to sell any asset if the sale would result in the imposition of a material tax liability. We cannot, however, assure you that we will not change our plans in this regard.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inherit tax liabilities and attributes in connection with acquisitions.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we may acquire other corporations or entities and, in connection with such acquisitions, we may succeed to the historic tax attributes and liabilities of such entities. For example, in order to qualify as a REIT, at the end of any taxable year, we must not have any earnings and profits accumulated in a non-REIT year. As a result, if we acquire a C-corporation in certain transactions, we must distribute the corporation's earnings and profits accumulated prior to the acquisition before the end of the taxable year in which we acquire the C-corporation. We also could be required to pay the acquired entity's unpaid taxes even though such liabilities arose prior to the time we acquired the entity. These issues are applicable to Avalon and CMI which were C-corporations prior to our acquisitions of these companies.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or regulatory action affecting REITs could adversely affect us or our stockholders.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recent years, numerous legislative, judicial and administrative changes have been made to the federal income tax laws applicable to investments in REITs and similar entities. At any time, the federal income tax laws governing REITs or the administrative interpretations of those laws may be amended. Changes to the tax laws, regulations and administrative interpretations, which may have retroactive application, could adversely affect us and may impact our taxation or that of our stockholders. Accordingly, we cannot assure you that any such change will not significantly affect our ability to qualify for taxation as a REIT or the federal income tax consequences to us of such qualification.</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U.</w:t>
      </w:r>
      <w:r>
        <w:rPr>
          <w:rFonts w:ascii="Arial" w:cs="Arial" w:eastAsia="Arial" w:hAnsi="Arial"/>
          <w:sz w:val="17"/>
          <w:szCs w:val="17"/>
          <w:b w:val="1"/>
          <w:bCs w:val="1"/>
          <w:i w:val="1"/>
          <w:iCs w:val="1"/>
          <w:color w:val="212121"/>
        </w:rPr>
        <w:t>S. federal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color w:val="252525"/>
        </w:rPr>
        <w:t>tax reform legislation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color w:val="212121"/>
        </w:rPr>
        <w:t>could affect REITs generally, the geographic markets in which we operate, our stock and our results of operations, both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color w:val="212121"/>
        </w:rPr>
        <w:t>positively and negatively in ways that are difficult to anticipate.</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212121"/>
        </w:rPr>
        <w:t xml:space="preserve">The U.S. </w:t>
      </w:r>
      <w:r>
        <w:rPr>
          <w:rFonts w:ascii="Arial" w:cs="Arial" w:eastAsia="Arial" w:hAnsi="Arial"/>
          <w:sz w:val="15"/>
          <w:szCs w:val="15"/>
          <w:color w:val="252525"/>
        </w:rPr>
        <w:t>Congress</w:t>
      </w:r>
      <w:r>
        <w:rPr>
          <w:rFonts w:ascii="Arial" w:cs="Arial" w:eastAsia="Arial" w:hAnsi="Arial"/>
          <w:sz w:val="15"/>
          <w:szCs w:val="15"/>
          <w:color w:val="212121"/>
        </w:rPr>
        <w:t xml:space="preserve"> recently passed </w:t>
      </w:r>
      <w:r>
        <w:rPr>
          <w:rFonts w:ascii="Arial" w:cs="Arial" w:eastAsia="Arial" w:hAnsi="Arial"/>
          <w:sz w:val="15"/>
          <w:szCs w:val="15"/>
          <w:color w:val="252525"/>
        </w:rPr>
        <w:t>tax reform legislation</w:t>
      </w:r>
      <w:r>
        <w:rPr>
          <w:rFonts w:ascii="Arial" w:cs="Arial" w:eastAsia="Arial" w:hAnsi="Arial"/>
          <w:sz w:val="15"/>
          <w:szCs w:val="15"/>
          <w:color w:val="212121"/>
        </w:rPr>
        <w:t xml:space="preserve"> that made significant changes to corporate and individual tax rates and the calculation of taxes, as well as international tax rules for U.S. domestic corporations. In addition, it is uncertain if and to what extent various states will conform to the newly enacted federal tax law. As a REIT, we are generally not required to pay federal taxes otherwise applicable to regular corporations (except for income generated by our TRSs) if we</w:t>
      </w:r>
    </w:p>
    <w:p>
      <w:pPr>
        <w:jc w:val="both"/>
        <w:spacing w:after="0" w:line="261" w:lineRule="auto"/>
        <w:rPr>
          <w:sz w:val="20"/>
          <w:szCs w:val="20"/>
          <w:color w:val="auto"/>
        </w:rPr>
      </w:pPr>
      <w:r>
        <w:rPr>
          <w:rFonts w:ascii="Arial" w:cs="Arial" w:eastAsia="Arial" w:hAnsi="Arial"/>
          <w:sz w:val="17"/>
          <w:szCs w:val="17"/>
          <w:color w:val="212121"/>
        </w:rPr>
        <w:t xml:space="preserve">comply with the various tax regulations governing REITs. Stockholders, however, are generally required to pay taxes on REIT dividends. </w:t>
      </w:r>
      <w:r>
        <w:rPr>
          <w:rFonts w:ascii="Arial" w:cs="Arial" w:eastAsia="Arial" w:hAnsi="Arial"/>
          <w:sz w:val="17"/>
          <w:szCs w:val="17"/>
          <w:color w:val="252525"/>
        </w:rPr>
        <w:t>Tax reform legislation</w:t>
      </w:r>
      <w:r>
        <w:rPr>
          <w:rFonts w:ascii="Arial" w:cs="Arial" w:eastAsia="Arial" w:hAnsi="Arial"/>
          <w:sz w:val="17"/>
          <w:szCs w:val="17"/>
          <w:color w:val="212121"/>
        </w:rPr>
        <w:t xml:space="preserve"> affects the way in which dividends paid on shares of our common stock are taxed and could impact our stock price or how stockholders and potential investors view an investment in REITs generally. In addition, while certain elements of </w:t>
      </w:r>
      <w:r>
        <w:rPr>
          <w:rFonts w:ascii="Arial" w:cs="Arial" w:eastAsia="Arial" w:hAnsi="Arial"/>
          <w:sz w:val="17"/>
          <w:szCs w:val="17"/>
          <w:color w:val="252525"/>
        </w:rPr>
        <w:t>tax reform legislation</w:t>
      </w:r>
      <w:r>
        <w:rPr>
          <w:rFonts w:ascii="Arial" w:cs="Arial" w:eastAsia="Arial" w:hAnsi="Arial"/>
          <w:sz w:val="17"/>
          <w:szCs w:val="17"/>
          <w:color w:val="212121"/>
        </w:rPr>
        <w:t xml:space="preserve"> may not impact us directly as a REIT, they could impact the geographic markets in which we operate, particularly affecting tenants of our leased property and their corporate tax obligations, if any</w:t>
      </w:r>
      <w:r>
        <w:rPr>
          <w:rFonts w:ascii="Arial" w:cs="Arial" w:eastAsia="Arial" w:hAnsi="Arial"/>
          <w:sz w:val="17"/>
          <w:szCs w:val="17"/>
          <w:color w:val="000000"/>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Other Risks Related to Our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equity securities may vary substantially, which may limit our stockholders' ability to liquidate their investment.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trading prices of equity securities issued by REITs have historically been affected by changes in market interest rates. One of the factors that may influence the price of our common stock in public trading markets is the annual yield from distributions on our common stock as compared to yields on other financial instruments. An increase in market interest rates, or a decrease in our distributions to stockholders, may lead prospective purchasers of our shares to demand a higher annual yield, which could reduce the market price of our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could affect the market price of our equity securities include the following:</w:t>
      </w:r>
    </w:p>
    <w:p>
      <w:pPr>
        <w:spacing w:after="0" w:line="119" w:lineRule="exact"/>
        <w:rPr>
          <w:sz w:val="20"/>
          <w:szCs w:val="20"/>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results of operations;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market valuations of companies in the corrections, detention, or residential reentry industries;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expectations of future financial performance or changes in estimates of securities analysts;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stock market prices and volumes;</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issuances of common shares or other securities in the future; and</w:t>
      </w:r>
    </w:p>
    <w:p>
      <w:pPr>
        <w:spacing w:after="0" w:line="118" w:lineRule="exact"/>
        <w:rPr>
          <w:rFonts w:ascii="Arial" w:cs="Arial" w:eastAsia="Arial" w:hAnsi="Arial"/>
          <w:sz w:val="17"/>
          <w:szCs w:val="17"/>
          <w:color w:val="auto"/>
        </w:rPr>
      </w:pPr>
    </w:p>
    <w:p>
      <w:pPr>
        <w:ind w:left="1180" w:hanging="58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investments or strategic actions.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shares of our common stock available for future sale could adversely affect the market price of our common stock.</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stock issued pursuant to our ATM Agreement), or the perception that these sales could occur, may adversely affect prevailing market prices for our common stock.</w:t>
      </w: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Future offerings of debt or equity securities ranking senior to our common stock or incurrence of debt (including under our senior bank credit facility) may adversely affect the market price of our common stock.</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decide to issue debt or equity securities in the future ranking senior to our common stock or otherwise incur indebtedness (including under our senior bank credit facility), it is possible that these securities or indebtedness will be governed by an indenture or other instrument containing covenants restricting our operating flexibility and limiting our ability to make distributions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preferred stock could adversely affect holders of our common stock and discourage a takeover.</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favorable to our stockholders.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Our charter and bylaws and Maryland law could make it difficult for a third party to acquire our company.</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66" w:lineRule="exact"/>
        <w:rPr>
          <w:sz w:val="20"/>
          <w:szCs w:val="20"/>
          <w:color w:val="auto"/>
        </w:rPr>
      </w:pPr>
    </w:p>
    <w:p>
      <w:pPr>
        <w:ind w:left="1180" w:hanging="586"/>
        <w:spacing w:after="0" w:line="289"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authorize us to issue "blank check" preferred stock, which is preferred stock that can be created and issued by our Board of Directors, without stockholder approval, with rights senior to those of common stock;</w:t>
      </w:r>
    </w:p>
    <w:p>
      <w:pPr>
        <w:spacing w:after="0" w:line="53"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that directors may be removed with or without cause only by the affirmative vote of at least a majority of the votes of shares entitled to vote thereon; and</w:t>
      </w:r>
    </w:p>
    <w:p>
      <w:pPr>
        <w:spacing w:after="0" w:line="53"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advance notice requirements for submitting nominations for election to the Board of Directors and for proposing matters that can be acted upon by stockholders at a meeting.</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properties we owned at December 31, 2017 are described under Item 1 and in Note 4 of the Notes to the Consolidated Financial Statements contained in this Annual Report, as well as in Schedule III in Part IV of this Annual Report.</w:t>
      </w:r>
    </w:p>
    <w:p>
      <w:pPr>
        <w:spacing w:after="0" w:line="25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nature of our business results in claims and litigation alleging that we are liable for damages arising from the conduct of our employees or others. In the opinion of management, other than the litigation matter discussed below, there are no pending legal proceedings that would have a material effect on our financial position, results of operations or cash flows. Claims and legal proceedings are, however, subject to inherent uncertainties, and unfavorable decisions and rulings could occur that could have a material adverse impact on our financial position, results of operations or cash flows for the period in which such decisions and rulings occur, or future periods. See "Risk Factors - Risks Related to our Business and Industry - Legal proceedings related to, and adverse developments in our relationship with, our employees could adversely affect or business, financial condition and results of operations."; "—We are subject to legal proceedings associated with owning and managing correctional, detention, and residential reentry facilities."; and "—We are subject to certain stockholder litigation."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Attorney General issued a memorandum rescinding the DOJ's prior directive stating the memorandum changed long-standing policy and practice and impaired the BOP's ability to meet the future needs of the federal correctional system.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17"/>
          <w:szCs w:val="17"/>
          <w:color w:val="auto"/>
        </w:rPr>
        <w:t xml:space="preserve">Following the release of the August 18, 2016 DOJ memorandum, a purported securities class action lawsuit was filed against us and certain of our current and former officers in the United States District Court for the Middle District of Tennessee, or the District Court, captioned </w:t>
      </w:r>
      <w:r>
        <w:rPr>
          <w:rFonts w:ascii="Arial" w:cs="Arial" w:eastAsia="Arial" w:hAnsi="Arial"/>
          <w:sz w:val="17"/>
          <w:szCs w:val="17"/>
          <w:i w:val="1"/>
          <w:iCs w:val="1"/>
          <w:color w:val="auto"/>
        </w:rPr>
        <w:t>Grae v. Corrections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America et al.</w:t>
      </w:r>
      <w:r>
        <w:rPr>
          <w:rFonts w:ascii="Arial" w:cs="Arial" w:eastAsia="Arial" w:hAnsi="Arial"/>
          <w:sz w:val="17"/>
          <w:szCs w:val="17"/>
          <w:color w:val="auto"/>
        </w:rPr>
        <w:t>, Case No. 3:16-cv-02267. The lawsuit is brought on behalf of a putative class of shareholders who purchased or acquired our securities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27, 2012 and August 17, 2016.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May 12, 2017, we submitted a motion to dismiss the plaintiff's complaint in its entirety with prejudice. On December 18, 2017, the District Court entered an order denying our motion to dismiss. We believe the lawsuit is entirely without merit and intend to vigorously defend against it. In addition, we maintain insurance, with certain self-insured retention amounts, to cover the alleged claims which mitigates the risk such litigation would have a material adverse effect on our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additional information required under this section described in Note 15 of the Notes to the Consolidated Financial Statements contained in this Annual Report.</w:t>
      </w:r>
    </w:p>
    <w:p>
      <w:pPr>
        <w:spacing w:after="0" w:line="345"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jc w:val="both"/>
        <w:ind w:left="1200" w:hanging="1191"/>
        <w:spacing w:after="0" w:line="296" w:lineRule="auto"/>
        <w:tabs>
          <w:tab w:leader="none" w:pos="11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of and Distributions on Capital Stock</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common stock is traded on the New York Stock Exchange, or NYSE, under the symbol "CXW." On February 15, 2018, the last reported sale price of our common stock was $21.47 per share and there were approximately 3,000 registered holders and approximately 47,000 beneficial holders, respectively,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fiscal quarters indicated, the range of high and low sales prices of the common stock.</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318"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SALES PRICE</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3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3"/>
                <w:szCs w:val="13"/>
                <w:color w:val="auto"/>
              </w:rPr>
            </w:pPr>
          </w:p>
        </w:tc>
        <w:tc>
          <w:tcPr>
            <w:tcW w:w="760" w:type="dxa"/>
            <w:vAlign w:val="bottom"/>
          </w:tcPr>
          <w:p>
            <w:pPr>
              <w:jc w:val="right"/>
              <w:ind w:right="296"/>
              <w:spacing w:after="0" w:line="150"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r>
      <w:tr>
        <w:trPr>
          <w:trHeight w:val="216"/>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FISCAL YEAR 2017</w:t>
            </w:r>
          </w:p>
        </w:tc>
        <w:tc>
          <w:tcPr>
            <w:tcW w:w="1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2"/>
        </w:trPr>
        <w:tc>
          <w:tcPr>
            <w:tcW w:w="3500" w:type="dxa"/>
            <w:vAlign w:val="bottom"/>
          </w:tcPr>
          <w:p>
            <w:pPr>
              <w:ind w:left="240"/>
              <w:spacing w:after="0"/>
              <w:rPr>
                <w:sz w:val="20"/>
                <w:szCs w:val="20"/>
                <w:color w:val="auto"/>
              </w:rPr>
            </w:pPr>
            <w:r>
              <w:rPr>
                <w:rFonts w:ascii="Arial" w:cs="Arial" w:eastAsia="Arial" w:hAnsi="Arial"/>
                <w:sz w:val="17"/>
                <w:szCs w:val="17"/>
                <w:color w:val="auto"/>
              </w:rPr>
              <w:t>First Quarter</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35.33</w:t>
            </w:r>
          </w:p>
        </w:tc>
        <w:tc>
          <w:tcPr>
            <w:tcW w:w="2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23.90</w:t>
            </w:r>
          </w:p>
        </w:tc>
        <w:tc>
          <w:tcPr>
            <w:tcW w:w="80" w:type="dxa"/>
            <w:vAlign w:val="bottom"/>
          </w:tcPr>
          <w:p>
            <w:pPr>
              <w:spacing w:after="0"/>
              <w:rPr>
                <w:sz w:val="19"/>
                <w:szCs w:val="19"/>
                <w:color w:val="auto"/>
              </w:rPr>
            </w:pPr>
          </w:p>
        </w:tc>
      </w:tr>
      <w:tr>
        <w:trPr>
          <w:trHeight w:val="223"/>
        </w:trPr>
        <w:tc>
          <w:tcPr>
            <w:tcW w:w="3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Second Quarter</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27.03</w:t>
            </w:r>
          </w:p>
        </w:tc>
        <w:tc>
          <w:tcPr>
            <w:tcW w:w="80" w:type="dxa"/>
            <w:vAlign w:val="bottom"/>
            <w:shd w:val="clear" w:color="auto" w:fill="CFF0FC"/>
          </w:tcPr>
          <w:p>
            <w:pPr>
              <w:spacing w:after="0"/>
              <w:rPr>
                <w:sz w:val="19"/>
                <w:szCs w:val="19"/>
                <w:color w:val="auto"/>
              </w:rPr>
            </w:pPr>
          </w:p>
        </w:tc>
      </w:tr>
      <w:tr>
        <w:trPr>
          <w:trHeight w:val="222"/>
        </w:trPr>
        <w:tc>
          <w:tcPr>
            <w:tcW w:w="3500" w:type="dxa"/>
            <w:vAlign w:val="bottom"/>
          </w:tcPr>
          <w:p>
            <w:pPr>
              <w:ind w:left="240"/>
              <w:spacing w:after="0"/>
              <w:rPr>
                <w:sz w:val="20"/>
                <w:szCs w:val="20"/>
                <w:color w:val="auto"/>
              </w:rPr>
            </w:pPr>
            <w:r>
              <w:rPr>
                <w:rFonts w:ascii="Arial" w:cs="Arial" w:eastAsia="Arial" w:hAnsi="Arial"/>
                <w:sz w:val="17"/>
                <w:szCs w:val="17"/>
                <w:color w:val="auto"/>
              </w:rPr>
              <w:t>Third Quarter</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29.23</w:t>
            </w:r>
          </w:p>
        </w:tc>
        <w:tc>
          <w:tcPr>
            <w:tcW w:w="2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24.16</w:t>
            </w:r>
          </w:p>
        </w:tc>
        <w:tc>
          <w:tcPr>
            <w:tcW w:w="80" w:type="dxa"/>
            <w:vAlign w:val="bottom"/>
          </w:tcPr>
          <w:p>
            <w:pPr>
              <w:spacing w:after="0"/>
              <w:rPr>
                <w:sz w:val="19"/>
                <w:szCs w:val="19"/>
                <w:color w:val="auto"/>
              </w:rPr>
            </w:pPr>
          </w:p>
        </w:tc>
      </w:tr>
      <w:tr>
        <w:trPr>
          <w:trHeight w:val="223"/>
        </w:trPr>
        <w:tc>
          <w:tcPr>
            <w:tcW w:w="3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Fourth Quarter</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w:t>
            </w:r>
          </w:p>
        </w:tc>
        <w:tc>
          <w:tcPr>
            <w:tcW w:w="80" w:type="dxa"/>
            <w:vAlign w:val="bottom"/>
            <w:shd w:val="clear" w:color="auto" w:fill="CFF0FC"/>
          </w:tcPr>
          <w:p>
            <w:pPr>
              <w:spacing w:after="0"/>
              <w:rPr>
                <w:sz w:val="19"/>
                <w:szCs w:val="19"/>
                <w:color w:val="auto"/>
              </w:rPr>
            </w:pPr>
          </w:p>
        </w:tc>
      </w:tr>
      <w:tr>
        <w:trPr>
          <w:trHeight w:val="458"/>
        </w:trPr>
        <w:tc>
          <w:tcPr>
            <w:tcW w:w="3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SALES PRICE</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0"/>
        </w:trPr>
        <w:tc>
          <w:tcPr>
            <w:tcW w:w="3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3"/>
                <w:szCs w:val="13"/>
                <w:color w:val="auto"/>
              </w:rPr>
            </w:pPr>
          </w:p>
        </w:tc>
        <w:tc>
          <w:tcPr>
            <w:tcW w:w="760" w:type="dxa"/>
            <w:vAlign w:val="bottom"/>
          </w:tcPr>
          <w:p>
            <w:pPr>
              <w:jc w:val="right"/>
              <w:ind w:right="296"/>
              <w:spacing w:after="0" w:line="150"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r>
      <w:tr>
        <w:trPr>
          <w:trHeight w:val="216"/>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FISCAL YEAR 2016</w:t>
            </w:r>
          </w:p>
        </w:tc>
        <w:tc>
          <w:tcPr>
            <w:tcW w:w="1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2"/>
        </w:trPr>
        <w:tc>
          <w:tcPr>
            <w:tcW w:w="3500" w:type="dxa"/>
            <w:vAlign w:val="bottom"/>
          </w:tcPr>
          <w:p>
            <w:pPr>
              <w:ind w:left="240"/>
              <w:spacing w:after="0"/>
              <w:rPr>
                <w:sz w:val="20"/>
                <w:szCs w:val="20"/>
                <w:color w:val="auto"/>
              </w:rPr>
            </w:pPr>
            <w:r>
              <w:rPr>
                <w:rFonts w:ascii="Arial" w:cs="Arial" w:eastAsia="Arial" w:hAnsi="Arial"/>
                <w:sz w:val="17"/>
                <w:szCs w:val="17"/>
                <w:color w:val="auto"/>
              </w:rPr>
              <w:t>First Quarter</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32.94</w:t>
            </w:r>
          </w:p>
        </w:tc>
        <w:tc>
          <w:tcPr>
            <w:tcW w:w="2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25.81</w:t>
            </w:r>
          </w:p>
        </w:tc>
        <w:tc>
          <w:tcPr>
            <w:tcW w:w="80" w:type="dxa"/>
            <w:vAlign w:val="bottom"/>
          </w:tcPr>
          <w:p>
            <w:pPr>
              <w:spacing w:after="0"/>
              <w:rPr>
                <w:sz w:val="19"/>
                <w:szCs w:val="19"/>
                <w:color w:val="auto"/>
              </w:rPr>
            </w:pPr>
          </w:p>
        </w:tc>
      </w:tr>
      <w:tr>
        <w:trPr>
          <w:trHeight w:val="223"/>
        </w:trPr>
        <w:tc>
          <w:tcPr>
            <w:tcW w:w="3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Second Quarter</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FF0FC"/>
          </w:tcPr>
          <w:p>
            <w:pPr>
              <w:spacing w:after="0"/>
              <w:rPr>
                <w:sz w:val="19"/>
                <w:szCs w:val="19"/>
                <w:color w:val="auto"/>
              </w:rPr>
            </w:pPr>
          </w:p>
        </w:tc>
      </w:tr>
      <w:tr>
        <w:trPr>
          <w:trHeight w:val="222"/>
        </w:trPr>
        <w:tc>
          <w:tcPr>
            <w:tcW w:w="3500" w:type="dxa"/>
            <w:vAlign w:val="bottom"/>
          </w:tcPr>
          <w:p>
            <w:pPr>
              <w:ind w:left="240"/>
              <w:spacing w:after="0"/>
              <w:rPr>
                <w:sz w:val="20"/>
                <w:szCs w:val="20"/>
                <w:color w:val="auto"/>
              </w:rPr>
            </w:pPr>
            <w:r>
              <w:rPr>
                <w:rFonts w:ascii="Arial" w:cs="Arial" w:eastAsia="Arial" w:hAnsi="Arial"/>
                <w:sz w:val="17"/>
                <w:szCs w:val="17"/>
                <w:color w:val="auto"/>
              </w:rPr>
              <w:t>Third Quarter</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34.71</w:t>
            </w:r>
          </w:p>
        </w:tc>
        <w:tc>
          <w:tcPr>
            <w:tcW w:w="2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13.04</w:t>
            </w:r>
          </w:p>
        </w:tc>
        <w:tc>
          <w:tcPr>
            <w:tcW w:w="80" w:type="dxa"/>
            <w:vAlign w:val="bottom"/>
          </w:tcPr>
          <w:p>
            <w:pPr>
              <w:spacing w:after="0"/>
              <w:rPr>
                <w:sz w:val="19"/>
                <w:szCs w:val="19"/>
                <w:color w:val="auto"/>
              </w:rPr>
            </w:pPr>
          </w:p>
        </w:tc>
      </w:tr>
      <w:tr>
        <w:trPr>
          <w:trHeight w:val="223"/>
        </w:trPr>
        <w:tc>
          <w:tcPr>
            <w:tcW w:w="3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Fourth Quarter</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12.99</w:t>
            </w:r>
          </w:p>
        </w:tc>
        <w:tc>
          <w:tcPr>
            <w:tcW w:w="80" w:type="dxa"/>
            <w:vAlign w:val="bottom"/>
            <w:shd w:val="clear" w:color="auto" w:fill="CFF0FC"/>
          </w:tcPr>
          <w:p>
            <w:pPr>
              <w:spacing w:after="0"/>
              <w:rPr>
                <w:sz w:val="19"/>
                <w:szCs w:val="19"/>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During 2016 and 2017, CoreCivic's Board of Directors declared the following quarterly dividends on its common stock:</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2540" w:type="dxa"/>
            <w:vAlign w:val="bottom"/>
          </w:tcPr>
          <w:p>
            <w:pPr>
              <w:spacing w:after="0"/>
              <w:rPr>
                <w:sz w:val="20"/>
                <w:szCs w:val="20"/>
                <w:color w:val="auto"/>
              </w:rPr>
            </w:pPr>
            <w:r>
              <w:rPr>
                <w:rFonts w:ascii="Arial" w:cs="Arial" w:eastAsia="Arial" w:hAnsi="Arial"/>
                <w:sz w:val="14"/>
                <w:szCs w:val="14"/>
                <w:b w:val="1"/>
                <w:bCs w:val="1"/>
                <w:color w:val="auto"/>
              </w:rPr>
              <w:t>Declaration Date</w:t>
            </w:r>
          </w:p>
        </w:tc>
        <w:tc>
          <w:tcPr>
            <w:tcW w:w="1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b w:val="1"/>
                <w:bCs w:val="1"/>
                <w:color w:val="auto"/>
              </w:rPr>
              <w:t>Record Date</w:t>
            </w:r>
          </w:p>
        </w:tc>
        <w:tc>
          <w:tcPr>
            <w:tcW w:w="27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Payable Date</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w w:val="88"/>
              </w:rPr>
              <w:t>Per Share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February 19, 2016</w:t>
            </w:r>
          </w:p>
        </w:tc>
        <w:tc>
          <w:tcPr>
            <w:tcW w:w="16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April 1, 2016</w:t>
            </w:r>
          </w:p>
        </w:tc>
        <w:tc>
          <w:tcPr>
            <w:tcW w:w="272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April 15, 2016</w:t>
            </w:r>
          </w:p>
        </w:tc>
        <w:tc>
          <w:tcPr>
            <w:tcW w:w="7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0.54</w:t>
            </w:r>
          </w:p>
        </w:tc>
        <w:tc>
          <w:tcPr>
            <w:tcW w:w="80" w:type="dxa"/>
            <w:vAlign w:val="bottom"/>
            <w:shd w:val="clear" w:color="auto" w:fill="CFF0FC"/>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May 12, 2016</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July 1, 2016</w:t>
            </w:r>
          </w:p>
        </w:tc>
        <w:tc>
          <w:tcPr>
            <w:tcW w:w="2720" w:type="dxa"/>
            <w:vAlign w:val="bottom"/>
            <w:gridSpan w:val="2"/>
          </w:tcPr>
          <w:p>
            <w:pPr>
              <w:ind w:left="180"/>
              <w:spacing w:after="0"/>
              <w:rPr>
                <w:sz w:val="20"/>
                <w:szCs w:val="20"/>
                <w:color w:val="auto"/>
              </w:rPr>
            </w:pPr>
            <w:r>
              <w:rPr>
                <w:rFonts w:ascii="Arial" w:cs="Arial" w:eastAsia="Arial" w:hAnsi="Arial"/>
                <w:sz w:val="17"/>
                <w:szCs w:val="17"/>
                <w:color w:val="auto"/>
              </w:rPr>
              <w:t>July 15, 2016</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0.54</w:t>
            </w:r>
          </w:p>
        </w:tc>
        <w:tc>
          <w:tcPr>
            <w:tcW w:w="80" w:type="dxa"/>
            <w:vAlign w:val="bottom"/>
          </w:tcPr>
          <w:p>
            <w:pPr>
              <w:spacing w:after="0"/>
              <w:rPr>
                <w:sz w:val="19"/>
                <w:szCs w:val="19"/>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August 11, 2016</w:t>
            </w:r>
          </w:p>
        </w:tc>
        <w:tc>
          <w:tcPr>
            <w:tcW w:w="27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October 3, 2016</w:t>
            </w:r>
          </w:p>
        </w:tc>
        <w:tc>
          <w:tcPr>
            <w:tcW w:w="272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October 17, 2016</w:t>
            </w:r>
          </w:p>
        </w:tc>
        <w:tc>
          <w:tcPr>
            <w:tcW w:w="7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0.54</w:t>
            </w:r>
          </w:p>
        </w:tc>
        <w:tc>
          <w:tcPr>
            <w:tcW w:w="80" w:type="dxa"/>
            <w:vAlign w:val="bottom"/>
            <w:shd w:val="clear" w:color="auto" w:fill="CFF0FC"/>
          </w:tcPr>
          <w:p>
            <w:pPr>
              <w:spacing w:after="0"/>
              <w:rPr>
                <w:sz w:val="19"/>
                <w:szCs w:val="19"/>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December 8, 2016</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January 3, 2017</w:t>
            </w:r>
          </w:p>
        </w:tc>
        <w:tc>
          <w:tcPr>
            <w:tcW w:w="2720" w:type="dxa"/>
            <w:vAlign w:val="bottom"/>
            <w:gridSpan w:val="2"/>
          </w:tcPr>
          <w:p>
            <w:pPr>
              <w:ind w:left="180"/>
              <w:spacing w:after="0"/>
              <w:rPr>
                <w:sz w:val="20"/>
                <w:szCs w:val="20"/>
                <w:color w:val="auto"/>
              </w:rPr>
            </w:pPr>
            <w:r>
              <w:rPr>
                <w:rFonts w:ascii="Arial" w:cs="Arial" w:eastAsia="Arial" w:hAnsi="Arial"/>
                <w:sz w:val="17"/>
                <w:szCs w:val="17"/>
                <w:color w:val="auto"/>
              </w:rPr>
              <w:t>January 13, 2017</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0.42</w:t>
            </w:r>
          </w:p>
        </w:tc>
        <w:tc>
          <w:tcPr>
            <w:tcW w:w="80" w:type="dxa"/>
            <w:vAlign w:val="bottom"/>
          </w:tcPr>
          <w:p>
            <w:pPr>
              <w:spacing w:after="0"/>
              <w:rPr>
                <w:sz w:val="19"/>
                <w:szCs w:val="19"/>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February 17, 2017</w:t>
            </w:r>
          </w:p>
        </w:tc>
        <w:tc>
          <w:tcPr>
            <w:tcW w:w="27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April 3, 2017</w:t>
            </w:r>
          </w:p>
        </w:tc>
        <w:tc>
          <w:tcPr>
            <w:tcW w:w="272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April 17, 2017</w:t>
            </w:r>
          </w:p>
        </w:tc>
        <w:tc>
          <w:tcPr>
            <w:tcW w:w="7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0.42</w:t>
            </w:r>
          </w:p>
        </w:tc>
        <w:tc>
          <w:tcPr>
            <w:tcW w:w="80" w:type="dxa"/>
            <w:vAlign w:val="bottom"/>
            <w:shd w:val="clear" w:color="auto" w:fill="CFF0FC"/>
          </w:tcPr>
          <w:p>
            <w:pPr>
              <w:spacing w:after="0"/>
              <w:rPr>
                <w:sz w:val="19"/>
                <w:szCs w:val="19"/>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May 11, 2017</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July 3, 2017</w:t>
            </w:r>
          </w:p>
        </w:tc>
        <w:tc>
          <w:tcPr>
            <w:tcW w:w="2720" w:type="dxa"/>
            <w:vAlign w:val="bottom"/>
            <w:gridSpan w:val="2"/>
          </w:tcPr>
          <w:p>
            <w:pPr>
              <w:ind w:left="180"/>
              <w:spacing w:after="0"/>
              <w:rPr>
                <w:sz w:val="20"/>
                <w:szCs w:val="20"/>
                <w:color w:val="auto"/>
              </w:rPr>
            </w:pPr>
            <w:r>
              <w:rPr>
                <w:rFonts w:ascii="Arial" w:cs="Arial" w:eastAsia="Arial" w:hAnsi="Arial"/>
                <w:sz w:val="17"/>
                <w:szCs w:val="17"/>
                <w:color w:val="auto"/>
              </w:rPr>
              <w:t>July 17, 2017</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0.42</w:t>
            </w:r>
          </w:p>
        </w:tc>
        <w:tc>
          <w:tcPr>
            <w:tcW w:w="80" w:type="dxa"/>
            <w:vAlign w:val="bottom"/>
          </w:tcPr>
          <w:p>
            <w:pPr>
              <w:spacing w:after="0"/>
              <w:rPr>
                <w:sz w:val="19"/>
                <w:szCs w:val="19"/>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August 10, 2017</w:t>
            </w:r>
          </w:p>
        </w:tc>
        <w:tc>
          <w:tcPr>
            <w:tcW w:w="27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October 2, 2017</w:t>
            </w:r>
          </w:p>
        </w:tc>
        <w:tc>
          <w:tcPr>
            <w:tcW w:w="272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October 16, 2017</w:t>
            </w:r>
          </w:p>
        </w:tc>
        <w:tc>
          <w:tcPr>
            <w:tcW w:w="7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0.42</w:t>
            </w:r>
          </w:p>
        </w:tc>
        <w:tc>
          <w:tcPr>
            <w:tcW w:w="80" w:type="dxa"/>
            <w:vAlign w:val="bottom"/>
            <w:shd w:val="clear" w:color="auto" w:fill="CFF0FC"/>
          </w:tcPr>
          <w:p>
            <w:pPr>
              <w:spacing w:after="0"/>
              <w:rPr>
                <w:sz w:val="19"/>
                <w:szCs w:val="19"/>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7"/>
                <w:szCs w:val="17"/>
                <w:color w:val="auto"/>
              </w:rPr>
              <w:t>December 7, 2017</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January 2, 2018</w:t>
            </w:r>
          </w:p>
        </w:tc>
        <w:tc>
          <w:tcPr>
            <w:tcW w:w="2720" w:type="dxa"/>
            <w:vAlign w:val="bottom"/>
            <w:gridSpan w:val="2"/>
          </w:tcPr>
          <w:p>
            <w:pPr>
              <w:ind w:left="180"/>
              <w:spacing w:after="0"/>
              <w:rPr>
                <w:sz w:val="20"/>
                <w:szCs w:val="20"/>
                <w:color w:val="auto"/>
              </w:rPr>
            </w:pPr>
            <w:r>
              <w:rPr>
                <w:rFonts w:ascii="Arial" w:cs="Arial" w:eastAsia="Arial" w:hAnsi="Arial"/>
                <w:sz w:val="17"/>
                <w:szCs w:val="17"/>
                <w:color w:val="auto"/>
              </w:rPr>
              <w:t>January 15, 2018</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0.42</w:t>
            </w:r>
          </w:p>
        </w:tc>
        <w:tc>
          <w:tcPr>
            <w:tcW w:w="80" w:type="dxa"/>
            <w:vAlign w:val="bottom"/>
          </w:tcPr>
          <w:p>
            <w:pPr>
              <w:spacing w:after="0"/>
              <w:rPr>
                <w:sz w:val="19"/>
                <w:szCs w:val="19"/>
                <w:color w:val="auto"/>
              </w:rPr>
            </w:pPr>
          </w:p>
        </w:tc>
      </w:tr>
    </w:tbl>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order to qualify as a REIT, we are required each year to distribute to our stockholders at least 90% of our REIT taxable income (determined without regard to the dividends paid deduction and excluding net capital gains) and we will be subject to tax to the extent our net taxable income (including net capital gains) is not fully distributed. While we intend to continue paying regular quarterly cash dividends at levels expected to fully distribute our annual REIT taxable income, future dividends will be paid at the discretion of our Board of Directors and will depend on our future earnings, our capital requirements, our financial condition, limitations under debt covenants, alternative uses of capital, the annual distribution requirements under the REIT provisions of the Code, and on such other factors as our Board of Directors may consider relevant.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following selected financial data for the five years ended December 31, 2017, was derived from our consolidated financial statements and the related notes thereto after any applicable reclassification of discontinued operations. This data should be read in conjunction with our audited consolidated financial statements, including the related notes, and "Management's Discussion and Analysis of Financial Condition and Results of Operations." Our audited consolidated financial statements, including the related notes, as of December 31, 2017 and 2016, and for the years ended December 31, 2017, 2016, and 2015 are included in this Annual Report.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FINANCIAL INFORMATION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89"/>
              </w:rPr>
              <w:t>For the Years Ended December 31,</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0"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0"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4"/>
              <w:spacing w:after="0" w:line="150"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0"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0"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STATEMENT OF OPERATIONS: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1,765,498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1,849,785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1,793,087</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1,646,867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1,694,297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Expenses: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1,249,537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1,275,586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1,256,128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1,156,135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1,220,351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107,822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107,027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103,936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106,429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147,129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166,746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151,514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113,925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Restructuring charges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Asset impairments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1,505,102</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1,553,369</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1,512,533</w:t>
            </w: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1,406,571</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1,443,146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income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260,396</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296,416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280,554</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240,296</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68,535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49,696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39,535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Expenses associated with debt refinancing</w:t>
            </w:r>
          </w:p>
        </w:tc>
        <w:tc>
          <w:tcPr>
            <w:tcW w:w="20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transactions</w:t>
            </w:r>
          </w:p>
        </w:tc>
        <w:tc>
          <w:tcPr>
            <w:tcW w:w="20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Other (income) expense</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(1,204)</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5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68,445</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68,244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50,339</w:t>
            </w: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38,331</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81,554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7"/>
                <w:szCs w:val="17"/>
                <w:color w:val="auto"/>
              </w:rPr>
              <w:t>Income from continuing operations before income</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191,951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140"/>
              <w:spacing w:after="0"/>
              <w:rPr>
                <w:sz w:val="20"/>
                <w:szCs w:val="20"/>
                <w:color w:val="auto"/>
              </w:rPr>
            </w:pPr>
            <w:r>
              <w:rPr>
                <w:rFonts w:ascii="Arial" w:cs="Arial" w:eastAsia="Arial" w:hAnsi="Arial"/>
                <w:sz w:val="17"/>
                <w:szCs w:val="17"/>
                <w:color w:val="auto"/>
              </w:rPr>
              <w:t>taxes</w:t>
            </w: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228,172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230,215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201,965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benefit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(13,911)</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(8,253)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(8,361)</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(6,943)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178,040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219,919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221,854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195,022</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Loss from discontinued operations, net of taxes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(3,757)</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income</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178,040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219,919</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221,854</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195,022</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300,835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share:</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Income from continuing operations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1.51</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1.90</w:t>
            </w:r>
          </w:p>
        </w:tc>
        <w:tc>
          <w:tcPr>
            <w:tcW w:w="2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1.68</w:t>
            </w:r>
          </w:p>
        </w:tc>
        <w:tc>
          <w:tcPr>
            <w:tcW w:w="2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from discontinued operations, net of taxes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Net income</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per share:</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Income from continuing operations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1.50</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1.66</w:t>
            </w:r>
          </w:p>
        </w:tc>
        <w:tc>
          <w:tcPr>
            <w:tcW w:w="2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from discontinued operations, net of taxes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Net income</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common shares outstanding:</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118,084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117,384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116,949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116,109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118,465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117,785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117,312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0"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0"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4"/>
              <w:spacing w:after="0" w:line="150"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0"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0"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BALANCE SHEET DATA:</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3,272,398</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3,271,604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3,356,018</w:t>
            </w:r>
          </w:p>
        </w:tc>
        <w:tc>
          <w:tcPr>
            <w:tcW w:w="2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3,117,646</w:t>
            </w:r>
          </w:p>
        </w:tc>
        <w:tc>
          <w:tcPr>
            <w:tcW w:w="2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2,996,427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Total debt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1,447,187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1,445,169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1,452,077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1,190,455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1,194,002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7"/>
                <w:szCs w:val="17"/>
                <w:color w:val="auto"/>
              </w:rPr>
              <w:t>Total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1,820,790</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1,812,641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1,893,270</w:t>
            </w:r>
          </w:p>
        </w:tc>
        <w:tc>
          <w:tcPr>
            <w:tcW w:w="2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1,636,146</w:t>
            </w:r>
          </w:p>
        </w:tc>
        <w:tc>
          <w:tcPr>
            <w:tcW w:w="2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1,493,920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1,451,608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1,458,963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1,462,748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1,481,500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1,502,507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tabs>
          <w:tab w:leader="none" w:pos="11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notes thereto appearing elsewhere in this Annual Report on Form 10-K</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Item 1A, "Risk Factors" and included in other portions of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flexible, cost-effective ways. Through three business offerings, CoreCivic Safety, CoreCivic Properties, and CoreCivic Community, we provide a broad range of solutions to government partners that serve the public good through corrections and detention management, government real estate solutions, and a growing network of residential reentry centers to help address America's recidivism crisis. We have been a flexible and dependable partner for government for more than 30 years. Our employees are driven by a deep sense of service, high standards of professionalism and a responsibility to help government better the public good.</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2017, we owned and managed 70 correctional, detention, and residential reentry facilities, and managed an additional seven correctional and detention facilities owned by our government partners, with a total design capacity of approximately 78,000 beds in 19 states. In addition, as of December 31, 2017, we owned 12 properties leased to third parties and used by government agencies, totaling 1.1 million square feet in five states. We are one of the nation's largest owners of partnership correctional, detention, and residential reentry facilities and one of the largest prison operators in the United States. We also believe we are the largest private owner of real estate used by government agencies.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structured as a real estate investment trust, or REIT. We began operating as a REIT effective January 1, 2013. See Item 1, "Business – Overview" for a description of how we are organized and how we provide correctional services and conduct other operations through taxable REIT subsidiaries, or TRSs, in order to comply with REIT qualification requirements. We believe that operating as a REIT maximizes our ability to create stockholder value given the nature of our assets, helps lower our cost of capital, draws a larger base of potential stockholders, provides greater flexibility to pursue growth opportunities, and creates a more efficient operating structure.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federal revenue declined from 2016 to 2017 primarily as a result of an amendment to the inter-governmental service agreement, or IGSA, associated with our South Texas Family Residential Center, which became effective in the fourth quarter of 2016, as further described hereafter. In addition, populations in federal facilities, particularly within the Federal Bureau of Prisons, or the BOP, system nationwide, have declined over the past three years. Inmate populations in the BOP system declined due, in part, to the retroactive application of changes to sentencing guidelines applicable to certain federal drug trafficking offenses.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this decline, we continue to believe utilization of private sector bed capacity and management services provides our federal partners with flexible and cost-effective solutions essential to their missions. For example, in November 2016, we announced that the BOP exercised a two-year renewal option at our 1,978-bed McRae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7"/>
          <w:szCs w:val="17"/>
          <w:color w:val="auto"/>
        </w:rPr>
        <w:t>Correctional Facility. The amended agreement commenced on December 1, 2016, and provides for caring for up to 1,724 federal inmates with a fixed monthly payment for 1,633 beds, compared to our previous contract which contained a fixed payment for 1,780 beds. In addition, in July 2017, the BOP exercised a two-year renewal option at our 2,232-bed Adams County Correctional Center. For the year ended December 31, 2017, we generated 5% of our total revenue through the remaining contracts with the BOP at these two correctional facilities.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Further, we believe our ability to provide flexible solutions and fulfill emergent needs of the U.S Immigration and Enforcement, or ICE, would be very difficult and costly to replicate in the public sector, demonstrated by the contract with ICE at our 2,400-bed South Texas Family Residential Center, which was amended and extended in October 2016. The October 2016 amendment extended the term of the contract through September 2021 and can be further extended by bi-lateral modification. In addition, in December 2016, we announced a new award to provide detention capacity to ICE at our 2,016-bed Northeast Ohio Correctional Center, and in April 2017, we announced a new contract award to provide up to 996 beds to the state of Ohio at this same facility. We previously housed inmates from the BOP at the Northeast Ohio facility under a contract that expired in May 2015. We believe these contracts provide further examples of the marketability of our real estate assets across multiple government customers.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Several of our state partners are projecting improvements in their budgets which has helped us secure recent per diem increases at certain facilities. Further, several of our existing state partners, as well as prospective state partners, are experiencing growth in inmate populations and overcrowded conditions. Although we can provide no assurance that we will enter into any new contracts, we believe we are well positioned to provide them with needed bed capacity, as well as the programming and reentry services they are seeking.</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believe the long-term growth opportunities of our business remain attractive as governments consider their emergent needs, as well as the efficiency and offender programming opportunities we provide, as flexible solutions to satisfy our partners' needs. Further, we expect our partners to continue to face challenges in maintaining old facilities, developing new facilities, and expanding current facilities for additional capacity, which could result in future demand for the solutions we provide.</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Governments continue to experience many significant spending demands which have constrained correctional budgets limiting their ability to expand existing facilities or construct new facilities.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inmate populations to facilities with available capacity. Our management contracts generally provide our customers with the right to terminate our management contracts at any time without cause.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actively engaged in marketing our available capacity to existing and prospective customers. Historically, we have been successful in substantially filling our inventory of available beds and the beds that we have constructed. Filling these available beds could provide substantial growth in revenues, cash flow, and earnings per share. However, we can provide no assurance that we will be able to fill our available beds. We expect the Commonwealth of Kentucky to utilize a previously idled facility containing 816 beds beginning in the second quarter of 2018 pursuant to a new management contract we executed in November 2017.</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6"/>
          <w:szCs w:val="16"/>
          <w:color w:val="auto"/>
        </w:rPr>
        <w:t>The demand for prison capacity in the short-term has been affected by the budget challenges many of our government partners currently face. At the same time, these challenges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before we develop new prison capacity on a speculative basis. We will, however, respond to customer demand and may develop or expand correctional and detention facilities when we believe potential long-term returns justify the capital deployment. We expect to continue to pursue investment opportunities in residential reentry centers and are in various stages of due diligence to complete additional acquisitions. The transactions that have not yet closed will also be subject to various customary closing conditions, and we can provide no assurance that any such transactions will ultimately be completed. We are also pursuing investment opportunities in other real estate assets with a bias toward those used to provide mission-critical governmental services, as well as other businesses that expand the range of solutions we provide to government partners which will further diversify our cash flows.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remain steadfast in our efforts to contain costs. Approximately 60% of our operating expenses consist of salaries and benefits. The turnover rate for correctional officers for our company, and for the corrections industry in general, remains high.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Reducing these staffing costs requires a long-term strategy to control such costs, and we continue to dedicate resources to enhance our benefits, provide specialized training and career development opportunities to our staff and attract and retain quality personnel. Through ongoing company-wide initiatives, we continue to focus on efforts to contain costs and improve operating efficiencies.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Through the combination of our initiatives to (i) increase our revenues by increasing the utilization of our available beds, (ii) deliver new bed capacity through new facility construction and expansion opportunities, (iii) invest in real estate-only solutions, (iv) acquire community corrections facilities, and (v) contain our operating expenses, we believe we will be able to maintain our competitive advantage and continue to diversify the range of services we provide to our customers at an attractive price, thereby producing value for our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i w:val="1"/>
          <w:iCs w:val="1"/>
          <w:color w:val="auto"/>
        </w:rPr>
        <w:t xml:space="preserve">Asset impairments. </w:t>
      </w:r>
      <w:r>
        <w:rPr>
          <w:rFonts w:ascii="Arial" w:cs="Arial" w:eastAsia="Arial" w:hAnsi="Arial"/>
          <w:sz w:val="17"/>
          <w:szCs w:val="17"/>
          <w:color w:val="auto"/>
        </w:rPr>
        <w:t>The primary risk we face for asset impairment charges, excluding goodwill, is associated with correctional facilities we own.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we had $2.8 billion in property and equipment, including $242.1 million in long-lived assets, excluding equipment, at eight idled correctional facilities. The carrying values of the eight idled facilities as of December 31, 2017 were as follows (in thousands):</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Prairie Correctional Facility</w:t>
            </w: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16,118</w:t>
            </w:r>
          </w:p>
        </w:tc>
      </w:tr>
      <w:tr>
        <w:trPr>
          <w:trHeight w:val="222"/>
        </w:trPr>
        <w:tc>
          <w:tcPr>
            <w:tcW w:w="4260" w:type="dxa"/>
            <w:vAlign w:val="bottom"/>
            <w:gridSpan w:val="2"/>
          </w:tcPr>
          <w:p>
            <w:pPr>
              <w:spacing w:after="0"/>
              <w:rPr>
                <w:sz w:val="20"/>
                <w:szCs w:val="20"/>
                <w:color w:val="auto"/>
              </w:rPr>
            </w:pPr>
            <w:r>
              <w:rPr>
                <w:rFonts w:ascii="Arial" w:cs="Arial" w:eastAsia="Arial" w:hAnsi="Arial"/>
                <w:sz w:val="17"/>
                <w:szCs w:val="17"/>
                <w:color w:val="auto"/>
              </w:rPr>
              <w:t>Huerfano County Correctional Center</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16,980</w:t>
            </w: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Diamondback Correctional Facility</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41,370</w:t>
            </w:r>
          </w:p>
        </w:tc>
      </w:tr>
      <w:tr>
        <w:trPr>
          <w:trHeight w:val="222"/>
        </w:trPr>
        <w:tc>
          <w:tcPr>
            <w:tcW w:w="4260" w:type="dxa"/>
            <w:vAlign w:val="bottom"/>
            <w:gridSpan w:val="2"/>
          </w:tcPr>
          <w:p>
            <w:pPr>
              <w:spacing w:after="0"/>
              <w:rPr>
                <w:sz w:val="20"/>
                <w:szCs w:val="20"/>
                <w:color w:val="auto"/>
              </w:rPr>
            </w:pPr>
            <w:r>
              <w:rPr>
                <w:rFonts w:ascii="Arial" w:cs="Arial" w:eastAsia="Arial" w:hAnsi="Arial"/>
                <w:sz w:val="17"/>
                <w:szCs w:val="17"/>
                <w:color w:val="auto"/>
              </w:rPr>
              <w:t>Southeast Kentucky Correctional Facility</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21,864</w:t>
            </w: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Marion Adjustment Center</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12,058</w:t>
            </w:r>
          </w:p>
        </w:tc>
      </w:tr>
      <w:tr>
        <w:trPr>
          <w:trHeight w:val="222"/>
        </w:trPr>
        <w:tc>
          <w:tcPr>
            <w:tcW w:w="4260" w:type="dxa"/>
            <w:vAlign w:val="bottom"/>
            <w:gridSpan w:val="2"/>
          </w:tcPr>
          <w:p>
            <w:pPr>
              <w:spacing w:after="0"/>
              <w:rPr>
                <w:sz w:val="20"/>
                <w:szCs w:val="20"/>
                <w:color w:val="auto"/>
              </w:rPr>
            </w:pPr>
            <w:r>
              <w:rPr>
                <w:rFonts w:ascii="Arial" w:cs="Arial" w:eastAsia="Arial" w:hAnsi="Arial"/>
                <w:sz w:val="17"/>
                <w:szCs w:val="17"/>
                <w:color w:val="auto"/>
              </w:rPr>
              <w:t>Kit Carson Correctional Center</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57,095</w:t>
            </w: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Eden Detention Center</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39,707</w:t>
            </w:r>
          </w:p>
        </w:tc>
      </w:tr>
      <w:tr>
        <w:trPr>
          <w:trHeight w:val="222"/>
        </w:trPr>
        <w:tc>
          <w:tcPr>
            <w:tcW w:w="4260" w:type="dxa"/>
            <w:vAlign w:val="bottom"/>
            <w:gridSpan w:val="2"/>
          </w:tcPr>
          <w:p>
            <w:pPr>
              <w:spacing w:after="0"/>
              <w:rPr>
                <w:sz w:val="20"/>
                <w:szCs w:val="20"/>
                <w:color w:val="auto"/>
              </w:rPr>
            </w:pPr>
            <w:r>
              <w:rPr>
                <w:rFonts w:ascii="Arial" w:cs="Arial" w:eastAsia="Arial" w:hAnsi="Arial"/>
                <w:sz w:val="17"/>
                <w:szCs w:val="17"/>
                <w:color w:val="auto"/>
              </w:rPr>
              <w:t>Torrance County Detention Facility</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36,882</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242,074</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also have two idled non-core facilities containing 440 beds with an aggregate net book value of $4.0 million. We incurred approximately $10.8 million, $8.1 million, and $7.2 million in operating expenses at the idled facilities for the years ended December 31, 2017, 2016, and 2015, respectively.</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evaluate the recoverability of the carrying values of our long-lived assets, other than goodwill, when events suggest that an impairment may have occurred. Such events primarily include, but are not limited to, the termination of a management contract or a significant decrease in offender populations within a facility we own. Accordingly, we tested each of the idled facilities for impairment when we were notified by the respective customers that they would no longer be utilizing such facility.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re-perform the impairment analyses on an annual basis for each of the idle facilities and evaluate on a quarterly basis market developments for the potential utilization of each of these facilities in order to identify events that may cause us to reconsider our most recent assumptions. Such events could include negotiations with a prospective customer for the utilization of an idle facility at terms significantly less favorable than those used in our most recent impairment analysis, or changes in legislation surrounding a particular facility that could impact our ability to care for certain types of offenders at such facility, or a demolition or substantial renovation of a facility. Further, a substantial increase in the number of available beds at other facilities we own could lead to a deterioration in market conditions and cash flows that we might be able to obtain under a new management contract at our idle facilities. Although they are not frequently received, an unsolicited offer to purchase any of our idle facilities at amounts that are less than the carrying value could also cause us to reconsider the assumptions used in our most recent impairment analysis.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performing our annual impairment analyses, the estimates of recoverability are initially based on projected undiscounted cash flows that are comparable to historical cash flows from management contracts at similar facilities to the idled facilities and sensitivity analyses that consider reductions to such cash flows. Our sensitivity analyses included reductions in projected cash flows by as much as half of the historical cash flows generated by the respective facility as well as prolonged periods of vacancies. In all cases, the projected undiscounted cash flows in our analyses as of December 31, 2017, exceeded the carrying amounts of each facility.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impairment evaluations also take into consideration our historical experience in securing new management contracts to utilize facilities that had been previously idled for substantial periods of time. Such previously idled facilities are currently being operated under contracts that continue to generate cash flows resulting in the recoverability of the net book value of the previously idled facilities by material amounts. Due to a variety of factors, the lead time to negotiate contracts with our federal and state partners to utilize idle bed capacity is generally lengthy. As a result of our analyses, we determined each of the idled facilities to have recoverable values in excess of the corresponding carrying values. However, we can provide no assurance that we will be able to secure agreements to utilize our idle facilities, or that we will not incur impairment charges in the future.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7"/>
          <w:szCs w:val="17"/>
          <w:color w:val="auto"/>
        </w:rPr>
        <w:t>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Notwithstanding our customers' fluctuating demand for bed capacity which led to our decision to idle certain facilities, we believe the long-term trends favor an increase in the utilization of our correctional facilities and management services. This belief is based on our experience in operating in difficult economic environments and in working with governmental agencies faced with significant budgetary challenges, which is a primary contributing factor to the lack of appropriated funding since 2009 to build new bed capacity by the federal and state governments with which we partner.</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30, 2017, the contract with the BOP at our 1,422-bed Eden Detention Center expired and was not renewed. We idled the Eden facility following the transfer of the offender population, and have begun to market the facility. We can provide no assurance that we will be successful in securing a replacement contract. We performed an impairment analysis of the Eden facility, which had a net carrying value of $39.7 million as of December 31, 2017, and concluded that this asset has a recoverable value in excess of the carrying value.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a result of declines in federal populations at our 910-bed Torrance County Detention Facility and 1,129-bed Cibola County Corrections Center, during the third quarter of 2017, we made the decision to consolidate offender populations into our Cibola facility in order to take advantage of efficiencies gained by consolidating populations into one facility. We idled the Torrance facility in the fourth quarter of 2017 following the transfer of the offender population, and have begun to market the facility to other potential customers. We can provide no assurance that we will be successful in securing a replacement contract. We performed an impairment analysis of the Torrance facility, which had a net carrying value of $36.9 million as of December 31, 2017, and concluded that this asset has a recoverable value in excess of the carrying value.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November 16, 2017, we announced that we had entered into a new contract with the Commonwealth of Kentucky Department of Corrections to house medium and close-security offenders at our previously idled 816-bed Lee Adjustment Center in Beattyville, Kentucky. The new management contract commenced on November 19, 2017, and has an initial term expiring June 30, 2019, with two additional one-year extension options. We expect to begin receiving offender populations under the new contract at the Lee facility toward the end of the first quarter of 2018, following a 120-day period to staff and prepare the facility to care for the offender population. The Lee facility had a net carrying value of $10.4 million as of December 31, 2017, and had previously been idle since 2015.</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Goodwill impairments</w:t>
      </w:r>
      <w:r>
        <w:rPr>
          <w:rFonts w:ascii="Arial" w:cs="Arial" w:eastAsia="Arial" w:hAnsi="Arial"/>
          <w:sz w:val="16"/>
          <w:szCs w:val="16"/>
          <w:color w:val="auto"/>
        </w:rPr>
        <w:t>. As of December 31, 2017, we had $40.9 million of goodwill, established in connection with multiple business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We evaluate the recoverability of the carrying value of goodwill annually, in connection with our annual budgeting process, and whenever circumstances indicate the carrying value of goodwill may not be recoverable. Under the provisions of Accounting Standards Codification 350, "Intangibles-Goodwill and Other," or ASC 350, we perform a qualitative assessment that may allow us to skip the annual two-step impairment test. Under ASC 350,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If the two-step impairment test is required, we determine the fair value of a reporting unit using a combination of various common valuation techniques, including market multiples and discounted cash flows. By their nature, valuation techniques are subject to considerable judgment and require estimates of future cash flows as well as other factors, which are often difficult to predict. Estimated fair values could change if there are changes in our capital structure, cost of debt, interest rates, capital expenditure levels, operating cash flows, or market capitalization. Accordingly, we may incur goodwill impairment charges in the future.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Revenue Recognition – Multiple-Element Arrangement. </w:t>
      </w:r>
      <w:r>
        <w:rPr>
          <w:rFonts w:ascii="Arial" w:cs="Arial" w:eastAsia="Arial" w:hAnsi="Arial"/>
          <w:sz w:val="15"/>
          <w:szCs w:val="15"/>
          <w:color w:val="auto"/>
        </w:rPr>
        <w:t>In September 2014, we agreed under an expansion of an existing IGSA between the city of Eloy, Arizona</w:t>
      </w:r>
      <w:r>
        <w:rPr>
          <w:rFonts w:ascii="Arial" w:cs="Arial" w:eastAsia="Arial" w:hAnsi="Arial"/>
          <w:sz w:val="15"/>
          <w:szCs w:val="15"/>
          <w:i w:val="1"/>
          <w:iCs w:val="1"/>
          <w:color w:val="auto"/>
        </w:rPr>
        <w:t xml:space="preserve"> </w:t>
      </w:r>
      <w:r>
        <w:rPr>
          <w:rFonts w:ascii="Arial" w:cs="Arial" w:eastAsia="Arial" w:hAnsi="Arial"/>
          <w:sz w:val="15"/>
          <w:szCs w:val="15"/>
          <w:color w:val="auto"/>
        </w:rPr>
        <w:t>and ICE to provide residential space and services at our South Texas Family Residential Center. The amended IGSA qualifies as a multiple-element arrangement under the guidance in Accounting Standards Codification 605, "Revenue Recognition," or ASC 605. We evaluate each deliverable in an arrangement to determine whether it represents a separate unit of accounting. The allocation of revenue to each element requires considerable judgment and estimations which could change in the future. In October 2016, we entered into an amended IGSA that extended the term of the contract through September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spacing w:after="0" w:line="267" w:lineRule="auto"/>
        <w:rPr>
          <w:sz w:val="20"/>
          <w:szCs w:val="20"/>
          <w:color w:val="auto"/>
        </w:rPr>
      </w:pPr>
      <w:r>
        <w:rPr>
          <w:rFonts w:ascii="Arial" w:cs="Arial" w:eastAsia="Arial" w:hAnsi="Arial"/>
          <w:sz w:val="17"/>
          <w:szCs w:val="17"/>
          <w:color w:val="auto"/>
        </w:rPr>
        <w:t>As a result of this amendment, the deferred revenue associated with the multiple elements will be recognized over future periods based on the delivery of future services. If the IGSA were to be further amended or terminated before the expiration of the five-year term, we would determine the allocation of any deferred revenues to the separate units of accounting to be recognized immediately for services previously provided and, if amended, over future periods based on the delivery of future services.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Self-funded insurance reserves</w:t>
      </w:r>
      <w:r>
        <w:rPr>
          <w:rFonts w:ascii="Arial" w:cs="Arial" w:eastAsia="Arial" w:hAnsi="Arial"/>
          <w:sz w:val="17"/>
          <w:szCs w:val="17"/>
          <w:color w:val="auto"/>
        </w:rPr>
        <w:t>. As of December 31, 2017 and 2016, we had $32.8 million and $29.8 million, respectively, in accrued liabilities for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health, workers' compensation, and automobile insurance claims. We are significantly self-insured for employee health, workers' compensation, and automobile liability insurance claims. As such, our insurance expense is largely dependent on claims experience and our ability to control our claims. We have consistently accrued the estimated liability for employee health insurance claims based on our history of claims experience and the estimated time lag between the incident date and the date we pay the claims. We have accrued the estimated liability for workers' compensation claims based on an actuarial valuation of the outstanding liabilities, discounted to the net present value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These estimates could change in the future. It is possible that future cash flows and results of operations could be materially affected by changes in our assumptions, new developments, or by the effectiveness of our strategies.</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Legal reserves. </w:t>
      </w:r>
      <w:r>
        <w:rPr>
          <w:rFonts w:ascii="Arial" w:cs="Arial" w:eastAsia="Arial" w:hAnsi="Arial"/>
          <w:sz w:val="16"/>
          <w:szCs w:val="16"/>
          <w:color w:val="auto"/>
        </w:rPr>
        <w:t>As of December 31, 2017 and 2016, we had $7.8 million and $9.3 million, respectively, in accrued liabilities under the provisions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Subtopic 450-20, "Loss Contingencies," or ASC 450, related to certain claims and legal proceedings in which we are involved. We have accrued our best estimate of the probable costs for the resolution of these claims and legal proceedings. In addition, we are subject to current and potential future claims and legal proceedings for which little or no accrual has been reflected because our current assessment of the potential exposure is nominal. These estimates have been developed in consultation with our General Counsel's office and, as appropriate, outside counsel handling these matters, and are based upon an analysis of potential results, assuming a combination of litigation and settlement strategies. It is possible that future cash flows and results of operations could be materially affected by changes in our assumptions, new developments, or by the effectiveness of our litigation and settlement strategies.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of operations are impacted by the number of facilities we owned and managed, the number of facilities we managed but did not own, the number of facilities we leased to other operators, and the facilities we owned that were not in operation. The following table sets forth the changes in the number of facilities operated for the years ended December 31, 2017, 2016, and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Effective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Owned</w:t>
            </w: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Managed</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and</w:t>
            </w:r>
          </w:p>
        </w:tc>
        <w:tc>
          <w:tcPr>
            <w:tcW w:w="1320" w:type="dxa"/>
            <w:vAlign w:val="bottom"/>
            <w:gridSpan w:val="2"/>
            <w:vMerge w:val="continue"/>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Leased</w:t>
            </w: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Managed</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Only</w:t>
            </w:r>
          </w:p>
        </w:tc>
        <w:tc>
          <w:tcPr>
            <w:tcW w:w="13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Facilities as of December 31, 2014</w:t>
            </w:r>
          </w:p>
        </w:tc>
        <w:tc>
          <w:tcPr>
            <w:tcW w:w="2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7"/>
                <w:szCs w:val="17"/>
                <w:color w:val="auto"/>
              </w:rPr>
              <w:t>Impairment of non-core assets</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7"/>
                <w:szCs w:val="17"/>
                <w:color w:val="auto"/>
                <w:w w:val="85"/>
              </w:rPr>
              <w:t>January 2015</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00" w:type="dxa"/>
            <w:vAlign w:val="bottom"/>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2"/>
        </w:trPr>
        <w:tc>
          <w:tcPr>
            <w:tcW w:w="410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Acquisition of four community</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corrections facilities in Pennsylvania</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0"/>
              </w:rPr>
              <w:t>August 2015</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Termination of the management contract</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for the Winn Correctional Center</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September 2015</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Termination of the contract at the</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Leo Chesney Correctional Center</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7"/>
              </w:rPr>
              <w:t>October 2015</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Acquisition of eleven community</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120"/>
              <w:spacing w:after="0"/>
              <w:rPr>
                <w:sz w:val="20"/>
                <w:szCs w:val="20"/>
                <w:color w:val="auto"/>
              </w:rPr>
            </w:pPr>
            <w:r>
              <w:rPr>
                <w:rFonts w:ascii="Arial" w:cs="Arial" w:eastAsia="Arial" w:hAnsi="Arial"/>
                <w:sz w:val="17"/>
                <w:szCs w:val="17"/>
                <w:color w:val="auto"/>
              </w:rPr>
              <w:t>corrections facilities in Oklahoma (3),</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Texas (7), and Wyoming (1)</w:t>
            </w:r>
          </w:p>
        </w:tc>
        <w:tc>
          <w:tcPr>
            <w:tcW w:w="212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October 2015</w:t>
            </w: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Activation of the Trousdale Turner</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Correctional Center</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7"/>
              </w:rPr>
              <w:t>December 2015</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Facilities as of December 31, 2015</w:t>
            </w:r>
          </w:p>
        </w:tc>
        <w:tc>
          <w:tcPr>
            <w:tcW w:w="20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00" w:type="dxa"/>
            <w:vAlign w:val="bottom"/>
            <w:shd w:val="clear" w:color="auto" w:fill="CFF0FC"/>
          </w:tcPr>
          <w:p>
            <w:pPr>
              <w:spacing w:after="0" w:line="172" w:lineRule="exact"/>
              <w:rPr>
                <w:sz w:val="20"/>
                <w:szCs w:val="20"/>
                <w:color w:val="auto"/>
              </w:rPr>
            </w:pPr>
            <w:r>
              <w:rPr>
                <w:rFonts w:ascii="Arial" w:cs="Arial" w:eastAsia="Arial" w:hAnsi="Arial"/>
                <w:sz w:val="17"/>
                <w:szCs w:val="17"/>
                <w:color w:val="auto"/>
              </w:rPr>
              <w:t>Acquisition of seven community</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corrections facilities in Colorado</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4"/>
              </w:rPr>
              <w:t>April 2016</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Lease of the North Fork Correctional</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Facility</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May 2016</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Acquisition of the Long Beach</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Community Corrections Center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California</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5"/>
              </w:rPr>
              <w:t>June 2016</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Facilities as of December 31, 2016</w:t>
            </w:r>
          </w:p>
        </w:tc>
        <w:tc>
          <w:tcPr>
            <w:tcW w:w="20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100" w:type="dxa"/>
            <w:vAlign w:val="bottom"/>
            <w:shd w:val="clear" w:color="auto" w:fill="CFF0FC"/>
          </w:tcPr>
          <w:p>
            <w:pPr>
              <w:spacing w:after="0" w:line="172" w:lineRule="exact"/>
              <w:rPr>
                <w:sz w:val="20"/>
                <w:szCs w:val="20"/>
                <w:color w:val="auto"/>
              </w:rPr>
            </w:pPr>
            <w:r>
              <w:rPr>
                <w:rFonts w:ascii="Arial" w:cs="Arial" w:eastAsia="Arial" w:hAnsi="Arial"/>
                <w:sz w:val="17"/>
                <w:szCs w:val="17"/>
                <w:color w:val="auto"/>
              </w:rPr>
              <w:t>Acquisition of the Arapahoe Community</w:t>
            </w:r>
          </w:p>
        </w:tc>
        <w:tc>
          <w:tcPr>
            <w:tcW w:w="2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Treatment Center in Colorado</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5"/>
              </w:rPr>
              <w:t>January 2017</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Expiration of the contract at the D.C.</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120"/>
              <w:spacing w:after="0"/>
              <w:rPr>
                <w:sz w:val="20"/>
                <w:szCs w:val="20"/>
                <w:color w:val="auto"/>
              </w:rPr>
            </w:pPr>
            <w:r>
              <w:rPr>
                <w:rFonts w:ascii="Arial" w:cs="Arial" w:eastAsia="Arial" w:hAnsi="Arial"/>
                <w:sz w:val="17"/>
                <w:szCs w:val="17"/>
                <w:color w:val="auto"/>
              </w:rPr>
              <w:t>Correctional Treatment Facility in the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District of Columbia</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January 2017</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Acquisition of the Stockton Female</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Community Corrections Facility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California</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8"/>
              </w:rPr>
              <w:t>February 2017</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Acquisition of the Oklahoma City</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Transitional Center in Oklahoma</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June 2017</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Combination of two existing facilities</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 Arizona into one complex</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5"/>
              </w:rPr>
              <w:t>June 2017</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Expiration of the contract at the Bartlett</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State Jail</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June 2017</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Termination of the lease at the Bridgeport</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Pre-Parole Transfer Facility</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5"/>
              </w:rPr>
              <w:t>June 2017</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Acquisition of the Oracle Transitional</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Center in Arizona</w:t>
            </w:r>
          </w:p>
        </w:tc>
        <w:tc>
          <w:tcPr>
            <w:tcW w:w="212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August 2017</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Expiration of the contracts at three</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managed-only facilities in Texas</w:t>
            </w:r>
          </w:p>
        </w:tc>
        <w:tc>
          <w:tcPr>
            <w:tcW w:w="212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0"/>
              </w:rPr>
              <w:t>August 2017</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2"/>
        </w:trPr>
        <w:tc>
          <w:tcPr>
            <w:tcW w:w="4100" w:type="dxa"/>
            <w:vAlign w:val="bottom"/>
          </w:tcPr>
          <w:p>
            <w:pPr>
              <w:spacing w:after="0" w:line="192" w:lineRule="exact"/>
              <w:rPr>
                <w:sz w:val="20"/>
                <w:szCs w:val="20"/>
                <w:color w:val="auto"/>
              </w:rPr>
            </w:pPr>
            <w:r>
              <w:rPr>
                <w:rFonts w:ascii="Arial" w:cs="Arial" w:eastAsia="Arial" w:hAnsi="Arial"/>
                <w:sz w:val="17"/>
                <w:szCs w:val="17"/>
                <w:color w:val="auto"/>
              </w:rPr>
              <w:t>Acquisition of a portfolio of leased</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20"/>
              <w:spacing w:after="0"/>
              <w:rPr>
                <w:sz w:val="20"/>
                <w:szCs w:val="20"/>
                <w:color w:val="auto"/>
              </w:rPr>
            </w:pPr>
            <w:r>
              <w:rPr>
                <w:rFonts w:ascii="Arial" w:cs="Arial" w:eastAsia="Arial" w:hAnsi="Arial"/>
                <w:sz w:val="17"/>
                <w:szCs w:val="17"/>
                <w:color w:val="auto"/>
              </w:rPr>
              <w:t>properties</w:t>
            </w:r>
          </w:p>
        </w:tc>
        <w:tc>
          <w:tcPr>
            <w:tcW w:w="21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September 2017</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Acquisition of three community</w:t>
            </w: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corrections facilities in Colorado</w:t>
            </w:r>
          </w:p>
        </w:tc>
        <w:tc>
          <w:tcPr>
            <w:tcW w:w="212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9"/>
              </w:rPr>
              <w:t>November 2017</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7"/>
                <w:szCs w:val="17"/>
                <w:b w:val="1"/>
                <w:bCs w:val="1"/>
                <w:color w:val="auto"/>
              </w:rPr>
              <w:t>Facilities as of December 31, 2017</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2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Year Ended December 31, 2017 Compared to the Year Ended December 31, 2016</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year ended December 31, 2017, we generated net income of $178.0 million, or $1.50 per diluted share, compared with net income of $219.9 million, or $1.87 per diluted share, for the previous year. Our financial results were impacted by several non-routine transactions, including the renegotiation of a contract at the South Texas Family Residential Center in the fourth quarter of 2016 that resulted in a decrease in revenue of $96.7 million at this facility in 2017 compared with 2016, income tax charges of $4.5 million resulting from the Tax Cuts and Jobs Act, or the TCJA, enacted in the fourth quarter of 2017, and restructuring charges of $4.0 million in the third quarter of 2016. Each of these factors is described more fully hereafter.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Operations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key performance indicator we use to measure the revenue and expenses associated with the operation of the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per-diem rate based upon actual or minimum guaranteed occupancy levels. We also measure our ability to contain costs on a per-compensated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operating facilities that we owned or managed, exclusive of those held for lease by third parties, were as follows for the years ended December 31, 2017 and 2016:</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3"/>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Revenue per compensated man-day</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73.14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74.77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Operating expenses per compensated man-day: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Fixed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Variable expense</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w:t>
            </w:r>
          </w:p>
        </w:tc>
        <w:tc>
          <w:tcPr>
            <w:tcW w:w="1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52.91</w:t>
            </w:r>
          </w:p>
        </w:tc>
        <w:tc>
          <w:tcPr>
            <w:tcW w:w="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53.74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income per compensated man-day</w:t>
            </w:r>
          </w:p>
        </w:tc>
        <w:tc>
          <w:tcPr>
            <w:tcW w:w="1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w:t>
            </w:r>
          </w:p>
        </w:tc>
        <w:tc>
          <w:tcPr>
            <w:tcW w:w="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margin</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27.7%</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compensated occupancy</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8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79.6%</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02"/>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available beds</w:t>
            </w: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80,903</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83,882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Average compensated population</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64,439</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Fixed expenses per compensated man-day for the year ended December 31, 2017 include depreciation expense of $16.5 million and interest expense of $6.4 million in order to more properly reflect the cash flows associated with the lease at the South Texas Family Residential Center. Fixed expenses per compensated man-day for the year ended December 31, 2016 include depreciation expense of $38.7 million and interest expense of $10.0 million associated with the lease at the South Texas Family Residential Center.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color w:val="auto"/>
        </w:rPr>
        <w:t>Revenue</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revenue consists of revenue we generate in the operation and management of correctional, detention, and residential reentry facilities, as well as rental revenue generated from facilities we lease to third parties, and from our inmate transportation subsidiary, TransCor America, LLC, or TransCor. The following table reflects the components of revenue for the years ended December 31, 2017 and 2016 (in millions):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color w:val="auto"/>
              </w:rPr>
              <w:t>For the Years Ended December 31,</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0"/>
        </w:trPr>
        <w:tc>
          <w:tcPr>
            <w:tcW w:w="5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7"/>
              <w:spacing w:after="0" w:line="150"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0"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Management revenue:</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839.9</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954.8</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(114.9)</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727.8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Local</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(2.4)</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480"/>
              <w:spacing w:after="0"/>
              <w:rPr>
                <w:sz w:val="20"/>
                <w:szCs w:val="20"/>
                <w:color w:val="auto"/>
              </w:rPr>
            </w:pPr>
            <w:r>
              <w:rPr>
                <w:rFonts w:ascii="Arial" w:cs="Arial" w:eastAsia="Arial" w:hAnsi="Arial"/>
                <w:sz w:val="17"/>
                <w:szCs w:val="17"/>
                <w:color w:val="auto"/>
              </w:rPr>
              <w:t>Total management revenue</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1,720.2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(88.9)</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Rental and other revenue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1,765.5</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1,849.8</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(84.3)</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$88.9 million, or 4.9%, decrease in total management revenue was a result of a decrease in revenue of approximately $38.3 million driven by a decrease of 2.2% in average revenue per compensated man-day. The decrease in management revenue was also a result of a decrease in revenue of approximately $50.6 million caused by a decrease in the average daily compensated population, as well as the revenue generated by one fewer day of operations due to leap year in 2016. The decrease in average revenue per compensated man-day from 2016 to 2017 was primarily a result of the amended IGSA associated with the South Texas Family Residential Center, which became effective in the fourth quarter of 2016, as further described hereafter. The decrease in average revenue per compensated man-day was partially offset by the effect of per diem increases at several of our other facilities.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Average daily compensated population decreased 1,673, or 2.5%, to 64,439 in 2017 compared to 66,112 in 2016. There were several notable factors that affected the average daily compensated population when comparing 2017 to 2016. Average daily compensated population during 2017 increased due to the activation in the third quarter of 2016 of the new contract to care for up to an additional 1,000 inmates at our newly expanded Red Rock Correctional Center, and the full activation of the newly constructed Trousdale Turner Correctional Center during 2016, both as further described hereafter. Average daily compensated population in 2017 also increased due to two new contracts at our Northeast Ohio Correctional Center. In December 2016, we announced a new contract award from ICE at the Northeast Ohio facility in order to assist ICE with their detention needs and, in the third quarter of 2017, we began receiving offender populations at the Northeast Ohio facility under a new contract with the state of Ohio, as further described hereafter. Such average daily compensated population increases were offset by the decline in California inmates held in our out-of-state facilities, the expiration of our contract with the District of Columbia, or the District, at the D.C. Correctional Treatment Facility in the first quarter of 2017, the expiration of our contract with the BOP at our Eden Detention Center on April 30, 2017, and the expirations in the second and third quarters of 2017 of our contracts at four facilities that we managed for the state of Texas, all as further described hereafter. The expiration of our contract with the BOP at our Cibola County Corrections Center in October 2016 also resulted in a decrease in average daily compensated population in 2017. While we signed a new contract in October 2016 to provide detention space and services at our Cibola facility to ICE for up to 1,116 detainees, the transition period from the BOP contract to the ICE contract and lower utilization by ICE resulted in a reduction in average daily compensated population at our Cibola facility in 2017 when compared to 2016. Lower utilization by the United States Marshals Service, or USMS, and ICE at our Torrance County Detention Facility also contributed to the reduction in average daily compensated population and led to our idling the facility in the fourth quarter of 2017, as further described hereafter.</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Business from our federal customers, including primarily the BOP, the USMS, and ICE, continues to be a significant component of our business. Our federal customers generated approximately 48% and 52% of our total revenue for the years ended December 31, 2017 and 2016, respectively, decreasing $114.9 million, or 12.0%. The decrease in federal revenues primarily resulted from the amended IGSA associated with the South Texas Family Residential Center, which became effective in the fourth quarter of 2016, the expiration of our contract with the BOP at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7"/>
          <w:szCs w:val="17"/>
          <w:color w:val="auto"/>
        </w:rPr>
        <w:t>Eden Detention Center on April 30, 2017, and the expiration of our contract with the BOP at our Cibola County Corrections Center in October 2016, net of revenue from the new contract with ICE at this facility. The decrease in federal revenues was partially offset by the combined effect of per diem increases for several of our federal contracts and a net increase in federal populations at certain other facilities.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State revenues from contracts at correctional, detention, and residential reentry facilities that we operate increased 2.4% from 2016 to 2017. The increase in state revenues was primarily a result of the full activation of the newly constructed Trousdale Turner Correctional Center during 2016, the activation of the expansion at our Red Rock Correctional Center in the third quarter of 2016, and the new contract with the state of Ohio at our Northeast Ohio Correctional Center. Per diem increases and a net increase in state populations at certain other facilities also contributed to the increase in state revenues. The increase in state revenues was partially offset by a decline in California inmates held in our out-of-state facilities, the expiration of our contract with the District at the D.C. Correctional Treatment Facility in the first quarter of 2017, and the expirations in the second and third quarters of 2017 of our contracts at four facilities that we managed for the state of Texas.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$11.0 million, or 14.1%, increase in revenue from local authorities from 2016 to 2017 was primarily a result of acquisitions during 2016 and 2017 of multiple residential reentry centers, some of which partner with local agencies, as further described hereafter. Also contributing to the increase in revenue from local authorities from 2016 to 2017 was the execution in July 2017 of a new three-year contract with the City of Mesa, Arizona to care for up to 200 offenders at our 4,128-bed Central Arizona Florence Correctional Complex.</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totaled $1,249.5 million and $1,275.6 million for the years ended December 31, 2017 and 2016, respectively. Operating expenses consist of those expenses incurred in the operation and management of correctional, detention, and residential reentry facilities, as well as at facilities we lease to third-party operators, and for TransCor.</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Expenses incurred in connection with the operation and management of correctional, detention, and residential reentry facilities decreased $30.2 million, or 2.4% during 2017 compared with 2016. There were several notable factors that affected operating expenses when comparing 2017 with 2016. The amended IGSA associated with the South Texas Family Residential Center, which lowered the cost structure effective in the fourth quarter of 2016, the expiration of our contract with the District at the D.C. Correctional Treatment Facility in the first quarter of 2017, the expiration of our contract with the BOP at our Eden Detention Center in the second quarter of 2017, the expirations in the second and third quarters of 2017 of our contracts at four facilities that we managed for the state of Texas, and the idling of our Torrance County Detention facility in the fourth quarter of 2017 all contributed to a decrease in operating expenses. The decrease in operating expenses was partially offset primarily by the activation of the expansion at our Red Rock Correctional Center in the third quarter of 2016 and the additional expenses resulting from the new contracts with ICE and the state of Ohio at our Northeast Ohio Correctional Center. Additional factors affecting operating expenses included the one fewer day of operations due to leap year in 2016, the additional expenses resulting from the full activation of the newly constructed Trousdale Turner Correctional Center during 2016, and the additional expenses resulting from acquisitions of multiple residential reentry centers during 2016 and 2017.</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Total expenses per compensated man-day decreased to $52.91 during the year ended December 31, 2017 from $53.74 during the year ended December 31, 2016. Fixed expenses per compensated man-day for 2017 and 2016 include depreciation expense of $16.5 million and $38.7 million, respectively, and interest expense of $6.4 million and $10.0 million, respectively, in order to more properly reflect the cash flows associated with the lease at the South Texas Family Residential Center. Fixed expenses and variable expenses per compensated man-day decreased from 2016 to 2017 primarily as a result of the amended IGSA which lowered the cost structure associated with the South Texas Family Residential Center effective in the fourth quarter of 2016, as further described hereafter.</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the economy has improved and the nation's unemployment rate has declined, we have experienced wage pressures in certain markets across the country, and have provided wage increases to remain competitive. These wage pressures (among other factors) contributed to the decline in operating margins during 2017 compared to 2016, as salaries expense per compensated man-day increased 4.5%, excluding the impact of the aforementioned contract modification at the South Texas Family Residential Center. We continually monitor compensation levels very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both"/>
        <w:ind w:right="20"/>
        <w:spacing w:after="0" w:line="273" w:lineRule="auto"/>
        <w:rPr>
          <w:sz w:val="20"/>
          <w:szCs w:val="20"/>
          <w:color w:val="auto"/>
        </w:rPr>
      </w:pPr>
      <w:r>
        <w:rPr>
          <w:rFonts w:ascii="Arial" w:cs="Arial" w:eastAsia="Arial" w:hAnsi="Arial"/>
          <w:sz w:val="17"/>
          <w:szCs w:val="17"/>
          <w:color w:val="auto"/>
        </w:rPr>
        <w:t>closely along with overall economic conditions and will set wage levels necessary to help ensure the long-term success of our business. Salaries and benefits represent the most significant component of our operating expenses, representing approximately 60% and 59% of our total operating expenses during 2017 and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Facility Management Contracts</w:t>
      </w:r>
    </w:p>
    <w:p>
      <w:pPr>
        <w:spacing w:after="0" w:line="119"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We enter into facility contracts to provide prison bed capacity and management services to governmental entities for terms typically ranging from three to five years, with additional renewal periods at the option of the contracting governmental agency. Accordingly, a substantial portion of our facility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w:t>
      </w:r>
    </w:p>
    <w:p>
      <w:pPr>
        <w:spacing w:after="0" w:line="14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Based on information available as of the date of this filing, we believe we will renew all material contracts that have expired or are scheduled to expire within the next twelve months.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operation of the facilities we own carries a higher degree of risk associated with a facility contract than the operation of the facilities we manage but do not own because we incur significant capital expenditures to construct, renovate or acquire facilities we own. Additionally, correctional and detention facilities have limited or no alternative use. Therefore, if a contract is terminated at a facility we own, we continue to incur certain operating expenses, such as real estate taxes, utilities, and insurance, which we would not incur if a management contract were terminated for a managed-only facility. As a result, revenue per compensated man-day is typically higher for facilities we own and manage than for managed-only facilities. Because we incur higher expenses, such as repairs and maintenance, real estate taxes, and insurance, on the facilities we own and manage, our cost structure for facilities we own and manage is also higher than the cost structure for the managed-only facilities. The following tables display the revenue and expenses per compensated man-day for the facilities placed into service that we own and manage and for the facilities we manage but do not own, which we believe is useful information for our financial statement users: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Owned and Managed Facilities: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Revenue per compensated man-day</w:t>
            </w:r>
          </w:p>
        </w:tc>
        <w:tc>
          <w:tcPr>
            <w:tcW w:w="186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78.87</w:t>
            </w:r>
          </w:p>
        </w:tc>
        <w:tc>
          <w:tcPr>
            <w:tcW w:w="3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82.76</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w w:val="98"/>
              </w:rPr>
              <w:t>Operating expenses per compensated man-day:</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40.02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41.44</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15.20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16.19</w:t>
            </w:r>
          </w:p>
        </w:tc>
        <w:tc>
          <w:tcPr>
            <w:tcW w:w="1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55.22</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57.63</w:t>
            </w:r>
          </w:p>
        </w:tc>
        <w:tc>
          <w:tcPr>
            <w:tcW w:w="160" w:type="dxa"/>
            <w:vAlign w:val="bottom"/>
            <w:tcBorders>
              <w:bottom w:val="single" w:sz="8" w:color="CFF0FC"/>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23.65</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25.13</w:t>
            </w:r>
          </w:p>
        </w:tc>
        <w:tc>
          <w:tcPr>
            <w:tcW w:w="160" w:type="dxa"/>
            <w:vAlign w:val="bottom"/>
            <w:tcBorders>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30.0%</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30.4%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3600" w:type="dxa"/>
            <w:vAlign w:val="bottom"/>
            <w:vMerge w:val="continue"/>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77.1%</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75.6%</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1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720" w:type="dxa"/>
            <w:vAlign w:val="bottom"/>
          </w:tcPr>
          <w:p>
            <w:pPr>
              <w:spacing w:after="0"/>
              <w:rPr>
                <w:sz w:val="21"/>
                <w:szCs w:val="21"/>
                <w:color w:val="auto"/>
              </w:rPr>
            </w:pPr>
          </w:p>
        </w:tc>
        <w:tc>
          <w:tcPr>
            <w:tcW w:w="360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68,918</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69,984</w:t>
            </w:r>
          </w:p>
        </w:tc>
        <w:tc>
          <w:tcPr>
            <w:tcW w:w="160" w:type="dxa"/>
            <w:vAlign w:val="bottom"/>
            <w:tcBorders>
              <w:bottom w:val="single" w:sz="8" w:color="CFF0FC"/>
            </w:tcBorders>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16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53,148</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52,942</w:t>
            </w:r>
          </w:p>
        </w:tc>
        <w:tc>
          <w:tcPr>
            <w:tcW w:w="160" w:type="dxa"/>
            <w:vAlign w:val="bottom"/>
            <w:tcBorders>
              <w:bottom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80" w:type="dxa"/>
            <w:vAlign w:val="bottom"/>
            <w:vMerge w:val="restart"/>
          </w:tcPr>
          <w:p>
            <w:pPr>
              <w:jc w:val="right"/>
              <w:ind w:right="1113"/>
              <w:spacing w:after="0"/>
              <w:rPr>
                <w:sz w:val="20"/>
                <w:szCs w:val="20"/>
                <w:color w:val="auto"/>
              </w:rPr>
            </w:pPr>
            <w:r>
              <w:rPr>
                <w:rFonts w:ascii="Arial" w:cs="Arial" w:eastAsia="Arial" w:hAnsi="Arial"/>
                <w:sz w:val="17"/>
                <w:szCs w:val="17"/>
                <w:color w:val="auto"/>
              </w:rPr>
              <w:t>61</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72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1" w:name="page62"/>
    <w:bookmarkEnd w:id="61"/>
    <w:tbl>
      <w:tblPr>
        <w:tblLayout w:type="fixed"/>
        <w:tblInd w:w="1720" w:type="dxa"/>
        <w:tblCellMar>
          <w:top w:w="0" w:type="dxa"/>
          <w:left w:w="0" w:type="dxa"/>
          <w:bottom w:w="0" w:type="dxa"/>
          <w:right w:w="0" w:type="dxa"/>
        </w:tblCellMar>
      </w:tblPr>
      <w:tr>
        <w:trPr>
          <w:trHeight w:val="163"/>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Managed Only Facilities: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7"/>
                <w:szCs w:val="17"/>
                <w:color w:val="auto"/>
              </w:rPr>
              <w:t>Revenue per compensated man-day</w:t>
            </w:r>
          </w:p>
        </w:tc>
        <w:tc>
          <w:tcPr>
            <w:tcW w:w="118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46.16</w:t>
            </w:r>
          </w:p>
        </w:tc>
        <w:tc>
          <w:tcPr>
            <w:tcW w:w="3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 per compensated man-day:</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29.65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12.38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42.03</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38.10</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1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4.13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8.9%</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vMerge w:val="continue"/>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94.2%</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11,985</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13,898</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1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11,291</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13,170</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Owned and Managed Facilities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Total revenue from our owned and managed facilities decreased $73.7 million, or 4.6%, from $1,603.7 million in 2016 to $1,530.0 million in 2017. Facility net operating income, or the operating income or loss from operations before interest, taxes, asset impairments, depreciation and amortization, at our owned and managed facilities decreased by $53.8 million, from $535.6 million in 2016 to $481.8 million in 2017, a decrease of 10.0%. Facility net operating income at our owned and managed facilities in 2017 was unfavorably impacted by the amended IGSA associated with the South Texas Family Residential Center, which became effective in the fourth quarter of 2016, as further described hereafter. The aggregate depreciation and interest expense associated with the lease at the South Texas Family Residential Center in the years ended December 31, 2017 and 2016, totaling $22.9 million and $48.7 million, respectively, are not included in these facility net operating income amounts, but are included in the per compensated man-day statistics.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September 2014, we announced that we agreed to an expansion of an IGSA between the city of Eloy, Arizona and ICE to care for up to 2,400 individuals at the South Texas Family Residential Center, a facility we lease in Dilley, Texas. The services provided under the original amended IGSA commenced in the fourth quarter of 2014 and had an original term of up to four years. In October 2016, we entered into an amended IGSA that provides for a new, lower fixed monthly payment that commenced in November 2016, and extended the term of the contract through September 2021. The agreement can be further extended by bi-lateral modification. However, ICE can also terminate the agreement for convenience or non-appropriation of funds, without penalty, by providing us with at least a 60-day notice. Concurrent with the amendment to the IGSA entered into in October 2016, we modified our lease agreement with the third-party lessor of the facility to reflect a reduced monthly lease expense effective in November 2016, with a new term concurrent with the amended IGSA. In the event we cancel the lease with the third-party lessor prior to its expiration as a result of the termination of the IGSA by ICE for convenience, and if we are unable to reach an agreement for the continued use of the facility within 90 days from the termination date, we are required to pay a termination fee based on the termination date, currently equal to $10.0 million and declining to zero by October 2020.</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During the years ended December 31, 2017 and 2016, we recognized $170.6 million and $267.3 million, respectively, in total revenue associated with the South Texas Family Residential Center. The original IGSA with ICE had a favorable impact on the revenue and net operating income of our owned and managed facilities during 2016, with more favorable operating margin percentages than those of our average owned and managed facilities. Under terms of the amended IGSA entered into in October 2016, the revenues generated at the South Texas Family Residential Center declined and operating margin percentages at the facility became more comparable to those of our average owned and managed facilities, resulting in a material reduction to our facility net operating income in 2017.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62" w:name="page63"/>
    <w:bookmarkEnd w:id="62"/>
    <w:p>
      <w:pPr>
        <w:jc w:val="both"/>
        <w:spacing w:after="0" w:line="297" w:lineRule="auto"/>
        <w:rPr>
          <w:sz w:val="20"/>
          <w:szCs w:val="20"/>
          <w:color w:val="auto"/>
        </w:rPr>
      </w:pPr>
      <w:r>
        <w:rPr>
          <w:rFonts w:ascii="Arial" w:cs="Arial" w:eastAsia="Arial" w:hAnsi="Arial"/>
          <w:sz w:val="16"/>
          <w:szCs w:val="16"/>
          <w:color w:val="auto"/>
        </w:rPr>
        <w:t>Numerous lawsuits, to which we are not a party, have challenged the government's policy of detaining migrant families, and government policies with respect to family immigration may impact the demand for the South Texas Family Residential Center. Any court decision or government action that impacts our existing contract for the South Texas Family Residential Center could materially affect our cash flows, financial condition, and results of operations.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2015, we announced that we were awarded a new contract from the Arizona Department of Corrections, or ADOC, to care for up to an additional 1,000 medium-security inmates at our Red Rock facility, bringing the contracted bed capacity to 2,000 inmates. The new management contract contains an initial term of ten years, with two five-year renewal options upon mutual agreement and provides for an occupancy guarantee of 90% of the contracted beds. The government partner included the occupancy guarantee in its request for proposal in order to guarantee its access to the beds. In connection with the new award, we expanded our Red Rock facility to a design capacity of 2,024 beds and added additional space for inmate reentry programming. We began receiving inmates under the new contract during the third quarter of 2016. The new contract generated $18.7 million of incremental revenue during 2017 when compared to 2016.</w:t>
      </w:r>
    </w:p>
    <w:p>
      <w:pPr>
        <w:spacing w:after="0" w:line="16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has resulted in declining inmate populations in the out-of-state program at facilities we own and operate. As of December 31, 2017, the adult inmate population held in state of California institutions remained in compliance with the Federal court order at approximately 134.6% of capacity, or approximately 114,500 inmates, which did not include the California inmates held in our out-of-state facilities, compared with 114,000 inmates at December 31, 2016. During the years ended December 31, 2017 and 2016, we cared for an average daily population of approximately 4,400 and 4,900 California inmates, respectively, in facilities outside the state as a partial solution to the State's overcrowding. This decline in population, along with the revenue impact of one fewer day of operations due to leap year in 2016, resulted in a decrease in revenue of $9.3 million from the year ended December 31, 2016 to the year ended December 31, 2017.</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Approximately 6% of our total revenue for both the years ended December 31, 2017 and 2016 was generated from the California Department of Corrections and Rehabilitation, or CDCR, in facilities housing inmates outside the state of California.</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10, 2018, the Governor of California issued a proposed budget for fiscal 2018-2019. The proposed budget contemplates that the continued implementation of initiatives to reduce prison populations will allow the CDCR to eliminate the use of out-of-state contract beds. Current estimates include the removal of all inmates from one of our two out-of-state facilities by the end of fiscal 2017-2018. As the impact of the initiatives grows, the CDCR anticipates the removal of inmates from our other out-of-state facility by fall 2019. Although the proposed budget acknowledges that estimates of population reductions are subject to considerable uncertainty, the complete removal by the CDCR of all inmates from our out-of-state facilities could have a material adverse effect on our financial position, results of operations, and cash flows.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fourth quarter of 2015, we completed construction of our 2,552-bed Trousdale Turner Correctional Center. While we began housing state of Tennessee inmates at the facility in January 2016, occupancy at the facility increased throughout the year, leading to an increase in revenue of $18.4 million from the year ended December 31, 2016 to the year ended December 31, 2017. However, we have not yet stabilized the financial operations of this facility due to a competitive job market in the surrounding area. We have incurred incremental expenses for wage increases, various incentive plans, recruiting efforts, and other costs which has had an impact on the facility operating margin. Until operations are stabilized, we may continue to incur these incremental expenses.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11, 2017, we announced that we contracted with the state of Ohio to care for up to an additional 996 offenders at our 2,016-bed Northeast Ohio Correctional Center. The initial term of the contract continues through June 2032 with unlimited renewal options, subject to appropriations and mutual agreement. We began receiving offender populations at the Northeast Ohio facility from the state of Ohio in the third quarter of 2017, with full contract utilization expected by the end of the first quarter of 2018. On December 31, 2017, we cared for approximately 680 offenders from the state of Ohio, 650 detainees from the USMS, and approximately 270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both"/>
        <w:spacing w:after="0" w:line="289" w:lineRule="auto"/>
        <w:rPr>
          <w:sz w:val="20"/>
          <w:szCs w:val="20"/>
          <w:color w:val="auto"/>
        </w:rPr>
      </w:pPr>
      <w:r>
        <w:rPr>
          <w:rFonts w:ascii="Arial" w:cs="Arial" w:eastAsia="Arial" w:hAnsi="Arial"/>
          <w:sz w:val="17"/>
          <w:szCs w:val="17"/>
          <w:color w:val="auto"/>
        </w:rPr>
        <w:t>detainees from ICE at our Northeast Ohio facility. Total revenue at the Northeast Ohio facility increased by $10.7 million from the year ended December 31, 2016 to the year ended December 31, 2017.</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contract with the District at the D.C. Correctional Treatment Facility expired in the first quarter of 2017. The District assumed operation of the facility in January 2017. Total revenue decreased $17.6 million at this facility from 2016 to 2017. We incurred a facility net operating loss of $0.5 million during the first quarter of 2017. We incurred a facility net operating loss of $0.1 million during the full year ended December 31, 2016. Our investment in the direct financing lease with the District also expired in the first quarter of 2017. Upon expiration of the lease, ownership of the facility automatically reverted to the District.</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30, 2017, our contract with the BOP at our Eden Detention Center expired and was not renewed. Total revenue decreased $23.7 million at this facility from 2016 to 2017. During the time the facility was active in 2017, we generated facility net operating income of $1.9 million and we generated facility net operating income of $9.1 million for the full year ended December 31, 2016.</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result of declines in federal populations at our 910-bed Torrance County Detention Facility and 1,129-bed Cibola County Corrections Center, during the third quarter of 2017, we made the decision to consolidate offender populations into our Cibola facility in order to take advantage of efficiencies gained by consolidating populations into one facility. We idled the Torrance facility in the fourth quarter of 2017 following the transfer of the offender population, and have begun to market the facility to other potential customers. During the years ended December 31, 2017 and 2016, we incurred facility net operating losses of $2.3 million and $4.0 million, respectively, at the Torrance facility.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acquisitions in 2016 and 2017 have positively impacted our current facility operating income and our diversification strategy:</w:t>
      </w:r>
    </w:p>
    <w:p>
      <w:pPr>
        <w:spacing w:after="0" w:line="119" w:lineRule="exact"/>
        <w:rPr>
          <w:sz w:val="20"/>
          <w:szCs w:val="20"/>
          <w:color w:val="auto"/>
        </w:rPr>
      </w:pPr>
    </w:p>
    <w:p>
      <w:pPr>
        <w:jc w:val="both"/>
        <w:ind w:left="1180" w:hanging="586"/>
        <w:spacing w:after="0" w:line="267"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April 8, 2016, we closed on the acquisition of 100% of the stock of CMI along with the real estate used in the operation of CMI's business from two entities affiliated with CMI. CMI, a privately held community corrections company that operates seven community corrections facilities, including six owned and one leased, with approximately 600 beds in Colorado, specializes in community correctional services, drug and alcohol treatment services, and residential reentry services;</w:t>
      </w:r>
    </w:p>
    <w:p>
      <w:pPr>
        <w:spacing w:after="0" w:line="72"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January 1, 2017, we acquired Arapahoe Community Treatment Center, or ACTC, a 135-bed residential reentry center in Englewood, Colorado, which we integrated with the operations of our existing Colorado residential reentry centers;</w:t>
      </w:r>
    </w:p>
    <w:p>
      <w:pPr>
        <w:spacing w:after="0" w:line="53"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June 1, 2017, we acquired the real estate operated by Center Point, Inc., or Center Point, a California-based non-profit organization. We consolidated a portion of Center Point's operations into our preexisting residential reentry portfolio and assumed ownership and operations of the Oklahoma City Transitional Center, a 200-bed residential reentry center in Oklahoma City, Oklahoma;</w:t>
      </w:r>
    </w:p>
    <w:p>
      <w:pPr>
        <w:spacing w:after="0" w:line="66" w:lineRule="exact"/>
        <w:rPr>
          <w:rFonts w:ascii="Arial" w:cs="Arial" w:eastAsia="Arial" w:hAnsi="Arial"/>
          <w:sz w:val="17"/>
          <w:szCs w:val="17"/>
          <w:color w:val="auto"/>
        </w:rPr>
      </w:pPr>
    </w:p>
    <w:p>
      <w:pPr>
        <w:jc w:val="both"/>
        <w:ind w:left="1180" w:hanging="586"/>
        <w:spacing w:after="0" w:line="267"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1, 2017, we acquired New Beginnings Treatment Center, Inc., or NBTC, an Arizona-based community corrections company, along with the real estate used in the operation of NBTC's business from an affiliate of NBTC. In connection with the NBTC acquisition, we assumed a contract with the BOP to provide reentry services to male and female adults at the 92-bed Oracle Transitional Center located in Tucson, Arizona; and</w:t>
      </w:r>
    </w:p>
    <w:p>
      <w:pPr>
        <w:spacing w:after="0" w:line="72"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November 1, 2017, we acquired Time to Change, Inc., or TTC, a Colorado-based community corrections company. In connection with the acquisition, we assumed contracts with Adams County, Colorado to provide reentry services to male and female adults in three facilities located in Colorado containing a total of 422 beds.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acquired these 13 facilities as strategic investments that further expand the network of reentry assets we own and the services we provide. Total revenue generated from the 13 facilities during the year ended December 31, 2017 totaled $19.5 million compared with $9.7 million of revenue generated during the year ended December 31, 2016, an increase of $9.8 million from the continued expansion of our residential reentry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t>Managed-Only Facilities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revenue at our managed-only facilities decreased $15.2 million, from $205.4 million in 2016 to $190.2 million in 2017. Revenue per compensated man-day increased 8.3%, to $46.16 in 2017 from $42.62 in 2016. Operating expenses per compensated man-day increased to $42.03 in 2017 from $38.10 in 2016. Facility net operating income at our managed-only facilities decreased $4.8 million, from $21.8 million in 2016 to $17.0 million in 2017. During 2017 and 2016, managed-only facilities generated 3.4% and 3.9% respectively, of our total facility net operating income. We expect the managed-only business to remain competitive and we will only pursue opportunities for managed-only business where we are sufficiently compensated for the risk associated with this competitive business. Further, we may terminate existing contracts from time to time when we are unable to achieve per diem increases that offset increasing expenses and enable us to maintain safe, effective operations.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the third quarter of 2016, the Texas Department of Criminal Justice, or TDCJ, solicited proposals for the rebid of four facilities we managed for the state of Texas. The managed-only contracts for these four facilities were scheduled to expire in August 2017. On March 31, 2017, the TDCJ notified us that, in light of the current economic climate as well as the fiscal constraints and budget outlook for the TDCJ for the next biennium, the TDCJ would not be awarding the contract for the Bartlett State Jail, one of the facilities included in the rebid process. During the first quarter of 2017, we wrote-off $0.3 million of goodwill associated with this managed-only facility. In collaboration with the TDCJ, the decision was made to close the Bartlett facility on June 24, 2017. During the third quarter of 2017, the TDCJ notified us that it selected other operators for the management of the three remaining managed-only facilities that were subject to the rebid. We successfully transferred operations of these facilities to the other operators upon expiration of the contracts. The four facilities we managed for the state of Texas had a total capacity of 5,129 beds and generated total revenue and a facility net operating loss of $30.4 million and $0.2 million, respectively, during the time they were active in 2017, and total revenue and net operating income of $49.9 million and $2.3 million, respectively, for the year ended December 31, 2016. The termination of the contracts with the TDCJ contributed to the increase in revenue and expenses per compensated man-day, as the per diem and operating expense structure associated with these contracts were substantially lower than our remaining managed-only portfolio.</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Portfolio-Related Activity</w:t>
      </w:r>
    </w:p>
    <w:p>
      <w:pPr>
        <w:spacing w:after="0" w:line="1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May 2016, we entered into a lease with the Oklahoma Department of Corrections, or ODOC, for our previously idled 2,400-bed North Fork Correctional Facility. The lease agreement commenced on July 1, 2016, and includes a five-year base term with unlimited two-year renewal options. However, the lease agreement permitted the ODOC to utilize the facility for certain activation activities and, therefore, revenue recognition began upon execution of the lease. The average annual rent to be recognized during the five-year base term is $7.3 million, including annual rent in the fifth year of $12.0 million. After the five-year base term, the annual rent will be equal to the rent due during the prior lease year, adjusted for increases in the Consumer Price Index. We are responsible for repairs and maintenance, property taxes and property insurance, while all other aspects and costs of facility operations are the responsibility of the ODOC.</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June 10, 2016, we acquired a residential reentry center in Long Beach, California from a privately held owner. The 112-bed facility is leased to a third-party operator under a triple net lease agreement that extends through June 2020 and includes one five-year lease extension option. In addition, on February 10, 2017, we acquired the Stockton Female Community Corrections Facility, a 100-bed residential reentry center in Stockton, California. The 100-bed facility is leased to a third-party operator under a triple net lease agreement that extends through April 2021 and includes one five-year lease extension option. Both third-party operators separately contract with the CDCR to provide rehabilitative and reentry services to residents at the leased facilities. We acquired the facilities in the real estate–only transactions as strategic investments that further expand our network of residential reentry centers. During the third quarter of 2017, we acquired a portfolio of four properties, including a 230-bed residential reentry center leased to the state of Georgia and three properties in North Carolina and Georgia leased to the General Services Administration, or GSA, an independent agency of the United States government, two of which are occupied by the Social Security Administration, or SSA, and one of which is occupied by the Internal Revenue Service, or IRS. We currently expect these six properties to generate total annual revenue of approximately $2.0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1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For the years ended December 31, 2017 and 2016, general and administrative expenses totaled $107.8 million and $107.0 million, respectively. General and administrative expenses consist primarily of corporate management salaries and benefits, professional fees, including those associated with mergers and acquisitions, or M&amp;A, and other administrative expenses. An increase in incentive compensation and M&amp;A expenses during 2017 compared to 2016, was largely offset by a reduction in general and administrative expenses resulting from a restructuring of our corporate operations announced during the third quarter of 2016.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For the years ended December 31, 2017 and 2016, depreciation and amortization expense totaled $147.1 million and $166.7 million, respectively. Our lease agreement with the third-party lessor associated with the 2,400-bed South Texas Family Residential Center resulted in our being deemed the owner of the constructed assets for accounting purposes, in accordance with ASC 840-40-55, formerly Emerging Issues Task Force No. 97-10, "The Effect of Lessee Involvement in Asset Construction". Accordingly, our balance sheet reflects the costs attributable to the building assets constructed by the third-party lessor, which, beginning in the second quarter of 2015, began depreciating over the remainder of the four-year term of the original lease. Depreciation expense for the constructed assets at this facility was $16.5 million and $38.7 million during the years ended December 31, 2017 and 2016, respectively. As previously described herein, we modified our lease agreement with the third-party lessor of the facility in October 2016, which resulted in a reduced monthly lease rate effective in November 2016 and extended the term of the contract resulting in a reduction in depreciation expense during 2017 compared to prior periods.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third quarter of 2016, we announced a restructuring of our corporate operations and implementation of a cost reduction plan, resulting in the elimination of approximately 12% of the corporate workforce at our headquarters. The restructuring realigned the corporate structure to more effectively serve facility operations and support the progression of our business diversification strategy. We reported a charge in the third quarter of 2016 of $4.0 million associated with this restructuring. This charge primarily consisted of cash payments for severance and related benefits to terminated employees and a non-cash charge associated with the voluntary forfeiture by our chief executive officer of a restricted stock unit award.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expense was reported net of interest income and capitalized interest for the years ended December 31, 2017 and 2016. Gross interest expense, net of capitalized interest, was $69.5 million and $68.9 million for 2017 and 2016, respectively. Gross interest expense is based on outstanding borrowings under our $900.0 million revolving credit facility, or revolving credit facility, our outstanding Incremental Term Loan, or Term Loan, and our outstanding senior notes, as well as the amortization of loan costs and unused facility fees. We also incur interest expense associated with the lease of the South Texas Family Residential Center, in accordance with ASC 840-40-55. Interest expense associated with the lease of this facility was $6.4 million and $10.0 million during the years ended December 31, 2017 and 2016, respectively. As previously described herein, we modified our lease agreement with the third-party lessor of the facility in October 2016, which resulted in a reduced monthly lease rate effective in November 2016 and extended the term of the contract. The decrease in interest expense that primarily resulted from the reduction in expense associated with the lease of the South Texas Family Residential Center was partially offset by an increase in the London Interbank Offered Rate, or LIBOR, and the higher interest expense associated with the new senior notes offering issued in October 2017, as further described hereafter.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benefited from relatively low interest rates on our revolving credit facility, which is largely based on LIBOR. Based on our total leverage ratio, loans under our revolving credit facility during 2016 and 2017 were at the base rate plus a margin of 0.50% or at LIBOR plus a margin of 1.50%, and a commitment fee equal to 0.35% of the unfunded balance. Interest rates under the Term Loan are the same as the interest rates under our revolving credit facility.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6" w:name="page67"/>
    <w:bookmarkEnd w:id="66"/>
    <w:p>
      <w:pPr>
        <w:jc w:val="both"/>
        <w:spacing w:after="0" w:line="267" w:lineRule="auto"/>
        <w:rPr>
          <w:sz w:val="20"/>
          <w:szCs w:val="20"/>
          <w:color w:val="auto"/>
        </w:rPr>
      </w:pPr>
      <w:r>
        <w:rPr>
          <w:rFonts w:ascii="Arial" w:cs="Arial" w:eastAsia="Arial" w:hAnsi="Arial"/>
          <w:sz w:val="17"/>
          <w:szCs w:val="17"/>
          <w:color w:val="auto"/>
        </w:rPr>
        <w:t>On October 13, 2017, we completed the offering of $250.0 million aggregate principal amount of 4.75% senior notes due October 15, 2027. We used net proceeds from the offering to pay down a portion of our revolving credit facility which had a variable weighted average interest rate of 3.1% at December 31, 2017. While our interest expense is expected to increase in the future as a result of this refinancing, we reduced our exposure to variable rate debt, extended our weighted average maturity, and increased the availability of borrowings under our revolving credit facility.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Gross interest income was $1.0 million and $1.1 million for the years ended December 31, 2017 and 2016, respectively. Gross interest income is earned on notes receivable, investments, and cash and cash equivalents. There was no interest capitalized during the year ended December 31, 2017. Capitalized interest was $0.6 during the year ended December 31, 2016. Capitalized interest in 2016 was primarily associated with the expansion project at our Red Rock Correctional Center.</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a REIT, we are entitled to a deduction for dividends paid, resulting in a substantial reduction in the amount of federal income tax expense we recognize. Substantially all of our income tax expense is incurred based on the earnings generated by our TRSs. Our overall effective tax rate is estimated based on the current projection of taxable income primarily generated by our TRSs. Our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years ended December 31, 2017 and 2016, our financial statements reflected an income tax expense of $13.9 million and $8.3 million, respectively. Our effective tax rate was 7.2% and 3.6% during the years ended December 31, 2017 and 2016, respectively. The TCJA, enacted December 22, 2017, reduces the U.S. federal corporate tax rate from 35% to 21%, requires companies to pay a one-time transition tax on earnings of certain foreign subsidiaries that were previously tax deferred, and creates new taxes on certain foreign-sourced earnings. However, the TCJA does not change the dividends paid deduction applicable to REITs and, therefore, we generally will not be subject to federal income taxes on our REIT taxable income and gains that we distribute to our stockholders. As a result of changes in the U.S. federal corporate tax rates resulting from the TCJA, during the fourth quarter of 2017, we re-measured certain deferred tax assets and liabilities based on the rates at which they are expected to reverse in the future, which is generally 21%. We recognized $4.5 million, which is included as a component of income tax expense, for the revaluation of deferred tax assets and liabilities and other taxes associated with the TCJA.</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2016 Compared to the Year Ended December 31, 2015</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year ended December 31, 2016, we generated net income of $219.9 million, or $1.87 per diluted share, compared with net income of $221.9 million, or $1.88 per diluted share, for the previous year. Financial results for the year ended December 31, 2016, include $4.0 million of restructuring charges resulting from the realignment of our corporate structure to more effectively serve facility operations and support the progression of our business diversification strategy via the acquisitions of residential reentry facilities and a focus on real estate-only solutions for our government partners.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Facility Operations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and expenses per compensated man-day for all of the facilities placed into service that we owned or managed, exclusive of those held for lease, were as follows for the years ended December 31, 2016 and 2015:</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3"/>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Revenue per compensated man-day</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74.77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Operating expenses per compensated man-day: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Fixed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38.53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Variable expense</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w:t>
            </w:r>
          </w:p>
        </w:tc>
        <w:tc>
          <w:tcPr>
            <w:tcW w:w="1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53.74</w:t>
            </w:r>
          </w:p>
        </w:tc>
        <w:tc>
          <w:tcPr>
            <w:tcW w:w="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52.49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income per compensated man-day</w:t>
            </w:r>
          </w:p>
        </w:tc>
        <w:tc>
          <w:tcPr>
            <w:tcW w:w="1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21.03</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w:t>
            </w:r>
          </w:p>
        </w:tc>
        <w:tc>
          <w:tcPr>
            <w:tcW w:w="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margin</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28.1%</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compensated occupancy</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8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78.8%</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02"/>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available beds</w:t>
            </w:r>
          </w:p>
        </w:tc>
        <w:tc>
          <w:tcPr>
            <w:tcW w:w="10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83,882</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80,121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Average compensated population</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66,112</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Fixed expenses per compensated man-day for the year ended December 31, 2016 include depreciation expense of $38.7 million and interest expense of $10.0 million in order to more properly reflect the cash flows associated with the lease at the South Texas Family Residential Center. Fixed expenses per compensated man-day for the year ended December 31, 2015 include depreciation expense of $29.9 million and interest expense of $8.5 million associated with the lease at the South Texas Family Residential Center.</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revenue consists of revenue we generate in the operation and management of correctional, detention, and residential reentry facilities, as well as rental revenue generated from facilities we lease to third parties, and from our inmate transportation subsidiary. The following table reflects the components of revenue for the years ended December 31, 2016 and 2015 (in millions):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color w:val="auto"/>
              </w:rPr>
              <w:t>For the Years Ended December 31,</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0"/>
        </w:trPr>
        <w:tc>
          <w:tcPr>
            <w:tcW w:w="5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7"/>
              <w:spacing w:after="0" w:line="150"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0"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Management revenue:</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954.8</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912.1</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42.7</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(14.7)</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Local</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480"/>
              <w:spacing w:after="0"/>
              <w:rPr>
                <w:sz w:val="20"/>
                <w:szCs w:val="20"/>
                <w:color w:val="auto"/>
              </w:rPr>
            </w:pPr>
            <w:r>
              <w:rPr>
                <w:rFonts w:ascii="Arial" w:cs="Arial" w:eastAsia="Arial" w:hAnsi="Arial"/>
                <w:sz w:val="17"/>
                <w:szCs w:val="17"/>
                <w:color w:val="auto"/>
              </w:rPr>
              <w:t>Total management revenue</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53.3</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Rental and other revenue</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1,849.8</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1,793.1</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56.7</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$53.3 million, or 3.0%, increase in revenue associated with the operation and management of correctional, detention, and residential reentry facilities consisted of an increase in revenue of approximately $48.5 million resulting from an increase of 2.8% in average revenue per compensated man-day and an increase in revenue of approximately $4.8 million generated primarily by one additional day of operations due to leap year in 2016. The increase in average revenue per compensated man-day from 2015 to 2016 was primarily a result of the full activation of the South Texas Family Residential Center in the second quarter of 2015, as further described hereafter, and per diem increases at several of our other facilities.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8" w:name="page69"/>
    <w:bookmarkEnd w:id="68"/>
    <w:p>
      <w:pPr>
        <w:jc w:val="both"/>
        <w:spacing w:after="0" w:line="261" w:lineRule="auto"/>
        <w:rPr>
          <w:sz w:val="20"/>
          <w:szCs w:val="20"/>
          <w:color w:val="auto"/>
        </w:rPr>
      </w:pPr>
      <w:r>
        <w:rPr>
          <w:rFonts w:ascii="Arial" w:cs="Arial" w:eastAsia="Arial" w:hAnsi="Arial"/>
          <w:sz w:val="17"/>
          <w:szCs w:val="17"/>
          <w:color w:val="auto"/>
        </w:rPr>
        <w:t>Average daily compensated population was consistent from 2015 to 2016. However, there were several notable offsetting factors that affected the average daily compensated population when comparing 2015 to 2016. Average compensated population in 2016 was positively affected by the acquisition of Avalon Correctional Services, Inc., or Avalon, in the fourth quarter of 2015, the acquisition of CMI in the second quarter of 2016, and the activation of the Trousdale Turner Correctional Center in the fourth quarter of 2015. We began housing state of Tennessee inmates at the Trousdale facility in January 2016. Average compensated population was also positively affected by the full activation of the South Texas Family Residential Center in the second quarter of 2015. Average compensated population in 2016 was negatively affected by the expiration of our contract with the BOP at our Northeast Ohio Correctional Center effective May 31, 2015, and the decline in California inmates held in our out-of-state facilities, both as further described hereafter. Average compensated population was also negatively affected by the decline in offender populations within the state of Colorado and the expiration of our managed-only contract at the Winn Correctional Facility effective September 30, 2015, both as further described hereafter.</w:t>
      </w:r>
    </w:p>
    <w:p>
      <w:pPr>
        <w:spacing w:after="0" w:line="18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Our federal customers generated approximately 52% and 51% of our total revenue for the years ended December 31, 2016 and 2015, respectively, increasing $42.7 million, or 4.7%. The increase in federal revenues primarily resulted from the full activation of the South Texas Family Residential Center in the second quarter of 2015, partially offset by a decline in federal populations at our Northeast Ohio Correctional Center. The combined effect of per diem increases for several of our federal contracts and a net increase in federal populations at certain other facilities, primarily from ICE, also contributed to the increase in federal revenues.</w:t>
      </w:r>
    </w:p>
    <w:p>
      <w:pPr>
        <w:spacing w:after="0" w:line="14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State revenues from contracts at correctional, detention, and residential reentry facilities that we operate decreased 2.0% from 2015 to 2016 primarily as a result of a decline in California inmates held in our out-of-state facilities. In addition, the decrease in state revenues was a result of the expiration of our managed-only contract with the state of Louisiana at the state-owned Winn Correctional Facility effective September 30, 2015. The decline in offender populations within the state of Colorado also contributed to the decrease in state revenues. The decrease in state revenues was partially offset by the revenue generated at our newly activated Trousdale Turner Correctional Center, and as a result of the acquisitions of Avalon's eleven community corrections facilities in the fourth quarter of 2015 and CMI's seven community corrections facilities in the second quarter of 2016, each as further described hereafter. The acquisition of CMI also contributed to the $12.4 million, or 18.9%, increase in the revenue from local authorities from 2015 to 2016.</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totaled $1,275.6 million and $1,256.1 million for the years ended December 31, 2016 and 2015, respectively. Operating expenses consist of those expenses incurred in the operation and management of correctional, detention, and residential reentry facilities, as well as at facilities we lease to third-party operators, and for our inmate transportation subsidiary.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Expenses incurred in connection with the operation and management of correctional, detention, and residential reentry facilities increased $23.6 million, or 1.9% during 2016 compared with 2015. The increase in operating expenses was primarily a result of the activation of the Trousdale Turner Correctional Center in the fourth quarter of 2015, and the acquisitions of Avalon and CMI. The one additional day of operations due to leap year in 2016 also contributed to the increase in operating expenses. The increase in operating expenses was partially offset by a reduction in expenses resulting from the expiration of our BOP contract at our Northeast Ohio Correctional Center effective May 31, 2015 and the expiration of our managed-only contract with the state of Louisiana at the state-owned Winn Correctional Facility effective September 30, 2015. In addition, the increase in operating expenses was partially offset by a reduction in expenses that resulted from idling our Kit Carson Correctional Center in the third quarter of 2016, as further described hereafter, and from idling our North Fork Correctional Facility in the fourth quarter of 2015. We idled the North Fork facility as a result of a decline in California inmates held in our out-of-state program. In May 2016, we announced that we leased the North Fork Correctional Facility to the ODOC. The lease agreement commenced on July 1, 2016.</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Fixed expenses per compensated man-day increased to $38.53 during the year ended December 31, 2016 from $37.53 during the year ended December 31, 2015. Fixed expenses per compensated man-day increased primarily as a result of an increase in salaries and benefits per compensated man-day. The increase in salaries and benefits per compensated man-day was partially a result of these expenses being leveraged over smaller offender populations 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both"/>
        <w:spacing w:after="0" w:line="273" w:lineRule="auto"/>
        <w:rPr>
          <w:sz w:val="20"/>
          <w:szCs w:val="20"/>
          <w:color w:val="auto"/>
        </w:rPr>
      </w:pPr>
      <w:r>
        <w:rPr>
          <w:rFonts w:ascii="Arial" w:cs="Arial" w:eastAsia="Arial" w:hAnsi="Arial"/>
          <w:sz w:val="17"/>
          <w:szCs w:val="17"/>
          <w:color w:val="auto"/>
        </w:rPr>
        <w:t>certain facilities and due to wage adjustments implemented during 2015. The increase in salaries and benefits per compensated man-day was also due to more favorable claims experience in our employee self-insured medical plan in the prior year. Salaries and benefits represent the most significant component of our operating expenses, representing approximately 59% of our total operating expenses during both 2016 and 2015.</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tables display the revenue and expenses per compensated man-day for the facilities placed into service that we own and manage and for the facilities we manage but do not own, which we believe is useful to our financial statement users: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3"/>
        </w:trPr>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Owned and Managed Facilities: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7"/>
                <w:szCs w:val="17"/>
                <w:color w:val="auto"/>
              </w:rPr>
              <w:t>Revenue per compensated man-day</w:t>
            </w:r>
          </w:p>
        </w:tc>
        <w:tc>
          <w:tcPr>
            <w:tcW w:w="118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82.76</w:t>
            </w:r>
          </w:p>
        </w:tc>
        <w:tc>
          <w:tcPr>
            <w:tcW w:w="3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81.32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 per compensated man-day:</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41.44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16.19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57.63</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1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25.13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24.61</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30.4%</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vMerge w:val="continue"/>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75.6%</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69,984</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65,073</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1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52,942</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52,007</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Managed Only Facilities: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7"/>
                <w:szCs w:val="17"/>
                <w:color w:val="auto"/>
              </w:rPr>
              <w:t>Revenue per compensated man-day</w:t>
            </w:r>
          </w:p>
        </w:tc>
        <w:tc>
          <w:tcPr>
            <w:tcW w:w="118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42.62</w:t>
            </w:r>
          </w:p>
        </w:tc>
        <w:tc>
          <w:tcPr>
            <w:tcW w:w="3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 per compensated man-day:</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26.81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11.29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38.10</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1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4.52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4.27</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10.6%</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vMerge w:val="continue"/>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94.8%</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93.7%</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13,898</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15,048</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10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13,170</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14,104</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Owned and Managed Facilities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Facility net operating income increased by $29.9 million, from $505.7 million in 2015 to $535.6 million in 2016, an increase of 5.9%. Facility net operating income at our owned and managed facilities in 2016 was favorably impacted by the full activation of the South Texas Family Residential Center. The aforementioned $48.7 million and $38.4 million aggregate depreciation and interest expense associated with the lease at the South Texas Family Residential Center in the years ended December 31, 2016 and 2015, respectively, are not included in the facility net operating income amounts reported above, but are included in the per compensated man-day statistics.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announced that we agreed to an expansion of an existing IGSA between the city of Eloy, Arizona and ICE to house up to 2,400 individuals at the South Texas Family Residential Center, a facility we lease in Dilley, Texas. The services provided under the original amended IGSA commenced in the fourth quarter of 2014 and had an original term of up to four years. In October 2016, we entered into an amended IGSA that provided for 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new, lower fixed monthly payment that commenced in November 2016, and extended the term of the contract through September 2021.</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ICE began housing the first residents at the facility in the fourth quarter of 2014, and the site was completed during the second quarter of 2015. In accordance with the multiple-element arrangement guidance, a portion of the fixed monthly payments to us pursuant to the IGSA is recognized as lease and service revenue. During the years ended December 31, 2016 and 2015, we recognized $267.3 million and $244.7 million, respectively, in total revenue associated with the facility. The original IGSA with ICE had a favorable impact on the revenue and net operating income of our owned and managed facilities during the years ended December 31, 2016 and 2015. Operating margin percentages at this facility were comparable to those of our average owned and managed facilities during 2015, but increased during 2016 as expenses normalized for stabilized operations.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first quarter of 2015, the adult inmate population held in state of California institutions first met a Federal court order to reduce inmate populations below 137.5% of its capacity. Inmate populations in the state continued to decline below the court ordered capacity limit which resulted in declining inmate populations in the out-of-state program at facilities we own and operate. As of December 31, 2016, the adult inmate population held in state of California institutions remained in compliance with the Federal court order at approximately 134.0% of capacity, or approximately 114,000 inmates, which did not include the California inmates held in our out-of-state facilities. During the years ended December 31, 2016 and 2015, we housed an average daily population of approximately 4,900 and 7,300 California inmates, respectively, in facilities outside the state as a partial solution to the State's overcrowding. This decline in population, net of the revenue generated by one additional day of operations due to leap year in 2016, resulted in a decrease in revenue of $57.1 million from the year ended December 31, 2015 to the year ended December 31, 2016.</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Approximately 6% and 10% of our total revenue for the years ended December 31, 2016 and 2015, respectively, was generated from the CDCR in facilities housing inmates outside the state of California.</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December 2014, the BOP announced that it elected not to renew its contract with us at our owned and managed 2,016-bed Northeast Ohio Correctional Center. The contract with the BOP at this facility expired on May 31, 2015. Facility net operating income decreased by $9.8 million from the year ended December 31, 2015 to the year ended December 31, 2016 as a result of this reduction in inmate population. In December 2016, we announced a new contract award from ICE at the Northeast Ohio facility in order to assist ICE with their current detention needs. The new contract contained an initial term expiring March 31, 2017, with three six-month renewal periods at the option of ICE.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Based on a decline in offender populations within the state of Colorado and available capacity at other facilities we own in Colorado, we idled our 1,488-bed Kit Carson Correctional Center during the third quarter of 2016. Inmate populations from the Kit Carson Correctional Center were transferred to the remaining two company-owned facilities that we continue to operate for the Colorado Department of Corrections, the Bent County Correctional Facility and the Crowley County Correctional Facility.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fourth quarter of 2015, we closed on the acquisition of 100% of the stock of Avalon, along with two additional facilities operated by Avalon. The acquisition included 11 community corrections facilities with approximately 3,000 beds in Oklahoma, Texas, and Wyoming. We acquired Avalon, which specializes in community correctional services, drug and alcohol treatment services, and residential reentry services, as a strategic investment that continues to expand the reentry assets we own and the services we provide.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8, 2016, we closed on the acquisition of 100% of the stock of CMI along with the real estate used in the operation of CMI's business from two entities affiliated with CMI. CMI, a privately held community corrections company that operates seven community corrections facilities, including six owned and one leased, with approximately 600 beds in Colorado, specializes in community correctional services, drug and alcohol treatment services, and residential reentry services. CMI provides these services through multiple contracts with three counties in Colorado, as well as the Colorado Department of Corrections, a pre-existing partner of ours. We acquired CMI as a strategic investment that continues to expand the reentry assets we own and the services we provide.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Total revenue generated from the acquisitions of Avalon and CMI during 2016 totaled $45.1 million.</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Managed-Only Facilities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revenue at our managed-only facilities decreased $6.6 million, from $212.0 million in 2015 to $205.4 million in 2016. The decrease in revenues at our managed-only facilities was largely the result of our decision to exit the contract at the Winn Correctional Center effective September 30, 2015. Facility net operating income at our managed-only facilities decreased $0.2 million, from $22.0 million during the year ended December 31, 2015 to $21.8 million during the year ended December 31, 2016. During 2016 and 2015, managed-only facilities generated 3.9% and 4.2%, respectively, of our total facility net operating income.</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April 2015, we provided notice to the state of Louisiana that we would cease management of the contract at the 1,538-bed Winn Correctional Center within 180 days, in accordance with the notice provisions of the contract. Management of the facility transitioned to another operator effective September 30, 2015. We incurred a facility net operating loss at the Winn Correctional Center of $3.9 million during the time the facility was active in 2015. In anticipation of terminating the contract at this facility, we also recorded an asset impairment of $1.0 million during the first quarter of 2015 for the write-off of goodwill associated with the Winn facility.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Portfolio-Related Activity</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August 27, 2015, we acquired four community corrections facilities from a privately held owner of community corrections facilities and other government leased assets. The four acquired community corrections facilities have a capacity of approximately 600 beds and are leased to The GEO Group, Inc., or GEO, under triple net lease agreements that extend through July 2019 and include multiple five-year lease extension options. GEO separately contracts with the Pennsylvania Department of Corrections and the Philadelphia Prison System to provide rehabilitative and reentry services to residents and inmates at the leased facilities. We acquired the four facilities in the real estate-only transaction as a strategic investment that expands our investment in residential reentry facilities.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May 2016, we entered into a lease with the ODOC for our previously idled 2,400-bed North Fork Correctional Facility. The lease agreement commenced on July 1, 2016, and includes a five-year base term with unlimited two-year renewal options. However, the lease agreement permitted the ODOC to utilize the facility for certain activation activities and, therefore, revenue recognition began upon execution of the lease. The average annual rent to be recognized during the five-year base term is $7.3 million, including annual rent in the fifth year of $12.0 million. After the five-year base term, the annual rent will be equal to the rent due during the prior lease year, adjusted for increases in the Consumer Price Index, or CPI. We are responsible for repairs and maintenance, property taxes and property insurance, while all other aspects and costs of facility operations are the responsibility of the ODOC.</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10, 2016, we acquired a residential reentry facility in Long Beach, California from a privately held owner. The 112-bed facility is leased to GEO under a triple net lease agreement that extends through June 2020 and includes one five-year lease extension option. GEO separately contracts with the CDCR to provide rehabilitative and reentry services to residents at the leased facility. We acquired the facility in the real estate–only transaction as a strategic investment that further expands our investment in residential reentry facilities.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years ended December 31, 2016 and 2015, general and administrative expenses totaled $107.0 million and $103.9 million, respectively. General and administrative expenses consist primarily of corporate management salaries and benefits, professional fees and other administrative expenses. We incurred $1.6 million and $3.6 million of expenses in the years ended December 31, 2016 and 2015, respectively, associated with mergers and acquisitions.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For the years ended December 31, 2016 and 2015, depreciation and amortization expense totaled $166.7 million and $151.5 million, respectively. Our depreciation and amortization expense increased as a result of completion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both"/>
        <w:spacing w:after="0" w:line="267" w:lineRule="auto"/>
        <w:rPr>
          <w:sz w:val="20"/>
          <w:szCs w:val="20"/>
          <w:color w:val="auto"/>
        </w:rPr>
      </w:pPr>
      <w:r>
        <w:rPr>
          <w:rFonts w:ascii="Arial" w:cs="Arial" w:eastAsia="Arial" w:hAnsi="Arial"/>
          <w:sz w:val="17"/>
          <w:szCs w:val="17"/>
          <w:color w:val="auto"/>
        </w:rPr>
        <w:t>construction of the 2,400-bed South Texas Family Residential Center in the second quarter of 2015. Prior to the second quarter of 2015, residents had been housed in pre-existing housing units on the property. In accordance with ASC 840-40-55, we incurred depreciation expense for the constructed assets at this facility of $38.7 million and $29.9 million during the years ended December 31, 2016 and 2015, respectively. Depreciation expense also increased in 2016 due to the completion of the Trousdale Turner Correctional Center construction project in the fourth quarter of 2015.</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Interest expense was reported net of interest income and capitalized interest for the years ended December 31, 2016 and 2015. Gross interest expense, net of capitalized interest, was $68.9 million and $51.8 million for 2016 and 2015, respectively. Gross interest expense was based on outstanding borrowings under our revolving credit facility, our outstanding Term Loan, and our outstanding senior notes, as well as the amortization of loan costs and unused facility fees. We also incur interest expense associated with the lease of the South Texas Family Residential Center, in accordance with ASC 840-40-55. Our interest expense increased in 2016 as a result of completion of construction of the 2,400-bed South Texas Family Residential Center in the second quarter of 2015. Interest expense associated with the lease of this facility was $10.0 million and $8.5 million during the years ended December 31, 2016 and 2015, respectively.</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benefited from relatively low interest rates on our revolving credit facility, which is largely based on the LIBOR. The interest rate on our revolving credit facility was at LIBOR plus a margin of 1.75% during the first six months of 2015. During July 2015, we amended and restated the revolving credit facility agreement to, among other modifications, reduce by 0.25% the applicable margin of base rate and LIBOR loans. Based on our leverage ratio, loans under our revolving credit facility during the last six months of 2015 and during 2016 were at the base rate plus a margin of 0.50% or at LIBOR plus a margin of 1.50%, and a commitment fee equal to 0.35% of the unfunded balance.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October 2015, we obtained a $100.0 million Term Loan under the "accordion" feature of our revolving credit facility. Interest rates under the Term Loan are the same as the interest rates under our revolving credit facility, except that the interest rate on the Term Loan was at a base rate plus a margin of 0.50% or at LIBOR plus a margin of 1.75% during the first two fiscal quarters following closing of the Term Loan. We used net proceeds from the Term Loan to pay down a portion of our revolving credit facility. The Term Loan has a maturity of July 2020, with scheduled principal payments in years 2016 through 2020.</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25, 2015, we completed the offering of $250.0 million aggregate principal amount of 5.0% senior notes due October 15, 2022. We used net proceeds from the offering to pay down a portion of our revolving credit facility which had a variable weighted average interest rate of 2.2% at December 31, 2016. While our interest expense increased during the year ended December 31, 2016 compared with the prior year as a result of this refinancing transaction completed in 2015, we reduced our exposure to variable rate debt, extended our weighted average maturity, and increased the availability under our revolving credit facility.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Gross interest income was $1.1 million and $2.1 million for the years ended December 31, 2016 and 2015, respectively. Gross interest income was earned on a direct financing lease, notes receivable, investments, and cash and cash equivalents. Capitalized interest was $0.6 million and $5.5 million during the years ended December 31, 2016 and 2015, respectively. Capitalized interest decreased as a result of the completion of the Otay Mesa Detention Center and the Trousdale Turner Correctional Center construction projects in the fourth quarter of 2015. Capitalized interest in 2016 was primarily associated with the expansion project at our Red Rock Correctional Center.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years ended December 31, 2016 and 2015, our financial statements reflected an income tax expense of $8.3 million and $8.4 million, respectively. Our effective tax rate was 3.6% during both the years ended December 31, 2016 and 2015. As a REIT, we are entitled to a deduction for dividends paid, resulting in a substantial reduction in the amount of federal income tax expense we recognize. Substantially all of our income tax expense is incurred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3" w:name="page74"/>
    <w:bookmarkEnd w:id="73"/>
    <w:p>
      <w:pPr>
        <w:jc w:val="both"/>
        <w:spacing w:after="0" w:line="289" w:lineRule="auto"/>
        <w:rPr>
          <w:sz w:val="20"/>
          <w:szCs w:val="20"/>
          <w:color w:val="auto"/>
        </w:rPr>
      </w:pPr>
      <w:r>
        <w:rPr>
          <w:rFonts w:ascii="Arial" w:cs="Arial" w:eastAsia="Arial" w:hAnsi="Arial"/>
          <w:sz w:val="17"/>
          <w:szCs w:val="17"/>
          <w:color w:val="auto"/>
        </w:rPr>
        <w:t>based on the earnings generated by our TRSs. Our overall effective tax rate is estimated based on the current projection of taxable income primarily generated by our TRSs.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principal capital requirements are for working capital, stockholder distributions, capital expenditures, and debt service payments. Capital requirements may also include cash expenditures associated with our outstanding commitments and contingencies, as further discussed in the notes to our financial statements. Additionally, our capital expenditures may include M&amp;A activities that will enable us to further expand our network of residential reentry centers, grow our portfolio of government-leased properties, and acquire other businesses that provide complementary services. We will continue to pursue opportunities to help our government partners meet their infrastructure needs, primarily through the development and redevelopment of criminal justice sector assets, but also by acquiring other real estate assets with a bias toward those used to provide mission-critical governmental services,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To maintain our qualification as a REIT, we generally are required to distribute annually to our stockholders at least 90% of our REIT taxable income (determined without regard to the dividends paid deduction and excluding net capital gains). Our REIT taxable income will not typically include income earned by our TRSs except to the extent our TRSs pay dividends to the REIT. Our Board of Directors declared a quarterly dividend of $0.42 for each quarter of 2017 totaling $199.8 million. The amount, timing and frequency of future distributions will be at the sole discretion of our Board of Directors and will be declared based upon various factors, many of which are beyond our control, including our financial condition and operating cash flows, limitations under our debt covenants, the amount required to maintain qualification and taxation as a REIT and to reduce any income and excise taxes that we otherwise would be required to pay, limitations on distributions in our existing and future debt instruments, limitations on our ability to fund distributions using cash generated through our TRSs, alternative growth opportunities that require capital deployment, and other factors that our Board of Directors may deem relevant.</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2017, our liquidity was provided by cash on hand of $52.2 million, and $694.1 million available under our revolving credit facility. Our liquidity was further increased by the pay-down of our revolving credit facility with net proceeds from the issuance of $250.0 million, 4.75% unsecured notes on October 13, 2017. During the years ended December 31, 2017 and 2016, we generated $341.3 million and $375.4 million, respectively, in cash through operating activities, and as of December 31, 2017, we had net working capital of $36.7 million. We currently expect to be able to meet our cash expenditure requirements for the next year utilizing these resources. We have no debt maturities until April 2020.</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or the termination of contracts from our major customers could have an adverse effect on our cash flow, financial condition and, consequently, dividend distributions to our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and equity</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13, 2017, we completed the offering of $250.0 million aggregate principal amount of unsecured notes with a fixed stated interest rate of 4.75%, due October 15, 2027. We used net proceeds from the offering to pay down a portion of our revolving credit facility, for working capital and other general corporate purposes.</w:t>
      </w:r>
    </w:p>
    <w:p>
      <w:pPr>
        <w:spacing w:after="0" w:line="6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As of December 31, 2017, we had $350.0 million principal amount of unsecured notes outstanding with a fixed stated interest rate of 4.625%, $325.0 million principal amount of unsecured notes outstanding with a fixed stated interest rate of 4.125%, $250.0 million principal amount of unsecured notes outstanding with a fixed stated interest rate of 5.0%, and $250.0 million principal amount of unsecured notes outstanding with a fixed stated interest rate of 4.75%. In addition, we had $85.0 million outstanding under our Term Loan with a variable interest rate of 3.1% and $199.0 million outstanding under our revolving credit facility with a variable weighted average interest rate of 3.1%. As of December 31, 2017, our total weighted average effective interest rate was 4.7%, while our total weighted average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4" w:name="page75"/>
    <w:bookmarkEnd w:id="74"/>
    <w:p>
      <w:pPr>
        <w:jc w:val="both"/>
        <w:spacing w:after="0" w:line="289" w:lineRule="auto"/>
        <w:rPr>
          <w:sz w:val="20"/>
          <w:szCs w:val="20"/>
          <w:color w:val="auto"/>
        </w:rPr>
      </w:pPr>
      <w:r>
        <w:rPr>
          <w:rFonts w:ascii="Arial" w:cs="Arial" w:eastAsia="Arial" w:hAnsi="Arial"/>
          <w:sz w:val="17"/>
          <w:szCs w:val="17"/>
          <w:color w:val="auto"/>
        </w:rPr>
        <w:t>maturity was 4.8 years. We may also seek to issue debt or equity securities from time to time when we determine that market conditions and the opportunity to utilize the proceeds from the issuance of such securities are favorable.</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February 26, 2016, we entered into an ATM Equity Offering Sales Agreement, or ATM Agreement, with multiple sales agents. Pursuant to the ATM Agreement, we may offer and sell to or through the sales agents from time to time, shares of our common stock, par value $0.01 per share, having an aggregate gross sales price of up to $200.0 million. Sales, if any, of our shares of common stock will be made primarily in "at-the-market" offerings, as defined in Rule 415 under the Securities Act of 1933, as amended. The shares of common stock will be offered and sold pursuant to our registration statement on Form S-3 ASR filed with the SEC on May 15, 2015, and a related prospectus supplement dated February 26, 2016. We intend to use the net proceeds from any sale of shares of our common stock to repay borrowings under our revolving credit facility (including the Term Loan under the "accordion" feature of the revolving credit facility) and for general corporate purposes, including to fund future acquisitions and development projects. There were no shares of our common stock sold under the ATM Agreement during the years ended December 31, 2017 and 2016.</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August 19, 2016, Moody's Investors Service, or Moody's, downgraded our senior unsecured debt rating to "Ba1" from "Baa3". Also on August 19, 2016, S&amp;P Global Ratings, or S&amp;P, lowered our corporate credit and senior unsecured debt ratings to "BB" from "BB+". Additionally, S&amp;P lowered our revolving credit facility rating to "BBB-" from "BBB". Both Moody's and S&amp;P lowered our ratings as a result of the Department of Justice, or DOJ, announcing its plans on August 18, 2016 to reduce the BOP's utilization of privately operated prisons. On February 21, 2017, the U.S. Attorney General rescinded the memorandum issued on August 18, 2016 by the Deputy Attorney General of the DOJ. On February 7, 2012, Fitch Ratings assigned a rating of "BBB-" to our revolving credit facility and "BB+" ratings to our unsecured debt and corporate credit.</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acquisitions, development, and capital expenditures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acquired the following properties in 2017 for a combined total cost of $49.5 million in cash, excluding transaction-related expenses and including contingent consideration that we expect to pay, and funded the transactions utilizing available cash on hand:</w:t>
      </w:r>
    </w:p>
    <w:p>
      <w:pPr>
        <w:spacing w:after="0" w:line="53" w:lineRule="exact"/>
        <w:rPr>
          <w:sz w:val="20"/>
          <w:szCs w:val="20"/>
          <w:color w:val="auto"/>
        </w:rPr>
      </w:pPr>
    </w:p>
    <w:p>
      <w:pPr>
        <w:ind w:left="1180" w:hanging="586"/>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January 1, 2017, we acquired ACTC, a 135-bed residential reentry center in Englewood, Colorado that we operate;</w:t>
      </w:r>
    </w:p>
    <w:p>
      <w:pPr>
        <w:spacing w:after="0" w:line="118"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10, 2017, we acquired, as a real estate-only transaction, the Stockton Female Community Corrections Facility, a 100-bed residential reentry center in Stockton, California, which is leased to a third-party operator that separately contracts with the CDCR;</w:t>
      </w:r>
    </w:p>
    <w:p>
      <w:pPr>
        <w:spacing w:after="0" w:line="53"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June 1, 2017, we acquired the real estate operated by Center Point, a California-based non-profit organization. We consolidated a portion of Center Point's operations into our preexisting residential reentry center portfolio and assumed ownership and operations of the Oklahoma City Transitional Center, a 200-bed residential reentry center in Oklahoma City, Oklahoma;</w:t>
      </w:r>
    </w:p>
    <w:p>
      <w:pPr>
        <w:spacing w:after="0" w:line="66"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August 1, 2017, we acquired NBTC, an Arizona-based community corrections company, along with the real estate used in the operation of NBTC's business from an affiliate of NBTC. In connection with the NBTC acquisition, we assumed a contract with the BOP to provide reentry services to male and female adults at the 92-bed Oracle Transitional Center located in Tucson, Arizona;</w:t>
      </w:r>
    </w:p>
    <w:p>
      <w:pPr>
        <w:spacing w:after="0" w:line="66"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September 15, 2017, we acquired a portfolio of four properties, including a 230-bed residential reentry center leased to the state of Georgia and three properties in North Carolina and Georgia leased to the GSA, two of which are occupied by the SSA and one of which is occupied by the IRS; and</w:t>
      </w:r>
    </w:p>
    <w:p>
      <w:pPr>
        <w:spacing w:after="0" w:line="66"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November 1, 2017, we acquired TTC, a Colorado-based community corrections company. In connection with the acquisition, we assumed contracts with Adams County, Colorado to provide reentry services to male and female adults in three facilities located in Colorado containing a total of 422 beds.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We acquired these properties as strategic investments that further expand our network of residential reentry centers and further diversify our cash flows through government-leased properties.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7"/>
          <w:szCs w:val="17"/>
          <w:color w:val="auto"/>
        </w:rPr>
        <w:t>Effective January 1, 2018, we closed on the acquisition of Rocky Mountain Offender Management Systems, LLC, which provides non-residential correctional alternatives, including electronic monitoring and case management services, to municipal, county, and state governments in eight states. The aggregate purchase price was $7.0 million, excluding transaction-related expenses.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19, 2018, we acquired the 261,000 square-foot Capital Commerce Center, located in Tallahassee, Florida for a purchase price of $44.7 million, excluding transaction-related costs and certain closing credits. Capital Commerce Center is 98% leased, and 87% leased to the state of Florida on behalf of the Florida Department of Business and Professional Regulation. The acquisition was financed with a $24.5 million non-recourse mortgage note, which is fully-secured by the Capital Commerce Center property, with an interest rate of 4.5%, maturing in 2033, and cash from our $900.0 Million Revolving Credit Facility.</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24, 2018, we entered into a 20-year lease agreement with the Kansas Department of Corrections for a 2,432-bed correctional facility we will construct in Lansing, Kansas, for a total project cost of approximately $155.0 million to $165.0 million. The new facility will replace the Lansing Correctional Facility, the State's largest correctional complex for adult male inmates, originally constructed in 1863. This transaction represents the first development of a privately owned, build-to-suit correctional facility to be operated by a government agency through a long-term lease agreement. We will be responsible for facility maintenance throughout the 20-year term of the lease, at which time ownership will revert to the State. Construction of the new facility is expected to commence in the first quarter of 2018 with a timeline for completion of approximately 24 months. With the extensively aged criminal justice infrastructure in the U.S. today, we believe we can bring our flexible solutions like this to other government agencies.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demand for prison capacity in the short-term has been affected by the budget challenges many of our government partners currently face. At the same time, these challenges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before we develop new prison capacity on a speculative basis. We will, however, respond to customer demand and may develop or expand correctional and detention facilities when we believe potential long-term returns justify the capital deployment. We expect to continue to pursue investment opportunities in residential reentry centers and are in various stages of due diligence to complete additional acquisitions. The transactions that have not yet closed will also be subject to various customary closing conditions, and we can provide no assurance that any such transactions will ultimately be completed. We are also pursuing additional investment opportunities in other real estate assets with a bias toward those used to provide mission-critical governmental services, as well as other businesses that expand the range of solutions we provide to government partners which will further diversify our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net cash provided by operating activities for the year ended December 31, 2017 was $341.3 million compared with $375.4 million in 2016 and $399.8 million in 2015. Cash provided by operating activities represents our net income plus depreciation and amortization, changes in various components of working capital, and various non-cash charges. The decrease in cash provided by operating activities during 2017 was primarily due to the reduction in operating income when compared to the same period in the prior year.</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decrease in cash provided by operating activities during 2016 was primarily due to negative fluctuations in working capital balances when compared to 2015, including the decrease in deferred revenues associated with the South Texas Family Residential Center and routine timing differences in the payment of accounts payables, accrued salaries and wages, and other liabilities, net of the collection of accounts receivables and higher operating income.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cash flow used in investing activities was $124.6 million for the year ended December 31, 2017 and was primarily attributable to capital expenditures of $73.7 million, including expenditures for facility development and expansions of $17.6 million and $56.1 million for facility maintenance and information technology capital expenditures. Our cash flow used in investing activities also included $48.9 million primarily attributable to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7"/>
          <w:szCs w:val="17"/>
          <w:color w:val="auto"/>
        </w:rPr>
        <w:t>acquisitions of the two residential reentry centers in the first quarter of 2017, the acquisition of Center Point in the second quarter of 2017, the acquisitions of NBTC and a portfolio of four leased properties in the third quarter of 2017, and the acquisition of TTC in the fourth quarter of 2017.</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cash flow used in investing activities was $122.2 million for the year ended December 31, 2016 and was primarily attributable to capital expenditures of $93.4 million, including expenditures for facility development and expansions of $41.8 million primarily related to the expansion project at our Red Rock Correctional Center, and $51.6 million for facility maintenance and information technology capital expenditures. Our cash flow used in investing activities also included $43.8 million attributable to the acquisitions of CMI and a residential reentry facility in California during the second quarter of 2016. Partially offsetting these cash outflows, we received proceeds of $8.4 million primarily related to the sale of undeveloped land.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cash flow used in investing activities was $409.3 million for the year ended December 31, 2015 and was primarily attributable to capital expenditures of $224.3 million, including expenditures for facility development and expansions of $164.9 million primarily related to facility development projects at our Trousdale and Otay Mesa facilities, and $59.4 million for facility maintenance and information technology capital expenditures. In addition, cash flow used in investing activities during the year ended December 31, 2015 included $34.5 million of capitalized lease payments related to the South Texas Family Residential Center. Our cash flow used in investing activities during the year ended December 31, 2015 also included $158.4 million related to the acquisitions of four community corrections facilities in the third quarter of 2015 and Avalon in the fourth quarter of 2015.</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Cash flow used in financing activities was $202.3 million for the year ended December 31, 2017 and was primarily attributable to dividend payments of $200.3 million and $5.8 million for the purchase and retirement of common stock that was issued in connection with equity-based compensation. In addition, cash flow used in financing activities included $10.0 million of scheduled principal repayments under our Term Loan. These payments were partially offset by $14.0 million of net proceeds from the issuance of debt and principal repayments under our revolving credit facility.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Cash flow used in financing activities was $280.8 million for the year ended December 31, 2016 and was primarily attributable to dividend payments of $255.5 million and $4.0 million for the purchase and retirement of common stock that was issued in connection with equity-based compensation. In addition, cash flow used in financing activities included $11.8 million of cash payments associated with the financing components of the lease related to the South Texas Family Residential Center, $4.0 million of net repayments under our revolving credit facility, and $5.0 million of scheduled principal repayments under our Term Loan.</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flow provided by financing activities was $0.4 million for the year ended December 31, 2015. Cash flow used in financing activities included dividend payments of $250.7 million and $9.5 million for the purchase and retirement of common stock that was issued in connection with equity-based compensation. Cash flow used in financing activities for the year ended December 31, 2015 also included $5.7 million for the payment of debt issuance and other refinancing costs associated with refinancing transactions. In addition, cash flow used in financing activities included $6.5 million of cash payments associated with the financing components of the lease related to the South Texas Family Residential Center. These payments were offset by $264.0 million of net proceeds from the issuance of debt and principal repayments under our revolving credit facility, as well as the cash flows associated with exercising stock options, including the related income tax benefit of equity compensation, totaling $8.2 million.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generally accepted accounting principles,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We believe FFO is an important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7" w:name="page78"/>
    <w:bookmarkEnd w:id="77"/>
    <w:p>
      <w:pPr>
        <w:jc w:val="both"/>
        <w:spacing w:after="0" w:line="289" w:lineRule="auto"/>
        <w:rPr>
          <w:sz w:val="20"/>
          <w:szCs w:val="20"/>
          <w:color w:val="auto"/>
        </w:rPr>
      </w:pPr>
      <w:r>
        <w:rPr>
          <w:rFonts w:ascii="Arial" w:cs="Arial" w:eastAsia="Arial" w:hAnsi="Arial"/>
          <w:sz w:val="17"/>
          <w:szCs w:val="17"/>
          <w:color w:val="auto"/>
        </w:rPr>
        <w:t>supplemental measure of our operating performance and believe it is frequently used by securities analysts, investors and other interested parties in the evaluation of REITs, many of which present FFO when reporting results.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component of our ongoing operations. Even though expenses associated with M&amp;A may be recurring, the magnitude and timing fluctuate based on the timing and scope of M&amp;A activity, and therefore, such expenses, which are not a necessary component of our ongoing operations, may not be comparable from period to period. Normalized FFO excludes the effects of such items.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FFO and Normalized FFO are supplemental non-GAAP financial measures of real estate companies' operating performances,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accordingly, may not be comparable to such other REITs.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reconciliation of net income to FFO and Normalized FFO for the years ended December 31, 2017, 2016, and 2015 is as follows (in thousands):</w:t>
      </w:r>
    </w:p>
    <w:p>
      <w:pPr>
        <w:spacing w:after="0" w:line="322" w:lineRule="exact"/>
        <w:rPr>
          <w:sz w:val="20"/>
          <w:szCs w:val="20"/>
          <w:color w:val="auto"/>
        </w:rPr>
      </w:pPr>
    </w:p>
    <w:tbl>
      <w:tblPr>
        <w:tblLayout w:type="fixed"/>
        <w:tblInd w:w="1160" w:type="dxa"/>
        <w:tblCellMar>
          <w:top w:w="0" w:type="dxa"/>
          <w:left w:w="0" w:type="dxa"/>
          <w:bottom w:w="0" w:type="dxa"/>
          <w:right w:w="0" w:type="dxa"/>
        </w:tblCellMar>
      </w:tblPr>
      <w:tr>
        <w:trPr>
          <w:trHeight w:val="163"/>
        </w:trPr>
        <w:tc>
          <w:tcPr>
            <w:tcW w:w="4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color w:val="auto"/>
              </w:rPr>
              <w:t>For the Years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0"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FUNDS FROM OPERATIONS: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Net income</w:t>
            </w:r>
          </w:p>
        </w:tc>
        <w:tc>
          <w:tcPr>
            <w:tcW w:w="1160" w:type="dxa"/>
            <w:vAlign w:val="bottom"/>
            <w:gridSpan w:val="2"/>
          </w:tcPr>
          <w:p>
            <w:pPr>
              <w:jc w:val="right"/>
              <w:ind w:right="6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178,040</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219,919</w:t>
            </w:r>
          </w:p>
        </w:tc>
        <w:tc>
          <w:tcPr>
            <w:tcW w:w="12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221,854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Depreciation of real estate assets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95,902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Impairment of real estate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Funds From Operations</w:t>
            </w: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274,297</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314,265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312,073</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7"/>
                <w:szCs w:val="17"/>
                <w:color w:val="auto"/>
              </w:rPr>
              <w:t>Expenses associated with debt refinancing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120"/>
              <w:spacing w:after="0"/>
              <w:rPr>
                <w:sz w:val="20"/>
                <w:szCs w:val="20"/>
                <w:color w:val="auto"/>
              </w:rPr>
            </w:pPr>
            <w:r>
              <w:rPr>
                <w:rFonts w:ascii="Arial" w:cs="Arial" w:eastAsia="Arial" w:hAnsi="Arial"/>
                <w:sz w:val="17"/>
                <w:szCs w:val="17"/>
                <w:color w:val="auto"/>
              </w:rPr>
              <w:t>transactions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Charges associated with adoption of tax reform</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4,548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Expenses associated with mergers and acquisitions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2,530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Gain on settlement of contingent consideration</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Restructuring charges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Goodwill and other impairments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Income tax benefit for special items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Normalized Funds From Operations</w:t>
            </w:r>
          </w:p>
        </w:tc>
        <w:tc>
          <w:tcPr>
            <w:tcW w:w="9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281,634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317,646</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317,346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 summarizes our contractual obligations by the indicated period as of December 31, 2017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9"/>
              </w:rPr>
              <w:t>Payments Due By 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0"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0"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7"/>
              <w:spacing w:after="0" w:line="150"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0"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0"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
              <w:spacing w:after="0" w:line="150" w:lineRule="exact"/>
              <w:rPr>
                <w:sz w:val="20"/>
                <w:szCs w:val="20"/>
                <w:color w:val="auto"/>
              </w:rPr>
            </w:pPr>
            <w:r>
              <w:rPr>
                <w:rFonts w:ascii="Arial" w:cs="Arial" w:eastAsia="Arial" w:hAnsi="Arial"/>
                <w:sz w:val="14"/>
                <w:szCs w:val="14"/>
                <w:b w:val="1"/>
                <w:bCs w:val="1"/>
                <w:color w:val="auto"/>
                <w:w w:val="90"/>
              </w:rPr>
              <w:t>Thereafter</w:t>
            </w: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5"/>
              <w:spacing w:after="0" w:line="150"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584,000</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600,000</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$ 1,459,000</w:t>
            </w:r>
          </w:p>
        </w:tc>
        <w:tc>
          <w:tcPr>
            <w:tcW w:w="120" w:type="dxa"/>
            <w:vAlign w:val="bottom"/>
            <w:shd w:val="clear" w:color="auto" w:fill="CFF0FC"/>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7"/>
                <w:szCs w:val="17"/>
                <w:color w:val="auto"/>
              </w:rPr>
              <w:t>Interest on senior notes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53,969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53,969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47,266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40,562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40,562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67,469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303,797</w:t>
            </w:r>
          </w:p>
        </w:tc>
        <w:tc>
          <w:tcPr>
            <w:tcW w:w="120" w:type="dxa"/>
            <w:vAlign w:val="bottom"/>
          </w:tcPr>
          <w:p>
            <w:pPr>
              <w:spacing w:after="0"/>
              <w:rPr>
                <w:sz w:val="19"/>
                <w:szCs w:val="19"/>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Contractual facility developments and</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2"/>
        </w:trPr>
        <w:tc>
          <w:tcPr>
            <w:tcW w:w="43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other commitments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2,207</w:t>
            </w:r>
          </w:p>
        </w:tc>
        <w:tc>
          <w:tcPr>
            <w:tcW w:w="120" w:type="dxa"/>
            <w:vAlign w:val="bottom"/>
            <w:shd w:val="clear" w:color="auto" w:fill="CFF0FC"/>
          </w:tcPr>
          <w:p>
            <w:pPr>
              <w:spacing w:after="0"/>
              <w:rPr>
                <w:sz w:val="19"/>
                <w:szCs w:val="19"/>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7"/>
                <w:szCs w:val="17"/>
                <w:color w:val="auto"/>
              </w:rPr>
              <w:t>South Texas Family Residential Center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50,808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50,808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50,947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36,888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189,451</w:t>
            </w:r>
          </w:p>
        </w:tc>
        <w:tc>
          <w:tcPr>
            <w:tcW w:w="120" w:type="dxa"/>
            <w:vAlign w:val="bottom"/>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607</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2,942</w:t>
            </w:r>
          </w:p>
        </w:tc>
        <w:tc>
          <w:tcPr>
            <w:tcW w:w="120" w:type="dxa"/>
            <w:vAlign w:val="bottom"/>
            <w:shd w:val="clear" w:color="auto" w:fill="CFF0FC"/>
          </w:tcPr>
          <w:p>
            <w:pPr>
              <w:spacing w:after="0"/>
              <w:rPr>
                <w:sz w:val="19"/>
                <w:szCs w:val="19"/>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7"/>
                <w:szCs w:val="17"/>
                <w:color w:val="auto"/>
              </w:rPr>
              <w:t>Total contractual cash obligations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117,728</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120,435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682,820</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78,070</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290,875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667,469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5"/>
              </w:rPr>
              <w:t>$ 1,957,397</w:t>
            </w:r>
          </w:p>
        </w:tc>
        <w:tc>
          <w:tcPr>
            <w:tcW w:w="1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cash obligations in the table above do not include future cash obligations for variable interest expense associated with our Term Loan or the balance on our outstanding revolving credit facility as projections would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7"/>
          <w:szCs w:val="17"/>
          <w:color w:val="auto"/>
        </w:rPr>
        <w:t>based on future outstanding balances as well as future variable interest rates, and we are unable to make reliable estimates of either. Further, the cash obligations in the table above also do not include future cash obligations for uncertain tax positions as we are unable to make reliable estimates of the timing of such payments, if any, to the taxing authorities. The contractual facility developments included in the table above represent development projects for which we have already entered into a contract with a customer that obligates us to complete the development project.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IGSA, as previously described herein.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$6.9 million of letters of credit outstanding at December 31, 2017 primarily to support our requirement to repay fees and claims under our self-insured workers' compensation plan in the event we do not repay the fees and claims due in accordance with the terms of the plan. The letters of credit are renewable annually. We did not have any draws under any outstanding letters of credit during 2017, 2016, or 2015.</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of our contracts include provisions for inflationary indexing, which mitigates an adverse impact of inflation on net income. However, a substantial increase in personnel costs, workers' compensation or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QUARTERLY RESULTS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is subject to seasonal fluctuations. Because we are generally compensated for operating and managing facilities at an inmate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the Company's unemployment taxes are recognized during the first quarter, when base wage rates reset for unemployment tax purposes. Finally, quarterly results are affected by government funding initiatives, the timing of the opening of new facilities, or the commencement of new management contracts and related start-up expenses which may mitigate or exacerbate the impact of other seasonal influences. Because of these seasonality factors, results for any quarter are not necessarily indicative of the results that may be achieved for the full fiscal year.</w:t>
      </w:r>
    </w:p>
    <w:p>
      <w:pPr>
        <w:spacing w:after="0" w:line="28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primary market risk exposure is to changes in U.S. interest rates. We are exposed to market risk related to our revolving credit facility and Term Loan because the interest rates on our revolving credit facility and Term Loan are subject to fluctuations in the market. If the interest rate for our outstanding indebtedness under the revolving credit facility and Term Loan was 100 basis points higher or lower during the years ended December 31, 2017, 2016, and 2015, our interest expense, net of amounts capitalized, would have been increased or decreased by $5.0 million, $5.7 million, and $5.9 million, respectively.</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2017, we had outstanding $325.0 million of senior notes due 2020 with a fixed interest rate of 4.125%, $350.0 million of senior notes due 2023 with a fixed interest rate of 4.625%, $250.0 million of senior notes due 2022 with a fixed interest rate of 5.0%, and $250.0 million of senior notes due 2027 with a fixed interest rate of 4.75%. Because the interest rates with respect to these instruments are fixed, a hypothetical 100 basis point increase or decrease in market interest rates would not have a material impact on our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9" w:name="page80"/>
    <w:bookmarkEnd w:id="79"/>
    <w:p>
      <w:pPr>
        <w:jc w:val="both"/>
        <w:spacing w:after="0" w:line="265" w:lineRule="auto"/>
        <w:rPr>
          <w:sz w:val="20"/>
          <w:szCs w:val="20"/>
          <w:color w:val="auto"/>
        </w:rPr>
      </w:pPr>
      <w:r>
        <w:rPr>
          <w:rFonts w:ascii="Arial" w:cs="Arial" w:eastAsia="Arial" w:hAnsi="Arial"/>
          <w:sz w:val="17"/>
          <w:szCs w:val="17"/>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Arial" w:cs="Arial" w:eastAsia="Arial" w:hAnsi="Arial"/>
          <w:sz w:val="17"/>
          <w:szCs w:val="17"/>
          <w:i w:val="1"/>
          <w:iCs w:val="1"/>
          <w:color w:val="auto"/>
        </w:rPr>
        <w:t>Rising interest rates would increase the cost of our variable rate debt</w:t>
      </w:r>
      <w:r>
        <w:rPr>
          <w:rFonts w:ascii="Arial" w:cs="Arial" w:eastAsia="Arial" w:hAnsi="Arial"/>
          <w:sz w:val="17"/>
          <w:szCs w:val="17"/>
          <w:color w:val="auto"/>
        </w:rPr>
        <w:t>" under Item 1A of this Annual Report on Form 10-K for more discussion on interest rate risks that may affect our financial condition.</w:t>
      </w:r>
    </w:p>
    <w:p>
      <w:pPr>
        <w:spacing w:after="0" w:line="277"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and supplementary data required by Regulation S-X are included in this Annual Report on Form 10-K commencing on Page F-1.</w:t>
      </w:r>
    </w:p>
    <w:p>
      <w:pPr>
        <w:spacing w:after="0" w:line="33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73" w:lineRule="exact"/>
        <w:rPr>
          <w:sz w:val="20"/>
          <w:szCs w:val="20"/>
          <w:color w:val="auto"/>
        </w:rPr>
      </w:pPr>
    </w:p>
    <w:p>
      <w:pPr>
        <w:ind w:left="1180" w:hanging="586"/>
        <w:spacing w:after="0" w:line="289"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spacing w:after="0" w:line="53" w:lineRule="exact"/>
        <w:rPr>
          <w:rFonts w:ascii="Arial" w:cs="Arial" w:eastAsia="Arial" w:hAnsi="Arial"/>
          <w:sz w:val="17"/>
          <w:szCs w:val="17"/>
          <w:color w:val="auto"/>
        </w:rPr>
      </w:pPr>
    </w:p>
    <w:p>
      <w:pPr>
        <w:jc w:val="both"/>
        <w:ind w:left="1180" w:hanging="586"/>
        <w:spacing w:after="0" w:line="273"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6" w:lineRule="exact"/>
        <w:rPr>
          <w:rFonts w:ascii="Arial" w:cs="Arial" w:eastAsia="Arial" w:hAnsi="Arial"/>
          <w:sz w:val="17"/>
          <w:szCs w:val="17"/>
          <w:color w:val="auto"/>
        </w:rPr>
      </w:pPr>
    </w:p>
    <w:p>
      <w:pPr>
        <w:ind w:left="1180" w:hanging="586"/>
        <w:spacing w:after="0" w:line="289"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both"/>
        <w:spacing w:after="0" w:line="267"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2017. In making this assessment, management used the criteria set forth by the Committee of Sponsoring Organizations of the Treadway Commission (COSO) in Internal Control-Integrated Framework released in 2013. Based on this assessment, management believes that, as of December 31, 2017, the Company's internal control over financial reporting was effective.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Company's independent registered public accounting firm, Ernst &amp; Young LLP, has issued an attestation report on the Company's internal control over financial reporting. That report begins on page 82.</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fourth fiscal quarter of 2017 that have materially affected, or are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CoreCivic,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audited CoreCivic, Inc. and Subsidiaries’ internal control over financial reporting as of December 31, 2017, based on criteria established in Internal Control – 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2017, based on the COSO criteria.</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2017 consolidated financial statements of the Company and our report dated February 22, 2018 expressed an unqualified opinion thereon.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left="8120"/>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tabs>
          <w:tab w:leader="none" w:pos="118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Declared for First Quarter 2018</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On February 22, 2018, the Company's Board of Directors declared a dividend for the first quarter of 2018 of $0.43 per share to be paid on April 16, 2018 to stockholders of record as of the close of business on April 2,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information required by this Item 10 will appear in, and is hereby incorporated by reference from, the information under the headings "Proposal 1 – Election of Directors-Directors Standing for Election," "Executive Officers-Information Concerning Executive Officers Who Are Not Directors," "Corporate Governance – Board of Directors Meetings and Committees," "Corporate Governance – Independence and Financial Literacy of Audit Committee Members," and "Security Ownership of Certain Beneficial Owners and Management – Section 16(a) Beneficial Ownership Reporting Compliance" in our definitive proxy statement for the 2018 Annual Meeting of Stockholders.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on our website at </w:t>
      </w:r>
      <w:r>
        <w:rPr>
          <w:rFonts w:ascii="Arial" w:cs="Arial" w:eastAsia="Arial" w:hAnsi="Arial"/>
          <w:sz w:val="16"/>
          <w:szCs w:val="16"/>
          <w:u w:val="single" w:color="auto"/>
          <w:color w:val="auto"/>
        </w:rPr>
        <w:t>www.corecivic.com</w:t>
      </w:r>
      <w:r>
        <w:rPr>
          <w:rFonts w:ascii="Arial" w:cs="Arial" w:eastAsia="Arial" w:hAnsi="Arial"/>
          <w:sz w:val="16"/>
          <w:szCs w:val="16"/>
          <w:color w:val="auto"/>
        </w:rPr>
        <w:t>.</w:t>
      </w:r>
    </w:p>
    <w:p>
      <w:pPr>
        <w:spacing w:after="0" w:line="26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11 will appear in, and is hereby incorporated by reference from, the information under the headings "Executive and Director Compensation" in our definitive proxy statement for the 2018 Annual Meeting of Stockholders.</w:t>
      </w:r>
    </w:p>
    <w:p>
      <w:pPr>
        <w:spacing w:after="0" w:line="257" w:lineRule="exact"/>
        <w:rPr>
          <w:sz w:val="20"/>
          <w:szCs w:val="20"/>
          <w:color w:val="auto"/>
        </w:rPr>
      </w:pPr>
    </w:p>
    <w:p>
      <w:pPr>
        <w:jc w:val="both"/>
        <w:ind w:left="1200" w:hanging="1191"/>
        <w:spacing w:after="0" w:line="268" w:lineRule="auto"/>
        <w:tabs>
          <w:tab w:leader="none" w:pos="11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30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The information required by this Item 12 will appear in, and is hereby incorporated by reference from, the information under the heading "Security Ownership of Certain Beneficial Owners and Management – Ownership of Common Stock" in our definitive proxy statement for the 2018 Annual Meeting of Stockholders.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sets forth certain information as of December 31, 2017 regarding compensation plans under which our equity securities are authorized for issuance.</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3"/>
              </w:rPr>
              <w:t>for Future</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8"/>
              </w:rPr>
              <w:t>Weighted –</w:t>
            </w: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1"/>
              </w:rPr>
              <w:t>Plan (Excluding</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to be Issued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Upon 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Exercise Price</w:t>
            </w: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4"/>
        </w:trPr>
        <w:tc>
          <w:tcPr>
            <w:tcW w:w="514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of Outstanding</w:t>
            </w:r>
          </w:p>
        </w:tc>
        <w:tc>
          <w:tcPr>
            <w:tcW w:w="200" w:type="dxa"/>
            <w:vAlign w:val="bottom"/>
          </w:tcPr>
          <w:p>
            <w:pPr>
              <w:spacing w:after="0"/>
              <w:rPr>
                <w:sz w:val="12"/>
                <w:szCs w:val="12"/>
                <w:color w:val="auto"/>
              </w:rPr>
            </w:pPr>
          </w:p>
        </w:tc>
        <w:tc>
          <w:tcPr>
            <w:tcW w:w="1280" w:type="dxa"/>
            <w:vAlign w:val="bottom"/>
            <w:gridSpan w:val="3"/>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of Outstanding</w:t>
            </w:r>
          </w:p>
        </w:tc>
        <w:tc>
          <w:tcPr>
            <w:tcW w:w="134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2"/>
              </w:rPr>
              <w:t>Column</w:t>
            </w:r>
          </w:p>
        </w:tc>
        <w:tc>
          <w:tcPr>
            <w:tcW w:w="0" w:type="dxa"/>
            <w:vAlign w:val="bottom"/>
          </w:tcPr>
          <w:p>
            <w:pPr>
              <w:spacing w:after="0"/>
              <w:rPr>
                <w:sz w:val="1"/>
                <w:szCs w:val="1"/>
                <w:color w:val="auto"/>
              </w:rPr>
            </w:pPr>
          </w:p>
        </w:tc>
      </w:tr>
      <w:tr>
        <w:trPr>
          <w:trHeight w:val="167"/>
        </w:trPr>
        <w:tc>
          <w:tcPr>
            <w:tcW w:w="5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Equity compensation plans approved by</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stockholders</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1,014,551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20.03</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 xml:space="preserve">8,457,104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 by</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stockholders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1,014,551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8,457,104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600" w:hanging="595"/>
        <w:spacing w:after="0" w:line="277"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shares of common stock available for issuance under our Amended and Restated 2008 Stock Incentive Plan and our Non-Employee Directors' Compensation Plan, the only equity compensation plans approved by our stockholders under which we continue to grant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tabs>
          <w:tab w:leader="none" w:pos="11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2018 Annual Meeting of Stockholders.</w:t>
      </w:r>
    </w:p>
    <w:p>
      <w:pPr>
        <w:spacing w:after="0" w:line="27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The information required by this Item 14 will appear in, and is hereby incorporated by reference from, the information under the heading "Proposal 2 – Ratification of Appointment of Independent Registered Public Accounting Firm" in our definitive proxy statement for the 2018 Annual Meeting of Stockholders.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ind w:left="5360"/>
        <w:spacing w:after="0"/>
        <w:rPr>
          <w:sz w:val="20"/>
          <w:szCs w:val="20"/>
          <w:color w:val="auto"/>
        </w:rPr>
      </w:pPr>
      <w:r>
        <w:rPr>
          <w:rFonts w:ascii="Arial" w:cs="Arial" w:eastAsia="Arial" w:hAnsi="Arial"/>
          <w:sz w:val="17"/>
          <w:szCs w:val="17"/>
          <w:b w:val="1"/>
          <w:bCs w:val="1"/>
          <w:color w:val="auto"/>
        </w:rPr>
        <w:t>PART IV.</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Annual Report:</w:t>
      </w:r>
    </w:p>
    <w:p>
      <w:pPr>
        <w:spacing w:after="0" w:line="119" w:lineRule="exact"/>
        <w:rPr>
          <w:sz w:val="20"/>
          <w:szCs w:val="20"/>
          <w:color w:val="auto"/>
        </w:rPr>
      </w:pPr>
    </w:p>
    <w:p>
      <w:pPr>
        <w:ind w:left="1200" w:hanging="986"/>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18" w:lineRule="exact"/>
        <w:rPr>
          <w:rFonts w:ascii="Arial" w:cs="Arial" w:eastAsia="Arial" w:hAnsi="Arial"/>
          <w:sz w:val="17"/>
          <w:szCs w:val="17"/>
          <w:color w:val="auto"/>
        </w:rPr>
      </w:pPr>
    </w:p>
    <w:p>
      <w:pPr>
        <w:ind w:left="1200"/>
        <w:spacing w:after="0" w:line="289" w:lineRule="auto"/>
        <w:rPr>
          <w:rFonts w:ascii="Arial" w:cs="Arial" w:eastAsia="Arial" w:hAnsi="Arial"/>
          <w:sz w:val="17"/>
          <w:szCs w:val="17"/>
          <w:color w:val="auto"/>
        </w:rPr>
      </w:pPr>
      <w:r>
        <w:rPr>
          <w:rFonts w:ascii="Arial" w:cs="Arial" w:eastAsia="Arial" w:hAnsi="Arial"/>
          <w:sz w:val="17"/>
          <w:szCs w:val="17"/>
          <w:color w:val="auto"/>
        </w:rPr>
        <w:t>The financial statements as set forth under Item 8 of this Annual Report on Form 10-K have been filed herewith, beginning on page F-1 of this Annual Report.</w:t>
      </w:r>
    </w:p>
    <w:p>
      <w:pPr>
        <w:spacing w:after="0" w:line="53" w:lineRule="exact"/>
        <w:rPr>
          <w:rFonts w:ascii="Arial" w:cs="Arial" w:eastAsia="Arial" w:hAnsi="Arial"/>
          <w:sz w:val="17"/>
          <w:szCs w:val="17"/>
          <w:color w:val="auto"/>
        </w:rPr>
      </w:pPr>
    </w:p>
    <w:p>
      <w:pPr>
        <w:ind w:left="1180" w:hanging="96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18"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Schedule III-Real Estate Assets and Accumulated Depreciation.</w:t>
      </w:r>
    </w:p>
    <w:p>
      <w:pPr>
        <w:spacing w:after="0" w:line="118" w:lineRule="exact"/>
        <w:rPr>
          <w:rFonts w:ascii="Arial" w:cs="Arial" w:eastAsia="Arial" w:hAnsi="Arial"/>
          <w:sz w:val="17"/>
          <w:szCs w:val="17"/>
          <w:color w:val="auto"/>
        </w:rPr>
      </w:pPr>
    </w:p>
    <w:p>
      <w:pPr>
        <w:ind w:left="1200"/>
        <w:spacing w:after="0" w:line="322" w:lineRule="auto"/>
        <w:rPr>
          <w:rFonts w:ascii="Arial" w:cs="Arial" w:eastAsia="Arial" w:hAnsi="Arial"/>
          <w:sz w:val="17"/>
          <w:szCs w:val="17"/>
          <w:color w:val="auto"/>
        </w:rPr>
      </w:pPr>
      <w:r>
        <w:rPr>
          <w:rFonts w:ascii="Arial" w:cs="Arial" w:eastAsia="Arial" w:hAnsi="Arial"/>
          <w:sz w:val="16"/>
          <w:szCs w:val="16"/>
          <w:color w:val="auto"/>
        </w:rPr>
        <w:t>Information with respect to this item begins on page F-45 of this Annual Report on Form 10-K. Other schedules are omitted because of the absence of conditions under which they are required or because the required information is given in the financial statements or notes thereto.</w:t>
      </w:r>
    </w:p>
    <w:p>
      <w:pPr>
        <w:spacing w:after="0" w:line="30" w:lineRule="exact"/>
        <w:rPr>
          <w:rFonts w:ascii="Arial" w:cs="Arial" w:eastAsia="Arial" w:hAnsi="Arial"/>
          <w:sz w:val="17"/>
          <w:szCs w:val="17"/>
          <w:color w:val="auto"/>
        </w:rPr>
      </w:pPr>
    </w:p>
    <w:p>
      <w:pPr>
        <w:ind w:left="1180" w:hanging="96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Exhibits:</w:t>
      </w:r>
    </w:p>
    <w:p>
      <w:pPr>
        <w:spacing w:after="0" w:line="118" w:lineRule="exact"/>
        <w:rPr>
          <w:rFonts w:ascii="Arial" w:cs="Arial" w:eastAsia="Arial" w:hAnsi="Arial"/>
          <w:sz w:val="17"/>
          <w:szCs w:val="17"/>
          <w:color w:val="auto"/>
        </w:rPr>
      </w:pPr>
    </w:p>
    <w:p>
      <w:pPr>
        <w:ind w:left="1200"/>
        <w:spacing w:after="0" w:line="289" w:lineRule="auto"/>
        <w:rPr>
          <w:rFonts w:ascii="Arial" w:cs="Arial" w:eastAsia="Arial" w:hAnsi="Arial"/>
          <w:sz w:val="17"/>
          <w:szCs w:val="17"/>
          <w:color w:val="auto"/>
        </w:rPr>
      </w:pPr>
      <w:r>
        <w:rPr>
          <w:rFonts w:ascii="Arial" w:cs="Arial" w:eastAsia="Arial" w:hAnsi="Arial"/>
          <w:sz w:val="17"/>
          <w:szCs w:val="17"/>
          <w:color w:val="auto"/>
        </w:rPr>
        <w:t>The following exhibits marked with an * are filed herewith. Exhibits marked with ** are furnished herewith. Other exhibits have previously been filed with the Securities and Exchange Commission (the "Commission") and are incorporated herein by reference:</w:t>
      </w:r>
    </w:p>
    <w:p>
      <w:pPr>
        <w:sectPr>
          <w:pgSz w:w="11900" w:h="16838" w:orient="portrait"/>
          <w:cols w:equalWidth="0" w:num="1">
            <w:col w:w="11420"/>
          </w:cols>
          <w:pgMar w:left="240" w:top="121" w:right="239" w:bottom="1440" w:gutter="0" w:footer="0" w:header="0"/>
        </w:sectPr>
      </w:pP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3.3*</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4.1</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4.3</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4.4</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4.6</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4.7</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289" w:lineRule="auto"/>
        <w:rPr>
          <w:rFonts w:ascii="Arial" w:cs="Arial" w:eastAsia="Arial" w:hAnsi="Arial"/>
          <w:sz w:val="17"/>
          <w:szCs w:val="17"/>
          <w:color w:val="0000EE"/>
        </w:rPr>
      </w:pPr>
      <w:hyperlink r:id="rId103">
        <w:r>
          <w:rPr>
            <w:rFonts w:ascii="Arial" w:cs="Arial" w:eastAsia="Arial" w:hAnsi="Arial"/>
            <w:sz w:val="17"/>
            <w:szCs w:val="17"/>
            <w:u w:val="single" w:color="auto"/>
            <w:color w:val="0000EE"/>
          </w:rPr>
          <w:t>Articles of Amendment and Restatement of the Company</w:t>
        </w:r>
        <w:r>
          <w:rPr>
            <w:rFonts w:ascii="Arial" w:cs="Arial" w:eastAsia="Arial" w:hAnsi="Arial"/>
            <w:sz w:val="17"/>
            <w:szCs w:val="17"/>
            <w:color w:val="0000EE"/>
          </w:rPr>
          <w:t xml:space="preserve"> </w:t>
        </w:r>
      </w:hyperlink>
      <w:r>
        <w:rPr>
          <w:rFonts w:ascii="Arial" w:cs="Arial" w:eastAsia="Arial" w:hAnsi="Arial"/>
          <w:sz w:val="17"/>
          <w:szCs w:val="17"/>
          <w:color w:val="000000"/>
        </w:rPr>
        <w:t>(previously</w:t>
      </w:r>
      <w:r>
        <w:rPr>
          <w:rFonts w:ascii="Arial" w:cs="Arial" w:eastAsia="Arial" w:hAnsi="Arial"/>
          <w:sz w:val="17"/>
          <w:szCs w:val="17"/>
          <w:color w:val="0000EE"/>
        </w:rPr>
        <w:t xml:space="preserve"> </w:t>
      </w:r>
      <w:r>
        <w:rPr>
          <w:rFonts w:ascii="Arial" w:cs="Arial" w:eastAsia="Arial" w:hAnsi="Arial"/>
          <w:sz w:val="17"/>
          <w:szCs w:val="17"/>
          <w:color w:val="000000"/>
        </w:rPr>
        <w:t>filed as Exhibit 3.1 to the Company's Current Report on Form 8-K</w:t>
      </w:r>
      <w:r>
        <w:rPr>
          <w:rFonts w:ascii="Arial" w:cs="Arial" w:eastAsia="Arial" w:hAnsi="Arial"/>
          <w:sz w:val="17"/>
          <w:szCs w:val="17"/>
          <w:color w:val="0000EE"/>
        </w:rPr>
        <w:t xml:space="preserve"> </w:t>
      </w:r>
      <w:r>
        <w:rPr>
          <w:rFonts w:ascii="Arial" w:cs="Arial" w:eastAsia="Arial" w:hAnsi="Arial"/>
          <w:sz w:val="17"/>
          <w:szCs w:val="17"/>
          <w:color w:val="000000"/>
        </w:rPr>
        <w:t>(Commission File no. 001-16109), filed with the Commission on May 20, 2013 and incorporated herein by this reference).</w:t>
      </w:r>
    </w:p>
    <w:p>
      <w:pPr>
        <w:spacing w:after="0" w:line="66" w:lineRule="exact"/>
        <w:rPr>
          <w:sz w:val="20"/>
          <w:szCs w:val="20"/>
          <w:color w:val="auto"/>
        </w:rPr>
      </w:pPr>
    </w:p>
    <w:p>
      <w:pPr>
        <w:spacing w:after="0"/>
        <w:rPr>
          <w:rFonts w:ascii="Arial" w:cs="Arial" w:eastAsia="Arial" w:hAnsi="Arial"/>
          <w:sz w:val="16"/>
          <w:szCs w:val="16"/>
          <w:color w:val="0000EE"/>
        </w:rPr>
      </w:pPr>
      <w:hyperlink r:id="rId104">
        <w:r>
          <w:rPr>
            <w:rFonts w:ascii="Arial" w:cs="Arial" w:eastAsia="Arial" w:hAnsi="Arial"/>
            <w:sz w:val="16"/>
            <w:szCs w:val="16"/>
            <w:u w:val="single" w:color="auto"/>
            <w:color w:val="0000EE"/>
          </w:rPr>
          <w:t>Articles of Amendment of the Company</w:t>
        </w:r>
        <w:r>
          <w:rPr>
            <w:rFonts w:ascii="Arial" w:cs="Arial" w:eastAsia="Arial" w:hAnsi="Arial"/>
            <w:sz w:val="16"/>
            <w:szCs w:val="16"/>
            <w:color w:val="0000EE"/>
          </w:rPr>
          <w:t xml:space="preserve"> </w:t>
        </w:r>
      </w:hyperlink>
      <w:r>
        <w:rPr>
          <w:rFonts w:ascii="Arial" w:cs="Arial" w:eastAsia="Arial" w:hAnsi="Arial"/>
          <w:sz w:val="16"/>
          <w:szCs w:val="16"/>
          <w:color w:val="000000"/>
        </w:rPr>
        <w:t>(previously</w:t>
      </w:r>
      <w:r>
        <w:rPr>
          <w:rFonts w:ascii="Arial" w:cs="Arial" w:eastAsia="Arial" w:hAnsi="Arial"/>
          <w:sz w:val="16"/>
          <w:szCs w:val="16"/>
          <w:color w:val="0000EE"/>
        </w:rPr>
        <w:t xml:space="preserve"> </w:t>
      </w:r>
      <w:r>
        <w:rPr>
          <w:rFonts w:ascii="Arial" w:cs="Arial" w:eastAsia="Arial" w:hAnsi="Arial"/>
          <w:sz w:val="16"/>
          <w:szCs w:val="16"/>
          <w:color w:val="000000"/>
        </w:rPr>
        <w:t>filed as Exhibit 3.1 to the Company's Current Report on Form 8-K (Commission File no.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001-16109), filed with the Commission on November 10, 2016 and incorporated herein by this reference).</w:t>
      </w:r>
    </w:p>
    <w:p>
      <w:pPr>
        <w:spacing w:after="0" w:line="120" w:lineRule="exact"/>
        <w:rPr>
          <w:sz w:val="20"/>
          <w:szCs w:val="20"/>
          <w:color w:val="auto"/>
        </w:rPr>
      </w:pPr>
    </w:p>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Ninth Amended and Restated Bylaws of the Company dated December 7, 2017.</w:t>
        </w:r>
      </w:hyperlink>
    </w:p>
    <w:p>
      <w:pPr>
        <w:spacing w:after="0" w:line="158" w:lineRule="exact"/>
        <w:rPr>
          <w:sz w:val="20"/>
          <w:szCs w:val="20"/>
          <w:color w:val="auto"/>
        </w:rPr>
      </w:pPr>
    </w:p>
    <w:p>
      <w:pPr>
        <w:jc w:val="both"/>
        <w:spacing w:after="0" w:line="322" w:lineRule="auto"/>
        <w:rPr>
          <w:rFonts w:ascii="Arial" w:cs="Arial" w:eastAsia="Arial" w:hAnsi="Arial"/>
          <w:sz w:val="16"/>
          <w:szCs w:val="16"/>
          <w:color w:val="0000EE"/>
        </w:rPr>
      </w:pPr>
      <w:hyperlink r:id="rId105">
        <w:r>
          <w:rPr>
            <w:rFonts w:ascii="Arial" w:cs="Arial" w:eastAsia="Arial" w:hAnsi="Arial"/>
            <w:sz w:val="16"/>
            <w:szCs w:val="16"/>
            <w:u w:val="single" w:color="auto"/>
            <w:color w:val="0000EE"/>
          </w:rPr>
          <w:t>Specimen of certificate representing shares of the Company's Common Stock</w:t>
        </w:r>
        <w:r>
          <w:rPr>
            <w:rFonts w:ascii="Arial" w:cs="Arial" w:eastAsia="Arial" w:hAnsi="Arial"/>
            <w:sz w:val="16"/>
            <w:szCs w:val="16"/>
            <w:color w:val="0000EE"/>
          </w:rPr>
          <w:t xml:space="preserve"> </w:t>
        </w:r>
      </w:hyperlink>
      <w:r>
        <w:rPr>
          <w:rFonts w:ascii="Arial" w:cs="Arial" w:eastAsia="Arial" w:hAnsi="Arial"/>
          <w:sz w:val="16"/>
          <w:szCs w:val="16"/>
          <w:color w:val="000000"/>
        </w:rPr>
        <w:t>(previously</w:t>
      </w:r>
      <w:r>
        <w:rPr>
          <w:rFonts w:ascii="Arial" w:cs="Arial" w:eastAsia="Arial" w:hAnsi="Arial"/>
          <w:sz w:val="16"/>
          <w:szCs w:val="16"/>
          <w:color w:val="0000EE"/>
        </w:rPr>
        <w:t xml:space="preserve"> </w:t>
      </w:r>
      <w:r>
        <w:rPr>
          <w:rFonts w:ascii="Arial" w:cs="Arial" w:eastAsia="Arial" w:hAnsi="Arial"/>
          <w:sz w:val="16"/>
          <w:szCs w:val="16"/>
          <w:color w:val="000000"/>
        </w:rPr>
        <w:t>filed as Exhibit 4.1 to the Company's Current Report on</w:t>
      </w:r>
      <w:r>
        <w:rPr>
          <w:rFonts w:ascii="Arial" w:cs="Arial" w:eastAsia="Arial" w:hAnsi="Arial"/>
          <w:sz w:val="16"/>
          <w:szCs w:val="16"/>
          <w:color w:val="0000EE"/>
        </w:rPr>
        <w:t xml:space="preserve"> </w:t>
      </w:r>
      <w:r>
        <w:rPr>
          <w:rFonts w:ascii="Arial" w:cs="Arial" w:eastAsia="Arial" w:hAnsi="Arial"/>
          <w:sz w:val="16"/>
          <w:szCs w:val="16"/>
          <w:color w:val="000000"/>
        </w:rPr>
        <w:t>Form 8-K (Commission File no. 001-16109), filed with the Commission on November 10, 2016 and incorporated herein by this reference).</w:t>
      </w:r>
    </w:p>
    <w:p>
      <w:pPr>
        <w:spacing w:after="0" w:line="43" w:lineRule="exact"/>
        <w:rPr>
          <w:sz w:val="20"/>
          <w:szCs w:val="20"/>
          <w:color w:val="auto"/>
        </w:rPr>
      </w:pPr>
    </w:p>
    <w:p>
      <w:pPr>
        <w:jc w:val="both"/>
        <w:spacing w:after="0" w:line="273" w:lineRule="auto"/>
        <w:rPr>
          <w:rFonts w:ascii="Arial" w:cs="Arial" w:eastAsia="Arial" w:hAnsi="Arial"/>
          <w:sz w:val="17"/>
          <w:szCs w:val="17"/>
          <w:color w:val="0000EE"/>
        </w:rPr>
      </w:pPr>
      <w:hyperlink r:id="rId106">
        <w:r>
          <w:rPr>
            <w:rFonts w:ascii="Arial" w:cs="Arial" w:eastAsia="Arial" w:hAnsi="Arial"/>
            <w:sz w:val="17"/>
            <w:szCs w:val="17"/>
            <w:u w:val="single" w:color="auto"/>
            <w:color w:val="0000EE"/>
          </w:rPr>
          <w:t>Indenture (2020 Notes), dated as of April 4, 2013, by and among the Company, certain of its subsidiaries, and U.S. Bank National Association, as</w:t>
        </w:r>
      </w:hyperlink>
      <w:r>
        <w:rPr>
          <w:rFonts w:ascii="Arial" w:cs="Arial" w:eastAsia="Arial" w:hAnsi="Arial"/>
          <w:sz w:val="17"/>
          <w:szCs w:val="17"/>
          <w:u w:val="single" w:color="auto"/>
          <w:color w:val="0000EE"/>
        </w:rPr>
        <w:t xml:space="preserve"> </w:t>
      </w:r>
      <w:hyperlink r:id="rId106">
        <w:r>
          <w:rPr>
            <w:rFonts w:ascii="Arial" w:cs="Arial" w:eastAsia="Arial" w:hAnsi="Arial"/>
            <w:sz w:val="17"/>
            <w:szCs w:val="17"/>
            <w:u w:val="single" w:color="auto"/>
            <w:color w:val="0000EE"/>
          </w:rPr>
          <w:t>Trustee</w:t>
        </w:r>
        <w:r>
          <w:rPr>
            <w:rFonts w:ascii="Arial" w:cs="Arial" w:eastAsia="Arial" w:hAnsi="Arial"/>
            <w:sz w:val="17"/>
            <w:szCs w:val="17"/>
            <w:color w:val="0000EE"/>
          </w:rPr>
          <w:t xml:space="preserve"> </w:t>
        </w:r>
        <w:r>
          <w:rPr>
            <w:rFonts w:ascii="Arial" w:cs="Arial" w:eastAsia="Arial" w:hAnsi="Arial"/>
            <w:sz w:val="17"/>
            <w:szCs w:val="17"/>
            <w:color w:val="000000"/>
          </w:rPr>
          <w:t>(previously filed as Exhibit 4.2 to the Company's Current Report on Form 8-K (Commission File no. 001-16109), filed with the</w:t>
        </w:r>
      </w:hyperlink>
      <w:r>
        <w:rPr>
          <w:rFonts w:ascii="Arial" w:cs="Arial" w:eastAsia="Arial" w:hAnsi="Arial"/>
          <w:sz w:val="17"/>
          <w:szCs w:val="17"/>
          <w:color w:val="0000EE"/>
        </w:rPr>
        <w:t xml:space="preserve"> </w:t>
      </w:r>
      <w:r>
        <w:rPr>
          <w:rFonts w:ascii="Arial" w:cs="Arial" w:eastAsia="Arial" w:hAnsi="Arial"/>
          <w:sz w:val="17"/>
          <w:szCs w:val="17"/>
          <w:color w:val="000000"/>
        </w:rPr>
        <w:t>Commission on April 8, 2013 and incorporated herein by this reference).</w:t>
      </w:r>
    </w:p>
    <w:p>
      <w:pPr>
        <w:spacing w:after="0" w:line="79" w:lineRule="exact"/>
        <w:rPr>
          <w:sz w:val="20"/>
          <w:szCs w:val="20"/>
          <w:color w:val="auto"/>
        </w:rPr>
      </w:pPr>
    </w:p>
    <w:p>
      <w:pPr>
        <w:jc w:val="both"/>
        <w:spacing w:after="0" w:line="273" w:lineRule="auto"/>
        <w:rPr>
          <w:rFonts w:ascii="Arial" w:cs="Arial" w:eastAsia="Arial" w:hAnsi="Arial"/>
          <w:sz w:val="17"/>
          <w:szCs w:val="17"/>
          <w:color w:val="0000EE"/>
        </w:rPr>
      </w:pPr>
      <w:hyperlink r:id="rId107">
        <w:r>
          <w:rPr>
            <w:rFonts w:ascii="Arial" w:cs="Arial" w:eastAsia="Arial" w:hAnsi="Arial"/>
            <w:sz w:val="17"/>
            <w:szCs w:val="17"/>
            <w:u w:val="single" w:color="auto"/>
            <w:color w:val="0000EE"/>
          </w:rPr>
          <w:t>Indenture (2023 Notes), dated as of April 4, 2013, by and among the Company, certain of its subsidiaries, and U.S. Bank National Association, as</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Trustee</w:t>
        </w:r>
        <w:r>
          <w:rPr>
            <w:rFonts w:ascii="Arial" w:cs="Arial" w:eastAsia="Arial" w:hAnsi="Arial"/>
            <w:sz w:val="17"/>
            <w:szCs w:val="17"/>
            <w:color w:val="0000EE"/>
          </w:rPr>
          <w:t xml:space="preserve"> </w:t>
        </w:r>
        <w:r>
          <w:rPr>
            <w:rFonts w:ascii="Arial" w:cs="Arial" w:eastAsia="Arial" w:hAnsi="Arial"/>
            <w:sz w:val="17"/>
            <w:szCs w:val="17"/>
            <w:color w:val="000000"/>
          </w:rPr>
          <w:t>(previously filed as Exhibit 4.3 to the Company's Current Report on Form 8-K (Commission File no. 001-16109), filed with the</w:t>
        </w:r>
      </w:hyperlink>
      <w:r>
        <w:rPr>
          <w:rFonts w:ascii="Arial" w:cs="Arial" w:eastAsia="Arial" w:hAnsi="Arial"/>
          <w:sz w:val="17"/>
          <w:szCs w:val="17"/>
          <w:color w:val="0000EE"/>
        </w:rPr>
        <w:t xml:space="preserve"> </w:t>
      </w:r>
      <w:r>
        <w:rPr>
          <w:rFonts w:ascii="Arial" w:cs="Arial" w:eastAsia="Arial" w:hAnsi="Arial"/>
          <w:sz w:val="17"/>
          <w:szCs w:val="17"/>
          <w:color w:val="000000"/>
        </w:rPr>
        <w:t>Commission on April 8, 2013 and incorporated herein by this reference).</w:t>
      </w:r>
    </w:p>
    <w:p>
      <w:pPr>
        <w:spacing w:after="0" w:line="79" w:lineRule="exact"/>
        <w:rPr>
          <w:sz w:val="20"/>
          <w:szCs w:val="20"/>
          <w:color w:val="auto"/>
        </w:rPr>
      </w:pPr>
    </w:p>
    <w:p>
      <w:pPr>
        <w:jc w:val="both"/>
        <w:spacing w:after="0" w:line="273" w:lineRule="auto"/>
        <w:rPr>
          <w:rFonts w:ascii="Arial" w:cs="Arial" w:eastAsia="Arial" w:hAnsi="Arial"/>
          <w:sz w:val="17"/>
          <w:szCs w:val="17"/>
          <w:color w:val="0000EE"/>
        </w:rPr>
      </w:pPr>
      <w:hyperlink r:id="rId108">
        <w:r>
          <w:rPr>
            <w:rFonts w:ascii="Arial" w:cs="Arial" w:eastAsia="Arial" w:hAnsi="Arial"/>
            <w:sz w:val="17"/>
            <w:szCs w:val="17"/>
            <w:u w:val="single" w:color="auto"/>
            <w:color w:val="0000EE"/>
          </w:rPr>
          <w:t>Indenture (2022 Notes and 2027 Notes), dated as of September 25, 2015, by and between the Company and U.S. Bank National Association, as</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Trustee</w:t>
        </w:r>
        <w:r>
          <w:rPr>
            <w:rFonts w:ascii="Arial" w:cs="Arial" w:eastAsia="Arial" w:hAnsi="Arial"/>
            <w:sz w:val="17"/>
            <w:szCs w:val="17"/>
            <w:color w:val="0000EE"/>
          </w:rPr>
          <w:t xml:space="preserve"> </w:t>
        </w:r>
        <w:r>
          <w:rPr>
            <w:rFonts w:ascii="Arial" w:cs="Arial" w:eastAsia="Arial" w:hAnsi="Arial"/>
            <w:sz w:val="17"/>
            <w:szCs w:val="17"/>
            <w:color w:val="000000"/>
          </w:rPr>
          <w:t>(previously filed as Exhibit 4.1 to the Company's Current Report on Form 8-K (Commission File no. 001-16109), filed with the</w:t>
        </w:r>
      </w:hyperlink>
      <w:r>
        <w:rPr>
          <w:rFonts w:ascii="Arial" w:cs="Arial" w:eastAsia="Arial" w:hAnsi="Arial"/>
          <w:sz w:val="17"/>
          <w:szCs w:val="17"/>
          <w:color w:val="0000EE"/>
        </w:rPr>
        <w:t xml:space="preserve"> </w:t>
      </w:r>
      <w:r>
        <w:rPr>
          <w:rFonts w:ascii="Arial" w:cs="Arial" w:eastAsia="Arial" w:hAnsi="Arial"/>
          <w:sz w:val="17"/>
          <w:szCs w:val="17"/>
          <w:color w:val="000000"/>
        </w:rPr>
        <w:t>Commission on September 25, 2015 and incorporated herein by this reference).</w:t>
      </w:r>
    </w:p>
    <w:p>
      <w:pPr>
        <w:spacing w:after="0" w:line="79" w:lineRule="exact"/>
        <w:rPr>
          <w:sz w:val="20"/>
          <w:szCs w:val="20"/>
          <w:color w:val="auto"/>
        </w:rPr>
      </w:pPr>
    </w:p>
    <w:p>
      <w:pPr>
        <w:spacing w:after="0"/>
        <w:rPr>
          <w:rFonts w:ascii="Arial" w:cs="Arial" w:eastAsia="Arial" w:hAnsi="Arial"/>
          <w:sz w:val="17"/>
          <w:szCs w:val="17"/>
          <w:color w:val="0000EE"/>
        </w:rPr>
      </w:pPr>
      <w:hyperlink r:id="rId106">
        <w:r>
          <w:rPr>
            <w:rFonts w:ascii="Arial" w:cs="Arial" w:eastAsia="Arial" w:hAnsi="Arial"/>
            <w:sz w:val="17"/>
            <w:szCs w:val="17"/>
            <w:u w:val="single" w:color="auto"/>
            <w:color w:val="0000EE"/>
          </w:rPr>
          <w:t>Form of 4.125% Senior Note due 2020</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4.2 hereof).</w:t>
      </w:r>
    </w:p>
    <w:p>
      <w:pPr>
        <w:spacing w:after="0" w:line="158" w:lineRule="exact"/>
        <w:rPr>
          <w:sz w:val="20"/>
          <w:szCs w:val="20"/>
          <w:color w:val="auto"/>
        </w:rPr>
      </w:pPr>
    </w:p>
    <w:p>
      <w:pPr>
        <w:spacing w:after="0"/>
        <w:rPr>
          <w:rFonts w:ascii="Arial" w:cs="Arial" w:eastAsia="Arial" w:hAnsi="Arial"/>
          <w:sz w:val="17"/>
          <w:szCs w:val="17"/>
          <w:color w:val="0000EE"/>
        </w:rPr>
      </w:pPr>
      <w:hyperlink r:id="rId107">
        <w:r>
          <w:rPr>
            <w:rFonts w:ascii="Arial" w:cs="Arial" w:eastAsia="Arial" w:hAnsi="Arial"/>
            <w:sz w:val="17"/>
            <w:szCs w:val="17"/>
            <w:u w:val="single" w:color="auto"/>
            <w:color w:val="0000EE"/>
          </w:rPr>
          <w:t>Form of 4.625% Senior Note due 2023</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4.3 hereof).</w:t>
      </w:r>
    </w:p>
    <w:p>
      <w:pPr>
        <w:spacing w:after="0" w:line="158" w:lineRule="exact"/>
        <w:rPr>
          <w:sz w:val="20"/>
          <w:szCs w:val="20"/>
          <w:color w:val="auto"/>
        </w:rPr>
      </w:pPr>
    </w:p>
    <w:p>
      <w:pPr>
        <w:spacing w:after="0"/>
        <w:rPr>
          <w:rFonts w:ascii="Arial" w:cs="Arial" w:eastAsia="Arial" w:hAnsi="Arial"/>
          <w:sz w:val="17"/>
          <w:szCs w:val="17"/>
          <w:color w:val="0000EE"/>
        </w:rPr>
      </w:pPr>
      <w:hyperlink r:id="rId109">
        <w:r>
          <w:rPr>
            <w:rFonts w:ascii="Arial" w:cs="Arial" w:eastAsia="Arial" w:hAnsi="Arial"/>
            <w:sz w:val="17"/>
            <w:szCs w:val="17"/>
            <w:u w:val="single" w:color="auto"/>
            <w:color w:val="0000EE"/>
          </w:rPr>
          <w:t>Form of 5.00% Senior Note due 2022</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4.11 hereof).</w:t>
      </w:r>
    </w:p>
    <w:p>
      <w:pPr>
        <w:spacing w:after="0" w:line="158" w:lineRule="exact"/>
        <w:rPr>
          <w:sz w:val="20"/>
          <w:szCs w:val="20"/>
          <w:color w:val="auto"/>
        </w:rPr>
      </w:pPr>
    </w:p>
    <w:p>
      <w:pPr>
        <w:spacing w:after="0"/>
        <w:rPr>
          <w:rFonts w:ascii="Arial" w:cs="Arial" w:eastAsia="Arial" w:hAnsi="Arial"/>
          <w:sz w:val="17"/>
          <w:szCs w:val="17"/>
          <w:color w:val="0000EE"/>
        </w:rPr>
      </w:pPr>
      <w:hyperlink r:id="rId110">
        <w:r>
          <w:rPr>
            <w:rFonts w:ascii="Arial" w:cs="Arial" w:eastAsia="Arial" w:hAnsi="Arial"/>
            <w:sz w:val="17"/>
            <w:szCs w:val="17"/>
            <w:u w:val="single" w:color="auto"/>
            <w:color w:val="0000EE"/>
          </w:rPr>
          <w:t>Form of 4.75% Senior Note due 2027</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4.12 hereof).</w:t>
      </w:r>
    </w:p>
    <w:p>
      <w:pPr>
        <w:spacing w:after="0" w:line="200" w:lineRule="exact"/>
        <w:rPr>
          <w:sz w:val="20"/>
          <w:szCs w:val="20"/>
          <w:color w:val="auto"/>
        </w:rPr>
      </w:pPr>
    </w:p>
    <w:p>
      <w:pPr>
        <w:sectPr>
          <w:pgSz w:w="11900" w:h="16838" w:orient="portrait"/>
          <w:cols w:equalWidth="0" w:num="2">
            <w:col w:w="520" w:space="680"/>
            <w:col w:w="10220"/>
          </w:cols>
          <w:pgMar w:left="240" w:top="121" w:right="2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29297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5"/>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2"/>
              </w:rPr>
              <w:t>4.9</w:t>
            </w:r>
          </w:p>
        </w:tc>
        <w:tc>
          <w:tcPr>
            <w:tcW w:w="10220" w:type="dxa"/>
            <w:vAlign w:val="bottom"/>
            <w:tcBorders>
              <w:bottom w:val="single" w:sz="8" w:color="0000EE"/>
            </w:tcBorders>
            <w:gridSpan w:val="8"/>
          </w:tcPr>
          <w:p>
            <w:pPr>
              <w:spacing w:after="0"/>
              <w:rPr>
                <w:rFonts w:ascii="Arial" w:cs="Arial" w:eastAsia="Arial" w:hAnsi="Arial"/>
                <w:sz w:val="17"/>
                <w:szCs w:val="17"/>
                <w:color w:val="0000EE"/>
                <w:w w:val="95"/>
              </w:rPr>
            </w:pPr>
            <w:hyperlink r:id="rId112">
              <w:r>
                <w:rPr>
                  <w:rFonts w:ascii="Arial" w:cs="Arial" w:eastAsia="Arial" w:hAnsi="Arial"/>
                  <w:sz w:val="17"/>
                  <w:szCs w:val="17"/>
                  <w:color w:val="0000EE"/>
                  <w:w w:val="95"/>
                </w:rPr>
                <w:t>Supplemental Indenture (2020 Notes), dated as of September 4, 2013, by and among the Company, certain of its subsidiaries, and U.S. Bank</w:t>
              </w:r>
            </w:hyperlink>
          </w:p>
        </w:tc>
        <w:tc>
          <w:tcPr>
            <w:tcW w:w="20" w:type="dxa"/>
            <w:vAlign w:val="bottom"/>
          </w:tcPr>
          <w:p>
            <w:pPr>
              <w:spacing w:after="0"/>
              <w:rPr>
                <w:sz w:val="18"/>
                <w:szCs w:val="18"/>
                <w:color w:val="auto"/>
              </w:rPr>
            </w:pPr>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6"/>
              </w:rPr>
            </w:pPr>
            <w:hyperlink r:id="rId112">
              <w:r>
                <w:rPr>
                  <w:rFonts w:ascii="Arial" w:cs="Arial" w:eastAsia="Arial" w:hAnsi="Arial"/>
                  <w:sz w:val="17"/>
                  <w:szCs w:val="17"/>
                  <w:color w:val="0000EE"/>
                  <w:w w:val="96"/>
                </w:rPr>
                <w:t xml:space="preserve">National Association, as Trustee </w:t>
              </w:r>
              <w:r>
                <w:rPr>
                  <w:rFonts w:ascii="Arial" w:cs="Arial" w:eastAsia="Arial" w:hAnsi="Arial"/>
                  <w:sz w:val="17"/>
                  <w:szCs w:val="17"/>
                  <w:color w:val="000000"/>
                  <w:w w:val="96"/>
                </w:rPr>
                <w:t>(previously filed as Exhibit 4.1 to the Company's Quarterly Report on Form 10-Q (Commission File no. 001-</w:t>
              </w:r>
            </w:hyperlink>
          </w:p>
        </w:tc>
      </w:tr>
      <w:tr>
        <w:trPr>
          <w:trHeight w:val="20"/>
        </w:trPr>
        <w:tc>
          <w:tcPr>
            <w:tcW w:w="12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16109), filed with the Commission on November 7, 2013 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4.10</w:t>
            </w:r>
          </w:p>
        </w:tc>
        <w:tc>
          <w:tcPr>
            <w:tcW w:w="10220" w:type="dxa"/>
            <w:vAlign w:val="bottom"/>
            <w:tcBorders>
              <w:bottom w:val="single" w:sz="8" w:color="0000EE"/>
            </w:tcBorders>
            <w:gridSpan w:val="8"/>
          </w:tcPr>
          <w:p>
            <w:pPr>
              <w:spacing w:after="0"/>
              <w:rPr>
                <w:rFonts w:ascii="Arial" w:cs="Arial" w:eastAsia="Arial" w:hAnsi="Arial"/>
                <w:sz w:val="17"/>
                <w:szCs w:val="17"/>
                <w:color w:val="0000EE"/>
                <w:w w:val="95"/>
              </w:rPr>
            </w:pPr>
            <w:hyperlink r:id="rId113">
              <w:r>
                <w:rPr>
                  <w:rFonts w:ascii="Arial" w:cs="Arial" w:eastAsia="Arial" w:hAnsi="Arial"/>
                  <w:sz w:val="17"/>
                  <w:szCs w:val="17"/>
                  <w:color w:val="0000EE"/>
                  <w:w w:val="95"/>
                </w:rPr>
                <w:t>Supplemental Indenture (2023 Notes), dated as of September 4, 2013, by and among the Company, certain of its subsidiaries, and U.S. Bank</w:t>
              </w:r>
            </w:hyperlink>
          </w:p>
        </w:tc>
        <w:tc>
          <w:tcPr>
            <w:tcW w:w="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6"/>
              </w:rPr>
            </w:pPr>
            <w:hyperlink r:id="rId113">
              <w:r>
                <w:rPr>
                  <w:rFonts w:ascii="Arial" w:cs="Arial" w:eastAsia="Arial" w:hAnsi="Arial"/>
                  <w:sz w:val="17"/>
                  <w:szCs w:val="17"/>
                  <w:color w:val="0000EE"/>
                  <w:w w:val="96"/>
                </w:rPr>
                <w:t xml:space="preserve">National Association, as Trustee </w:t>
              </w:r>
              <w:r>
                <w:rPr>
                  <w:rFonts w:ascii="Arial" w:cs="Arial" w:eastAsia="Arial" w:hAnsi="Arial"/>
                  <w:sz w:val="17"/>
                  <w:szCs w:val="17"/>
                  <w:color w:val="000000"/>
                  <w:w w:val="96"/>
                </w:rPr>
                <w:t>(previously filed as Exhibit 4.2 to the Company's Quarterly Report on Form 10-Q (Commission File no. 001-</w:t>
              </w:r>
            </w:hyperlink>
          </w:p>
        </w:tc>
      </w:tr>
      <w:tr>
        <w:trPr>
          <w:trHeight w:val="20"/>
        </w:trPr>
        <w:tc>
          <w:tcPr>
            <w:tcW w:w="12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16109), filed with the Commission on November 7, 2013 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4.11</w:t>
            </w:r>
          </w:p>
        </w:tc>
        <w:tc>
          <w:tcPr>
            <w:tcW w:w="10220" w:type="dxa"/>
            <w:vAlign w:val="bottom"/>
            <w:tcBorders>
              <w:bottom w:val="single" w:sz="8" w:color="0000EE"/>
            </w:tcBorders>
            <w:gridSpan w:val="8"/>
          </w:tcPr>
          <w:p>
            <w:pPr>
              <w:spacing w:after="0"/>
              <w:rPr>
                <w:rFonts w:ascii="Arial" w:cs="Arial" w:eastAsia="Arial" w:hAnsi="Arial"/>
                <w:sz w:val="17"/>
                <w:szCs w:val="17"/>
                <w:color w:val="0000EE"/>
                <w:w w:val="95"/>
              </w:rPr>
            </w:pPr>
            <w:hyperlink r:id="rId109">
              <w:r>
                <w:rPr>
                  <w:rFonts w:ascii="Arial" w:cs="Arial" w:eastAsia="Arial" w:hAnsi="Arial"/>
                  <w:sz w:val="17"/>
                  <w:szCs w:val="17"/>
                  <w:color w:val="0000EE"/>
                  <w:w w:val="95"/>
                </w:rPr>
                <w:t>First Supplemental Indenture (2022 Notes), dated as of September 25, 2015, by and among the Company, certain of its subsidiaries, and U.S.</w:t>
              </w:r>
            </w:hyperlink>
          </w:p>
        </w:tc>
        <w:tc>
          <w:tcPr>
            <w:tcW w:w="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5"/>
              </w:rPr>
            </w:pPr>
            <w:hyperlink r:id="rId109">
              <w:r>
                <w:rPr>
                  <w:rFonts w:ascii="Arial" w:cs="Arial" w:eastAsia="Arial" w:hAnsi="Arial"/>
                  <w:sz w:val="17"/>
                  <w:szCs w:val="17"/>
                  <w:color w:val="0000EE"/>
                  <w:w w:val="95"/>
                </w:rPr>
                <w:t xml:space="preserve">Bank National Association, as Trustee </w:t>
              </w:r>
              <w:r>
                <w:rPr>
                  <w:rFonts w:ascii="Arial" w:cs="Arial" w:eastAsia="Arial" w:hAnsi="Arial"/>
                  <w:sz w:val="17"/>
                  <w:szCs w:val="17"/>
                  <w:color w:val="000000"/>
                  <w:w w:val="95"/>
                </w:rPr>
                <w:t>(previously filed as Exhibit 4.2 to the Company's Current Report on Form 8-K (Commission File no. 001-</w:t>
              </w:r>
            </w:hyperlink>
          </w:p>
        </w:tc>
      </w:tr>
      <w:tr>
        <w:trPr>
          <w:trHeight w:val="20"/>
        </w:trPr>
        <w:tc>
          <w:tcPr>
            <w:tcW w:w="12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16109), filed with the Commission on September 25, 2015 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4.12</w:t>
            </w:r>
          </w:p>
        </w:tc>
        <w:tc>
          <w:tcPr>
            <w:tcW w:w="10240" w:type="dxa"/>
            <w:vAlign w:val="bottom"/>
            <w:tcBorders>
              <w:bottom w:val="single" w:sz="8" w:color="0000EE"/>
            </w:tcBorders>
            <w:gridSpan w:val="9"/>
          </w:tcPr>
          <w:p>
            <w:pPr>
              <w:spacing w:after="0"/>
              <w:rPr>
                <w:rFonts w:ascii="Arial" w:cs="Arial" w:eastAsia="Arial" w:hAnsi="Arial"/>
                <w:sz w:val="17"/>
                <w:szCs w:val="17"/>
                <w:color w:val="0000EE"/>
                <w:w w:val="92"/>
              </w:rPr>
            </w:pPr>
            <w:hyperlink r:id="rId110">
              <w:r>
                <w:rPr>
                  <w:rFonts w:ascii="Arial" w:cs="Arial" w:eastAsia="Arial" w:hAnsi="Arial"/>
                  <w:sz w:val="17"/>
                  <w:szCs w:val="17"/>
                  <w:color w:val="0000EE"/>
                  <w:w w:val="92"/>
                </w:rPr>
                <w:t>Second Supplemental Indenture (2027 Notes), dated as of October 13, 2017, by and among the Company, the Guarantors, and U.S. Bank National</w:t>
              </w:r>
            </w:hyperlink>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6"/>
              </w:rPr>
            </w:pPr>
            <w:hyperlink r:id="rId110">
              <w:r>
                <w:rPr>
                  <w:rFonts w:ascii="Arial" w:cs="Arial" w:eastAsia="Arial" w:hAnsi="Arial"/>
                  <w:sz w:val="17"/>
                  <w:szCs w:val="17"/>
                  <w:color w:val="0000EE"/>
                  <w:w w:val="96"/>
                </w:rPr>
                <w:t xml:space="preserve">Association, as Trustee </w:t>
              </w:r>
              <w:r>
                <w:rPr>
                  <w:rFonts w:ascii="Arial" w:cs="Arial" w:eastAsia="Arial" w:hAnsi="Arial"/>
                  <w:sz w:val="17"/>
                  <w:szCs w:val="17"/>
                  <w:color w:val="000000"/>
                  <w:w w:val="96"/>
                </w:rPr>
                <w:t>(previously filed as Exhibit 4.2 to the Company's Current Report on Form 8-K (Commission File no. 001-16109), filed</w:t>
              </w:r>
            </w:hyperlink>
          </w:p>
        </w:tc>
      </w:tr>
      <w:tr>
        <w:trPr>
          <w:trHeight w:val="20"/>
        </w:trPr>
        <w:tc>
          <w:tcPr>
            <w:tcW w:w="12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with the Commission on October 13, 2017 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4.13</w:t>
            </w:r>
          </w:p>
        </w:tc>
        <w:tc>
          <w:tcPr>
            <w:tcW w:w="10240" w:type="dxa"/>
            <w:vAlign w:val="bottom"/>
            <w:gridSpan w:val="9"/>
          </w:tcPr>
          <w:p>
            <w:pPr>
              <w:spacing w:after="0"/>
              <w:rPr>
                <w:rFonts w:ascii="Arial" w:cs="Arial" w:eastAsia="Arial" w:hAnsi="Arial"/>
                <w:sz w:val="17"/>
                <w:szCs w:val="17"/>
                <w:color w:val="0000EE"/>
                <w:w w:val="96"/>
              </w:rPr>
            </w:pPr>
            <w:hyperlink r:id="rId114">
              <w:r>
                <w:rPr>
                  <w:rFonts w:ascii="Arial" w:cs="Arial" w:eastAsia="Arial" w:hAnsi="Arial"/>
                  <w:sz w:val="17"/>
                  <w:szCs w:val="17"/>
                  <w:color w:val="0000EE"/>
                  <w:w w:val="96"/>
                </w:rPr>
                <w:t xml:space="preserve">Schedule of additional Supplemental Indentures (2020 Notes), relating to the Supplemental Indenture in Exhibit 4.9 hereof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w:t>
            </w:r>
          </w:p>
        </w:tc>
      </w:tr>
      <w:tr>
        <w:trPr>
          <w:trHeight w:val="20"/>
        </w:trPr>
        <w:tc>
          <w:tcPr>
            <w:tcW w:w="120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5"/>
              </w:rPr>
              <w:t>Exhibit 4.11 to the Company's Annual Report on Form 10-K (Commission File no. 001-16109), filed with the Commission on February 25, 2016</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4.14</w:t>
            </w:r>
          </w:p>
        </w:tc>
        <w:tc>
          <w:tcPr>
            <w:tcW w:w="10240" w:type="dxa"/>
            <w:vAlign w:val="bottom"/>
            <w:gridSpan w:val="9"/>
          </w:tcPr>
          <w:p>
            <w:pPr>
              <w:spacing w:after="0"/>
              <w:rPr>
                <w:rFonts w:ascii="Arial" w:cs="Arial" w:eastAsia="Arial" w:hAnsi="Arial"/>
                <w:sz w:val="17"/>
                <w:szCs w:val="17"/>
                <w:color w:val="0000EE"/>
                <w:w w:val="95"/>
              </w:rPr>
            </w:pPr>
            <w:hyperlink r:id="rId115">
              <w:r>
                <w:rPr>
                  <w:rFonts w:ascii="Arial" w:cs="Arial" w:eastAsia="Arial" w:hAnsi="Arial"/>
                  <w:sz w:val="17"/>
                  <w:szCs w:val="17"/>
                  <w:color w:val="0000EE"/>
                  <w:w w:val="95"/>
                </w:rPr>
                <w:t xml:space="preserve">Schedule of additional Supplemental Indentures (2023 Notes), relating to the Supplemental Indenture in Exhibit 4.10 hereof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w:t>
            </w:r>
          </w:p>
        </w:tc>
      </w:tr>
      <w:tr>
        <w:trPr>
          <w:trHeight w:val="20"/>
        </w:trPr>
        <w:tc>
          <w:tcPr>
            <w:tcW w:w="120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5"/>
              </w:rPr>
              <w:t>Exhibit 4.12 to the Company's Annual Report on Form 10-K (Commission File no. 001-16109), filed with the Commission on February 25, 2016</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and incorporated herein by this reference).</w:t>
            </w:r>
          </w:p>
        </w:tc>
      </w:tr>
      <w:tr>
        <w:trPr>
          <w:trHeight w:val="288"/>
        </w:trPr>
        <w:tc>
          <w:tcPr>
            <w:tcW w:w="1200" w:type="dxa"/>
            <w:vAlign w:val="bottom"/>
          </w:tcPr>
          <w:p>
            <w:pPr>
              <w:jc w:val="center"/>
              <w:ind w:right="453"/>
              <w:spacing w:after="0"/>
              <w:rPr>
                <w:sz w:val="20"/>
                <w:szCs w:val="20"/>
                <w:color w:val="auto"/>
              </w:rPr>
            </w:pPr>
            <w:r>
              <w:rPr>
                <w:rFonts w:ascii="Arial" w:cs="Arial" w:eastAsia="Arial" w:hAnsi="Arial"/>
                <w:sz w:val="17"/>
                <w:szCs w:val="17"/>
                <w:color w:val="auto"/>
                <w:w w:val="90"/>
              </w:rPr>
              <w:t>4.15</w:t>
            </w:r>
          </w:p>
        </w:tc>
        <w:tc>
          <w:tcPr>
            <w:tcW w:w="10240" w:type="dxa"/>
            <w:vAlign w:val="bottom"/>
            <w:gridSpan w:val="9"/>
          </w:tcPr>
          <w:p>
            <w:pPr>
              <w:spacing w:after="0"/>
              <w:rPr>
                <w:rFonts w:ascii="Arial" w:cs="Arial" w:eastAsia="Arial" w:hAnsi="Arial"/>
                <w:sz w:val="17"/>
                <w:szCs w:val="17"/>
                <w:color w:val="0000EE"/>
                <w:w w:val="95"/>
              </w:rPr>
            </w:pPr>
            <w:hyperlink r:id="rId116">
              <w:r>
                <w:rPr>
                  <w:rFonts w:ascii="Arial" w:cs="Arial" w:eastAsia="Arial" w:hAnsi="Arial"/>
                  <w:sz w:val="17"/>
                  <w:szCs w:val="17"/>
                  <w:color w:val="0000EE"/>
                  <w:w w:val="95"/>
                </w:rPr>
                <w:t xml:space="preserve">Schedule of additional Supplemental Indentures (2022 Notes), relating to the Supplemental Indenture in Exhibit 4.11 hereof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w:t>
            </w:r>
          </w:p>
        </w:tc>
      </w:tr>
      <w:tr>
        <w:trPr>
          <w:trHeight w:val="20"/>
        </w:trPr>
        <w:tc>
          <w:tcPr>
            <w:tcW w:w="120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5"/>
              </w:rPr>
              <w:t>Exhibit 4.13 to the Company's Annual Report on Form 10-K (Commission File no. 001-16109), filed with the Commission on February 25, 2016</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and incorporated herein by this reference).</w:t>
            </w:r>
          </w:p>
        </w:tc>
      </w:tr>
      <w:tr>
        <w:trPr>
          <w:trHeight w:val="288"/>
        </w:trPr>
        <w:tc>
          <w:tcPr>
            <w:tcW w:w="1200" w:type="dxa"/>
            <w:vAlign w:val="bottom"/>
          </w:tcPr>
          <w:p>
            <w:pPr>
              <w:jc w:val="right"/>
              <w:ind w:right="713"/>
              <w:spacing w:after="0"/>
              <w:rPr>
                <w:sz w:val="20"/>
                <w:szCs w:val="20"/>
                <w:color w:val="auto"/>
              </w:rPr>
            </w:pPr>
            <w:r>
              <w:rPr>
                <w:rFonts w:ascii="Arial" w:cs="Arial" w:eastAsia="Arial" w:hAnsi="Arial"/>
                <w:sz w:val="17"/>
                <w:szCs w:val="17"/>
                <w:color w:val="auto"/>
              </w:rPr>
              <w:t>10.1</w:t>
            </w:r>
          </w:p>
        </w:tc>
        <w:tc>
          <w:tcPr>
            <w:tcW w:w="10240" w:type="dxa"/>
            <w:vAlign w:val="bottom"/>
            <w:tcBorders>
              <w:bottom w:val="single" w:sz="8" w:color="0000EE"/>
            </w:tcBorders>
            <w:gridSpan w:val="9"/>
          </w:tcPr>
          <w:p>
            <w:pPr>
              <w:spacing w:after="0"/>
              <w:rPr>
                <w:rFonts w:ascii="Arial" w:cs="Arial" w:eastAsia="Arial" w:hAnsi="Arial"/>
                <w:sz w:val="17"/>
                <w:szCs w:val="17"/>
                <w:color w:val="0000EE"/>
                <w:w w:val="94"/>
              </w:rPr>
            </w:pPr>
            <w:hyperlink r:id="rId117">
              <w:r>
                <w:rPr>
                  <w:rFonts w:ascii="Arial" w:cs="Arial" w:eastAsia="Arial" w:hAnsi="Arial"/>
                  <w:sz w:val="17"/>
                  <w:szCs w:val="17"/>
                  <w:color w:val="0000EE"/>
                  <w:w w:val="94"/>
                </w:rPr>
                <w:t>Amended and Restated Credit Agreement, dated as of January 6, 2012, by and among the Company, as Borrower, certain lenders and Bank of</w:t>
              </w:r>
            </w:hyperlink>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6"/>
              </w:rPr>
            </w:pPr>
            <w:hyperlink r:id="rId117">
              <w:r>
                <w:rPr>
                  <w:rFonts w:ascii="Arial" w:cs="Arial" w:eastAsia="Arial" w:hAnsi="Arial"/>
                  <w:sz w:val="17"/>
                  <w:szCs w:val="17"/>
                  <w:color w:val="0000EE"/>
                  <w:w w:val="96"/>
                </w:rPr>
                <w:t xml:space="preserve">America, N.A., as Administrative Agent and Wells Fargo Bank, National Association, as Syndication Agent for the lenders </w:t>
              </w:r>
              <w:r>
                <w:rPr>
                  <w:rFonts w:ascii="Arial" w:cs="Arial" w:eastAsia="Arial" w:hAnsi="Arial"/>
                  <w:sz w:val="17"/>
                  <w:szCs w:val="17"/>
                  <w:color w:val="000000"/>
                  <w:w w:val="96"/>
                </w:rPr>
                <w:t>(previously filed as</w:t>
              </w:r>
            </w:hyperlink>
          </w:p>
        </w:tc>
      </w:tr>
      <w:tr>
        <w:trPr>
          <w:trHeight w:val="20"/>
        </w:trPr>
        <w:tc>
          <w:tcPr>
            <w:tcW w:w="120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6"/>
              </w:rPr>
              <w:t>Exhibit 10.1 to the Company's Current Report on Form 8-K (Commission File no. 001-16109), filed with the Commission on January 10, 2012</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and incorporated herein by this reference).</w:t>
            </w:r>
          </w:p>
        </w:tc>
      </w:tr>
      <w:tr>
        <w:trPr>
          <w:trHeight w:val="288"/>
        </w:trPr>
        <w:tc>
          <w:tcPr>
            <w:tcW w:w="1200" w:type="dxa"/>
            <w:vAlign w:val="bottom"/>
          </w:tcPr>
          <w:p>
            <w:pPr>
              <w:jc w:val="right"/>
              <w:ind w:right="713"/>
              <w:spacing w:after="0"/>
              <w:rPr>
                <w:sz w:val="20"/>
                <w:szCs w:val="20"/>
                <w:color w:val="auto"/>
              </w:rPr>
            </w:pPr>
            <w:r>
              <w:rPr>
                <w:rFonts w:ascii="Arial" w:cs="Arial" w:eastAsia="Arial" w:hAnsi="Arial"/>
                <w:sz w:val="17"/>
                <w:szCs w:val="17"/>
                <w:color w:val="auto"/>
              </w:rPr>
              <w:t>10.2</w:t>
            </w:r>
          </w:p>
        </w:tc>
        <w:tc>
          <w:tcPr>
            <w:tcW w:w="10240" w:type="dxa"/>
            <w:vAlign w:val="bottom"/>
            <w:tcBorders>
              <w:bottom w:val="single" w:sz="8" w:color="0000EE"/>
            </w:tcBorders>
            <w:gridSpan w:val="9"/>
          </w:tcPr>
          <w:p>
            <w:pPr>
              <w:spacing w:after="0"/>
              <w:rPr>
                <w:rFonts w:ascii="Arial" w:cs="Arial" w:eastAsia="Arial" w:hAnsi="Arial"/>
                <w:sz w:val="17"/>
                <w:szCs w:val="17"/>
                <w:color w:val="0000EE"/>
                <w:w w:val="96"/>
              </w:rPr>
            </w:pPr>
            <w:hyperlink r:id="rId118">
              <w:r>
                <w:rPr>
                  <w:rFonts w:ascii="Arial" w:cs="Arial" w:eastAsia="Arial" w:hAnsi="Arial"/>
                  <w:sz w:val="17"/>
                  <w:szCs w:val="17"/>
                  <w:color w:val="0000EE"/>
                  <w:w w:val="96"/>
                </w:rPr>
                <w:t>Amendment to the Amended and Restated Credit Agreement, dated as of March 22, 2013, by and among the Company, as Borrower, certain</w:t>
              </w:r>
            </w:hyperlink>
          </w:p>
        </w:tc>
      </w:tr>
      <w:tr>
        <w:trPr>
          <w:trHeight w:val="190"/>
        </w:trPr>
        <w:tc>
          <w:tcPr>
            <w:tcW w:w="1200" w:type="dxa"/>
            <w:vAlign w:val="bottom"/>
          </w:tcPr>
          <w:p>
            <w:pPr>
              <w:spacing w:after="0"/>
              <w:rPr>
                <w:sz w:val="16"/>
                <w:szCs w:val="16"/>
                <w:color w:val="auto"/>
              </w:rPr>
            </w:pPr>
          </w:p>
        </w:tc>
        <w:tc>
          <w:tcPr>
            <w:tcW w:w="10240" w:type="dxa"/>
            <w:vAlign w:val="bottom"/>
            <w:tcBorders>
              <w:bottom w:val="single" w:sz="8" w:color="0000EE"/>
            </w:tcBorders>
            <w:gridSpan w:val="9"/>
          </w:tcPr>
          <w:p>
            <w:pPr>
              <w:spacing w:after="0" w:line="189" w:lineRule="exact"/>
              <w:rPr>
                <w:rFonts w:ascii="Arial" w:cs="Arial" w:eastAsia="Arial" w:hAnsi="Arial"/>
                <w:sz w:val="17"/>
                <w:szCs w:val="17"/>
                <w:color w:val="0000EE"/>
                <w:w w:val="95"/>
              </w:rPr>
            </w:pPr>
            <w:hyperlink r:id="rId118">
              <w:r>
                <w:rPr>
                  <w:rFonts w:ascii="Arial" w:cs="Arial" w:eastAsia="Arial" w:hAnsi="Arial"/>
                  <w:sz w:val="17"/>
                  <w:szCs w:val="17"/>
                  <w:color w:val="0000EE"/>
                  <w:w w:val="95"/>
                </w:rPr>
                <w:t>lenders and Bank of America, N.A., as Administrative Agent and Wells Fargo Bank, National Association, as Syndication Agent for the lenders</w:t>
              </w:r>
            </w:hyperlink>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5"/>
              </w:rPr>
              <w:t>(previously filed as Exhibit 10.1 to the Company's Current Report on Form 8-K (Commission File no. 001-16109), filed with the Commission on</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March 25, 2013 and incorporated herein by this reference).</w:t>
            </w:r>
          </w:p>
        </w:tc>
      </w:tr>
      <w:tr>
        <w:trPr>
          <w:trHeight w:val="288"/>
        </w:trPr>
        <w:tc>
          <w:tcPr>
            <w:tcW w:w="1200" w:type="dxa"/>
            <w:vAlign w:val="bottom"/>
          </w:tcPr>
          <w:p>
            <w:pPr>
              <w:jc w:val="right"/>
              <w:ind w:right="713"/>
              <w:spacing w:after="0"/>
              <w:rPr>
                <w:sz w:val="20"/>
                <w:szCs w:val="20"/>
                <w:color w:val="auto"/>
              </w:rPr>
            </w:pPr>
            <w:r>
              <w:rPr>
                <w:rFonts w:ascii="Arial" w:cs="Arial" w:eastAsia="Arial" w:hAnsi="Arial"/>
                <w:sz w:val="17"/>
                <w:szCs w:val="17"/>
                <w:color w:val="auto"/>
              </w:rPr>
              <w:t>10.3</w:t>
            </w:r>
          </w:p>
        </w:tc>
        <w:tc>
          <w:tcPr>
            <w:tcW w:w="10240" w:type="dxa"/>
            <w:vAlign w:val="bottom"/>
            <w:tcBorders>
              <w:bottom w:val="single" w:sz="8" w:color="0000EE"/>
            </w:tcBorders>
            <w:gridSpan w:val="9"/>
          </w:tcPr>
          <w:p>
            <w:pPr>
              <w:spacing w:after="0"/>
              <w:rPr>
                <w:rFonts w:ascii="Arial" w:cs="Arial" w:eastAsia="Arial" w:hAnsi="Arial"/>
                <w:sz w:val="17"/>
                <w:szCs w:val="17"/>
                <w:color w:val="0000EE"/>
                <w:w w:val="92"/>
              </w:rPr>
            </w:pPr>
            <w:hyperlink r:id="rId119">
              <w:r>
                <w:rPr>
                  <w:rFonts w:ascii="Arial" w:cs="Arial" w:eastAsia="Arial" w:hAnsi="Arial"/>
                  <w:sz w:val="17"/>
                  <w:szCs w:val="17"/>
                  <w:color w:val="0000EE"/>
                  <w:w w:val="92"/>
                </w:rPr>
                <w:t>Second Amendment to the Amended and Restated Credit Agreement, dated as of July 22, 2015, by and among the Company, as Borrower, certain</w:t>
              </w:r>
            </w:hyperlink>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8"/>
              </w:rPr>
            </w:pPr>
            <w:hyperlink r:id="rId119">
              <w:r>
                <w:rPr>
                  <w:rFonts w:ascii="Arial" w:cs="Arial" w:eastAsia="Arial" w:hAnsi="Arial"/>
                  <w:sz w:val="17"/>
                  <w:szCs w:val="17"/>
                  <w:color w:val="0000EE"/>
                  <w:w w:val="98"/>
                </w:rPr>
                <w:t xml:space="preserve">lenders and Bank of America, N.A., as Administrative Agent </w:t>
              </w:r>
              <w:r>
                <w:rPr>
                  <w:rFonts w:ascii="Arial" w:cs="Arial" w:eastAsia="Arial" w:hAnsi="Arial"/>
                  <w:sz w:val="17"/>
                  <w:szCs w:val="17"/>
                  <w:color w:val="000000"/>
                  <w:w w:val="98"/>
                </w:rPr>
                <w:t>(previously filed as Exhibit 10.1 to the Company's Current Report on Form 8-K</w:t>
              </w:r>
            </w:hyperlink>
          </w:p>
        </w:tc>
      </w:tr>
      <w:tr>
        <w:trPr>
          <w:trHeight w:val="20"/>
        </w:trPr>
        <w:tc>
          <w:tcPr>
            <w:tcW w:w="120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(Commission File no. 001-16109), filed with the Commission on July 24, 2015 and incorporated herein by this reference).</w:t>
            </w:r>
          </w:p>
        </w:tc>
      </w:tr>
      <w:tr>
        <w:trPr>
          <w:trHeight w:val="288"/>
        </w:trPr>
        <w:tc>
          <w:tcPr>
            <w:tcW w:w="1200" w:type="dxa"/>
            <w:vAlign w:val="bottom"/>
          </w:tcPr>
          <w:p>
            <w:pPr>
              <w:jc w:val="right"/>
              <w:ind w:right="713"/>
              <w:spacing w:after="0"/>
              <w:rPr>
                <w:sz w:val="20"/>
                <w:szCs w:val="20"/>
                <w:color w:val="auto"/>
              </w:rPr>
            </w:pPr>
            <w:r>
              <w:rPr>
                <w:rFonts w:ascii="Arial" w:cs="Arial" w:eastAsia="Arial" w:hAnsi="Arial"/>
                <w:sz w:val="17"/>
                <w:szCs w:val="17"/>
                <w:color w:val="auto"/>
              </w:rPr>
              <w:t>10.4</w:t>
            </w:r>
          </w:p>
        </w:tc>
        <w:tc>
          <w:tcPr>
            <w:tcW w:w="10240" w:type="dxa"/>
            <w:vAlign w:val="bottom"/>
            <w:tcBorders>
              <w:bottom w:val="single" w:sz="8" w:color="0000EE"/>
            </w:tcBorders>
            <w:gridSpan w:val="9"/>
          </w:tcPr>
          <w:p>
            <w:pPr>
              <w:spacing w:after="0"/>
              <w:rPr>
                <w:rFonts w:ascii="Arial" w:cs="Arial" w:eastAsia="Arial" w:hAnsi="Arial"/>
                <w:sz w:val="17"/>
                <w:szCs w:val="17"/>
                <w:color w:val="0000EE"/>
                <w:w w:val="94"/>
              </w:rPr>
            </w:pPr>
            <w:hyperlink r:id="rId120">
              <w:r>
                <w:rPr>
                  <w:rFonts w:ascii="Arial" w:cs="Arial" w:eastAsia="Arial" w:hAnsi="Arial"/>
                  <w:sz w:val="17"/>
                  <w:szCs w:val="17"/>
                  <w:color w:val="0000EE"/>
                  <w:w w:val="94"/>
                </w:rPr>
                <w:t>Third Amendment and Incremental Term Loan Agreement to the Amended and Restated Credit Agreement, dated as of October 6, 2015, by and</w:t>
              </w:r>
            </w:hyperlink>
          </w:p>
        </w:tc>
      </w:tr>
      <w:tr>
        <w:trPr>
          <w:trHeight w:val="190"/>
        </w:trPr>
        <w:tc>
          <w:tcPr>
            <w:tcW w:w="1200" w:type="dxa"/>
            <w:vAlign w:val="bottom"/>
          </w:tcPr>
          <w:p>
            <w:pPr>
              <w:spacing w:after="0"/>
              <w:rPr>
                <w:sz w:val="16"/>
                <w:szCs w:val="16"/>
                <w:color w:val="auto"/>
              </w:rPr>
            </w:pPr>
          </w:p>
        </w:tc>
        <w:tc>
          <w:tcPr>
            <w:tcW w:w="10240" w:type="dxa"/>
            <w:vAlign w:val="bottom"/>
            <w:gridSpan w:val="9"/>
          </w:tcPr>
          <w:p>
            <w:pPr>
              <w:spacing w:after="0" w:line="189" w:lineRule="exact"/>
              <w:rPr>
                <w:rFonts w:ascii="Arial" w:cs="Arial" w:eastAsia="Arial" w:hAnsi="Arial"/>
                <w:sz w:val="17"/>
                <w:szCs w:val="17"/>
                <w:color w:val="0000EE"/>
                <w:w w:val="96"/>
              </w:rPr>
            </w:pPr>
            <w:hyperlink r:id="rId120">
              <w:r>
                <w:rPr>
                  <w:rFonts w:ascii="Arial" w:cs="Arial" w:eastAsia="Arial" w:hAnsi="Arial"/>
                  <w:sz w:val="17"/>
                  <w:szCs w:val="17"/>
                  <w:color w:val="0000EE"/>
                  <w:w w:val="96"/>
                </w:rPr>
                <w:t xml:space="preserve">among the Company, as Borrower, certain lenders and Bank of America, N.A., as Administrative Agent </w:t>
              </w:r>
              <w:r>
                <w:rPr>
                  <w:rFonts w:ascii="Arial" w:cs="Arial" w:eastAsia="Arial" w:hAnsi="Arial"/>
                  <w:sz w:val="17"/>
                  <w:szCs w:val="17"/>
                  <w:color w:val="000000"/>
                  <w:w w:val="96"/>
                </w:rPr>
                <w:t>(previously filed as Exhibit 10.1 to the</w:t>
              </w:r>
            </w:hyperlink>
          </w:p>
        </w:tc>
      </w:tr>
      <w:tr>
        <w:trPr>
          <w:trHeight w:val="20"/>
        </w:trPr>
        <w:tc>
          <w:tcPr>
            <w:tcW w:w="1200" w:type="dxa"/>
            <w:vAlign w:val="bottom"/>
          </w:tcPr>
          <w:p>
            <w:pPr>
              <w:spacing w:after="0" w:line="20" w:lineRule="exact"/>
              <w:rPr>
                <w:sz w:val="1"/>
                <w:szCs w:val="1"/>
                <w:color w:val="auto"/>
              </w:rPr>
            </w:pPr>
          </w:p>
        </w:tc>
        <w:tc>
          <w:tcPr>
            <w:tcW w:w="7400" w:type="dxa"/>
            <w:vAlign w:val="bottom"/>
            <w:gridSpan w:val="5"/>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w w:val="98"/>
              </w:rPr>
              <w:t>Company's Current Report on Form 8-K (Commission File no. 001-16109), filed with the Commission on October 7, 2015 and incorporated</w:t>
            </w:r>
          </w:p>
        </w:tc>
      </w:tr>
      <w:tr>
        <w:trPr>
          <w:trHeight w:val="222"/>
        </w:trPr>
        <w:tc>
          <w:tcPr>
            <w:tcW w:w="120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auto"/>
              </w:rPr>
              <w:t>herein by this reference).</w:t>
            </w:r>
          </w:p>
        </w:tc>
      </w:tr>
      <w:tr>
        <w:trPr>
          <w:trHeight w:val="537"/>
        </w:trPr>
        <w:tc>
          <w:tcPr>
            <w:tcW w:w="1200" w:type="dxa"/>
            <w:vAlign w:val="bottom"/>
          </w:tcPr>
          <w:p>
            <w:pPr>
              <w:spacing w:after="0"/>
              <w:rPr>
                <w:sz w:val="24"/>
                <w:szCs w:val="24"/>
                <w:color w:val="auto"/>
              </w:rPr>
            </w:pPr>
          </w:p>
        </w:tc>
        <w:tc>
          <w:tcPr>
            <w:tcW w:w="7400" w:type="dxa"/>
            <w:vAlign w:val="bottom"/>
            <w:gridSpan w:val="5"/>
          </w:tcPr>
          <w:p>
            <w:pPr>
              <w:ind w:left="4420"/>
              <w:spacing w:after="0"/>
              <w:rPr>
                <w:sz w:val="20"/>
                <w:szCs w:val="20"/>
                <w:color w:val="auto"/>
              </w:rPr>
            </w:pPr>
            <w:r>
              <w:rPr>
                <w:rFonts w:ascii="Arial" w:cs="Arial" w:eastAsia="Arial" w:hAnsi="Arial"/>
                <w:sz w:val="17"/>
                <w:szCs w:val="17"/>
                <w:color w:val="auto"/>
              </w:rPr>
              <w:t>87</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94"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1200" w:type="dxa"/>
            <w:vAlign w:val="bottom"/>
          </w:tcPr>
          <w:p>
            <w:pPr>
              <w:ind w:left="100"/>
              <w:spacing w:after="0"/>
              <w:rPr>
                <w:sz w:val="20"/>
                <w:szCs w:val="20"/>
                <w:color w:val="auto"/>
              </w:rPr>
            </w:pPr>
            <w:r>
              <w:rPr>
                <w:rFonts w:ascii="Arial" w:cs="Arial" w:eastAsia="Arial" w:hAnsi="Arial"/>
                <w:sz w:val="17"/>
                <w:szCs w:val="17"/>
                <w:color w:val="auto"/>
              </w:rPr>
              <w:t>10.5</w:t>
            </w:r>
          </w:p>
        </w:tc>
        <w:tc>
          <w:tcPr>
            <w:tcW w:w="10240" w:type="dxa"/>
            <w:vAlign w:val="bottom"/>
            <w:gridSpan w:val="10"/>
          </w:tcPr>
          <w:p>
            <w:pPr>
              <w:spacing w:after="0"/>
              <w:rPr>
                <w:rFonts w:ascii="Arial" w:cs="Arial" w:eastAsia="Arial" w:hAnsi="Arial"/>
                <w:sz w:val="17"/>
                <w:szCs w:val="17"/>
                <w:color w:val="0000EE"/>
                <w:w w:val="95"/>
              </w:rPr>
            </w:pPr>
            <w:hyperlink r:id="rId123">
              <w:r>
                <w:rPr>
                  <w:rFonts w:ascii="Arial" w:cs="Arial" w:eastAsia="Arial" w:hAnsi="Arial"/>
                  <w:sz w:val="17"/>
                  <w:szCs w:val="17"/>
                  <w:color w:val="0000EE"/>
                  <w:w w:val="95"/>
                </w:rPr>
                <w:t xml:space="preserve">The Company's Amended and Restated 2000 Stock Incentive Plan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10.20 to the Company's Annual Report on Form</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10-K (Commission File no. 001-16109), filed with the Commission on March 12, 2004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10.6</w:t>
            </w:r>
          </w:p>
        </w:tc>
        <w:tc>
          <w:tcPr>
            <w:tcW w:w="10240" w:type="dxa"/>
            <w:vAlign w:val="bottom"/>
            <w:gridSpan w:val="10"/>
          </w:tcPr>
          <w:p>
            <w:pPr>
              <w:spacing w:after="0"/>
              <w:rPr>
                <w:rFonts w:ascii="Arial" w:cs="Arial" w:eastAsia="Arial" w:hAnsi="Arial"/>
                <w:sz w:val="17"/>
                <w:szCs w:val="17"/>
                <w:color w:val="0000EE"/>
                <w:w w:val="98"/>
              </w:rPr>
            </w:pPr>
            <w:hyperlink r:id="rId124">
              <w:r>
                <w:rPr>
                  <w:rFonts w:ascii="Arial" w:cs="Arial" w:eastAsia="Arial" w:hAnsi="Arial"/>
                  <w:sz w:val="17"/>
                  <w:szCs w:val="17"/>
                  <w:color w:val="0000EE"/>
                  <w:w w:val="98"/>
                </w:rPr>
                <w:t xml:space="preserve">Amendment No. 1 to the Company's Amended and Restated 2000 Stock Incentive Plan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Exhibit 10.1 to the Company's</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5"/>
              </w:rPr>
              <w:t>Quarterly Report on Form 10-Q (Commission File no. 001-16109), filed with the Commission on November 5, 2004 and incorporated herein by</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10.7</w:t>
            </w:r>
          </w:p>
        </w:tc>
        <w:tc>
          <w:tcPr>
            <w:tcW w:w="10240" w:type="dxa"/>
            <w:vAlign w:val="bottom"/>
            <w:gridSpan w:val="10"/>
          </w:tcPr>
          <w:p>
            <w:pPr>
              <w:spacing w:after="0"/>
              <w:rPr>
                <w:rFonts w:ascii="Arial" w:cs="Arial" w:eastAsia="Arial" w:hAnsi="Arial"/>
                <w:sz w:val="17"/>
                <w:szCs w:val="17"/>
                <w:color w:val="0000EE"/>
                <w:w w:val="98"/>
              </w:rPr>
            </w:pPr>
            <w:hyperlink r:id="rId125">
              <w:r>
                <w:rPr>
                  <w:rFonts w:ascii="Arial" w:cs="Arial" w:eastAsia="Arial" w:hAnsi="Arial"/>
                  <w:sz w:val="17"/>
                  <w:szCs w:val="17"/>
                  <w:color w:val="0000EE"/>
                  <w:w w:val="98"/>
                </w:rPr>
                <w:t xml:space="preserve">First Amendment to Amended and Restated 2000 Stock Incentive Plan of the Company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Exhibit 10.1 to the Company's</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5"/>
              </w:rPr>
              <w:t>Quarterly Report on Form 10-Q (Commission File no. 001-16109), filed with the Commission on August 7, 2008 and incorporated herein by this</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10.8</w:t>
            </w:r>
          </w:p>
        </w:tc>
        <w:tc>
          <w:tcPr>
            <w:tcW w:w="10240" w:type="dxa"/>
            <w:vAlign w:val="bottom"/>
            <w:gridSpan w:val="10"/>
          </w:tcPr>
          <w:p>
            <w:pPr>
              <w:spacing w:after="0"/>
              <w:rPr>
                <w:rFonts w:ascii="Arial" w:cs="Arial" w:eastAsia="Arial" w:hAnsi="Arial"/>
                <w:sz w:val="17"/>
                <w:szCs w:val="17"/>
                <w:color w:val="0000EE"/>
                <w:w w:val="96"/>
              </w:rPr>
            </w:pPr>
            <w:hyperlink r:id="rId126">
              <w:r>
                <w:rPr>
                  <w:rFonts w:ascii="Arial" w:cs="Arial" w:eastAsia="Arial" w:hAnsi="Arial"/>
                  <w:sz w:val="17"/>
                  <w:szCs w:val="17"/>
                  <w:color w:val="0000EE"/>
                  <w:w w:val="96"/>
                </w:rPr>
                <w:t xml:space="preserve">Second Amendment to Amended and Restated 2000 Stock Incentive Plan of the Company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10.3 to the Company's</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6"/>
              </w:rPr>
              <w:t>Current Report on Form 8-K (Commission File no. 001-16109), filed with the Commission on August 18, 2009 and incorporated herein by this</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10.9</w:t>
            </w:r>
          </w:p>
        </w:tc>
        <w:tc>
          <w:tcPr>
            <w:tcW w:w="10240" w:type="dxa"/>
            <w:vAlign w:val="bottom"/>
            <w:gridSpan w:val="10"/>
          </w:tcPr>
          <w:p>
            <w:pPr>
              <w:spacing w:after="0"/>
              <w:rPr>
                <w:rFonts w:ascii="Arial" w:cs="Arial" w:eastAsia="Arial" w:hAnsi="Arial"/>
                <w:sz w:val="17"/>
                <w:szCs w:val="17"/>
                <w:color w:val="0000EE"/>
                <w:w w:val="98"/>
              </w:rPr>
            </w:pPr>
            <w:hyperlink r:id="rId127">
              <w:r>
                <w:rPr>
                  <w:rFonts w:ascii="Arial" w:cs="Arial" w:eastAsia="Arial" w:hAnsi="Arial"/>
                  <w:sz w:val="17"/>
                  <w:szCs w:val="17"/>
                  <w:color w:val="0000EE"/>
                  <w:w w:val="98"/>
                </w:rPr>
                <w:t xml:space="preserve">The Company's Non-Employee Directors' Compensation Plan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Appendix C to the Company's definitive Proxy Statement</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5"/>
              </w:rPr>
              <w:t>relating to its Annual Meeting of Stockholders (Commission File no. 001-16109), filed with the Commission on April 11, 2003 and incorporated</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10.10</w:t>
            </w:r>
          </w:p>
        </w:tc>
        <w:tc>
          <w:tcPr>
            <w:tcW w:w="10240" w:type="dxa"/>
            <w:vAlign w:val="bottom"/>
            <w:gridSpan w:val="10"/>
          </w:tcPr>
          <w:p>
            <w:pPr>
              <w:spacing w:after="0"/>
              <w:rPr>
                <w:rFonts w:ascii="Arial" w:cs="Arial" w:eastAsia="Arial" w:hAnsi="Arial"/>
                <w:sz w:val="17"/>
                <w:szCs w:val="17"/>
                <w:color w:val="0000EE"/>
                <w:w w:val="94"/>
              </w:rPr>
            </w:pPr>
            <w:hyperlink r:id="rId128">
              <w:r>
                <w:rPr>
                  <w:rFonts w:ascii="Arial" w:cs="Arial" w:eastAsia="Arial" w:hAnsi="Arial"/>
                  <w:sz w:val="17"/>
                  <w:szCs w:val="17"/>
                  <w:color w:val="0000EE"/>
                  <w:w w:val="94"/>
                </w:rPr>
                <w:t xml:space="preserve">Form of Employee Non-qualified Stock Option Agreement for the Company's Amended and Restated 2000 Stock Incentive Plan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5"/>
              </w:rPr>
              <w:t>as Exhibit 10.15 to the Company's Annual Report on Form 10-K (Commission File no. 001-16109), filed with the Commission on March 7, 2006</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10.11</w:t>
            </w:r>
          </w:p>
        </w:tc>
        <w:tc>
          <w:tcPr>
            <w:tcW w:w="10240" w:type="dxa"/>
            <w:vAlign w:val="bottom"/>
            <w:gridSpan w:val="10"/>
          </w:tcPr>
          <w:p>
            <w:pPr>
              <w:spacing w:after="0"/>
              <w:rPr>
                <w:rFonts w:ascii="Arial" w:cs="Arial" w:eastAsia="Arial" w:hAnsi="Arial"/>
                <w:sz w:val="17"/>
                <w:szCs w:val="17"/>
                <w:color w:val="0000EE"/>
                <w:w w:val="95"/>
              </w:rPr>
            </w:pPr>
            <w:hyperlink r:id="rId129">
              <w:r>
                <w:rPr>
                  <w:rFonts w:ascii="Arial" w:cs="Arial" w:eastAsia="Arial" w:hAnsi="Arial"/>
                  <w:sz w:val="17"/>
                  <w:szCs w:val="17"/>
                  <w:color w:val="0000EE"/>
                  <w:w w:val="95"/>
                </w:rPr>
                <w:t xml:space="preserve">Form of Director Non-qualified Stock Option Agreement for the Company's Amended and Restated 2000 Stock Incentive Plan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7"/>
              </w:rPr>
              <w:t>as Exhibit 10.1 to the Company's Quarterly Report on Form 10-Q (Commission File no. 001-16109), filed with the Commission on August 7,</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2007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10.12</w:t>
            </w:r>
          </w:p>
        </w:tc>
        <w:tc>
          <w:tcPr>
            <w:tcW w:w="10240" w:type="dxa"/>
            <w:vAlign w:val="bottom"/>
            <w:gridSpan w:val="10"/>
          </w:tcPr>
          <w:p>
            <w:pPr>
              <w:spacing w:after="0"/>
              <w:rPr>
                <w:rFonts w:ascii="Arial" w:cs="Arial" w:eastAsia="Arial" w:hAnsi="Arial"/>
                <w:sz w:val="17"/>
                <w:szCs w:val="17"/>
                <w:color w:val="0000EE"/>
                <w:w w:val="94"/>
              </w:rPr>
            </w:pPr>
            <w:hyperlink r:id="rId130">
              <w:r>
                <w:rPr>
                  <w:rFonts w:ascii="Arial" w:cs="Arial" w:eastAsia="Arial" w:hAnsi="Arial"/>
                  <w:sz w:val="17"/>
                  <w:szCs w:val="17"/>
                  <w:color w:val="0000EE"/>
                  <w:w w:val="94"/>
                </w:rPr>
                <w:t xml:space="preserve">The Company's 2008 Stock Incentive Plan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to the Company's Current Report on Form 8-K (Commission File no.</w:t>
            </w:r>
          </w:p>
        </w:tc>
      </w:tr>
      <w:tr>
        <w:trPr>
          <w:trHeight w:val="20"/>
        </w:trPr>
        <w:tc>
          <w:tcPr>
            <w:tcW w:w="120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001-16109), filed with the Commission on May 11, 2007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10.13</w:t>
            </w:r>
          </w:p>
        </w:tc>
        <w:tc>
          <w:tcPr>
            <w:tcW w:w="10240" w:type="dxa"/>
            <w:vAlign w:val="bottom"/>
            <w:gridSpan w:val="10"/>
          </w:tcPr>
          <w:p>
            <w:pPr>
              <w:spacing w:after="0"/>
              <w:rPr>
                <w:rFonts w:ascii="Arial" w:cs="Arial" w:eastAsia="Arial" w:hAnsi="Arial"/>
                <w:sz w:val="17"/>
                <w:szCs w:val="17"/>
                <w:color w:val="0000EE"/>
                <w:w w:val="96"/>
              </w:rPr>
            </w:pPr>
            <w:hyperlink r:id="rId131">
              <w:r>
                <w:rPr>
                  <w:rFonts w:ascii="Arial" w:cs="Arial" w:eastAsia="Arial" w:hAnsi="Arial"/>
                  <w:sz w:val="17"/>
                  <w:szCs w:val="17"/>
                  <w:color w:val="0000EE"/>
                  <w:w w:val="96"/>
                </w:rPr>
                <w:t xml:space="preserve">Form of Executive Non-qualified Stock Option Agreement for the Company's 2008 Stock Incentive Plan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10.2 to the</w:t>
            </w:r>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70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6"/>
              </w:rPr>
              <w:t>Company's Current Report on Form 8-K (Commission File no. 001-16109), filed with the Commission on February 21, 2008 and incorporated</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10.14</w:t>
            </w:r>
          </w:p>
        </w:tc>
        <w:tc>
          <w:tcPr>
            <w:tcW w:w="10240" w:type="dxa"/>
            <w:vAlign w:val="bottom"/>
            <w:gridSpan w:val="10"/>
          </w:tcPr>
          <w:p>
            <w:pPr>
              <w:spacing w:after="0"/>
              <w:rPr>
                <w:rFonts w:ascii="Arial" w:cs="Arial" w:eastAsia="Arial" w:hAnsi="Arial"/>
                <w:sz w:val="17"/>
                <w:szCs w:val="17"/>
                <w:color w:val="0000EE"/>
                <w:w w:val="96"/>
              </w:rPr>
            </w:pPr>
            <w:hyperlink r:id="rId132">
              <w:r>
                <w:rPr>
                  <w:rFonts w:ascii="Arial" w:cs="Arial" w:eastAsia="Arial" w:hAnsi="Arial"/>
                  <w:sz w:val="17"/>
                  <w:szCs w:val="17"/>
                  <w:color w:val="0000EE"/>
                  <w:w w:val="96"/>
                </w:rPr>
                <w:t xml:space="preserve">Amended Form of Executive Non-qualified Stock Option Agreement for the Company's 2008 Stock Incentive Plan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w:t>
            </w:r>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70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7"/>
              </w:rPr>
              <w:t>10.2 to the Company's Current Report on Form 8-K (Commission File no. 001-16109), filed with the Commission on February 23, 2009 and</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10.15</w:t>
            </w:r>
          </w:p>
        </w:tc>
        <w:tc>
          <w:tcPr>
            <w:tcW w:w="10240" w:type="dxa"/>
            <w:vAlign w:val="bottom"/>
            <w:gridSpan w:val="10"/>
          </w:tcPr>
          <w:p>
            <w:pPr>
              <w:spacing w:after="0"/>
              <w:rPr>
                <w:rFonts w:ascii="Arial" w:cs="Arial" w:eastAsia="Arial" w:hAnsi="Arial"/>
                <w:sz w:val="17"/>
                <w:szCs w:val="17"/>
                <w:color w:val="0000EE"/>
                <w:w w:val="97"/>
              </w:rPr>
            </w:pPr>
            <w:hyperlink r:id="rId133">
              <w:r>
                <w:rPr>
                  <w:rFonts w:ascii="Arial" w:cs="Arial" w:eastAsia="Arial" w:hAnsi="Arial"/>
                  <w:sz w:val="17"/>
                  <w:szCs w:val="17"/>
                  <w:color w:val="0000EE"/>
                  <w:w w:val="97"/>
                </w:rPr>
                <w:t xml:space="preserve">Form of Director Non-qualified Stock Option Agreement for the Company's 2008 Stock Incentive Plan </w:t>
              </w:r>
            </w:hyperlink>
            <w:r>
              <w:rPr>
                <w:rFonts w:ascii="Arial" w:cs="Arial" w:eastAsia="Arial" w:hAnsi="Arial"/>
                <w:sz w:val="17"/>
                <w:szCs w:val="17"/>
                <w:color w:val="000000"/>
                <w:w w:val="97"/>
              </w:rPr>
              <w:t>(previously</w:t>
            </w:r>
            <w:r>
              <w:rPr>
                <w:rFonts w:ascii="Arial" w:cs="Arial" w:eastAsia="Arial" w:hAnsi="Arial"/>
                <w:sz w:val="17"/>
                <w:szCs w:val="17"/>
                <w:color w:val="0000EE"/>
                <w:w w:val="97"/>
              </w:rPr>
              <w:t xml:space="preserve"> </w:t>
            </w:r>
            <w:r>
              <w:rPr>
                <w:rFonts w:ascii="Arial" w:cs="Arial" w:eastAsia="Arial" w:hAnsi="Arial"/>
                <w:sz w:val="17"/>
                <w:szCs w:val="17"/>
                <w:color w:val="000000"/>
                <w:w w:val="97"/>
              </w:rPr>
              <w:t>filed as Exhibit 10.3 to the</w:t>
            </w:r>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70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6"/>
              </w:rPr>
              <w:t>Company's Current Report on Form 8-K (Commission File no. 001-16109), filed with the Commission on February 21, 2008 and incorporated</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10.16</w:t>
            </w:r>
          </w:p>
        </w:tc>
        <w:tc>
          <w:tcPr>
            <w:tcW w:w="10240" w:type="dxa"/>
            <w:vAlign w:val="bottom"/>
            <w:gridSpan w:val="10"/>
          </w:tcPr>
          <w:p>
            <w:pPr>
              <w:spacing w:after="0"/>
              <w:rPr>
                <w:rFonts w:ascii="Arial" w:cs="Arial" w:eastAsia="Arial" w:hAnsi="Arial"/>
                <w:sz w:val="17"/>
                <w:szCs w:val="17"/>
                <w:color w:val="0000EE"/>
                <w:w w:val="94"/>
              </w:rPr>
            </w:pPr>
            <w:hyperlink r:id="rId134">
              <w:r>
                <w:rPr>
                  <w:rFonts w:ascii="Arial" w:cs="Arial" w:eastAsia="Arial" w:hAnsi="Arial"/>
                  <w:sz w:val="17"/>
                  <w:szCs w:val="17"/>
                  <w:color w:val="0000EE"/>
                  <w:w w:val="94"/>
                </w:rPr>
                <w:t xml:space="preserve">The Company's Amended and Restated 2008 Stock Incentive Plan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of the Company's Current Report on Form 8-</w:t>
            </w:r>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K (Commission File no. 001-16109), filed with the Commission on May 17, 2011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10.17</w:t>
            </w:r>
          </w:p>
        </w:tc>
        <w:tc>
          <w:tcPr>
            <w:tcW w:w="10240" w:type="dxa"/>
            <w:vAlign w:val="bottom"/>
            <w:gridSpan w:val="10"/>
          </w:tcPr>
          <w:p>
            <w:pPr>
              <w:spacing w:after="0"/>
              <w:rPr>
                <w:rFonts w:ascii="Arial" w:cs="Arial" w:eastAsia="Arial" w:hAnsi="Arial"/>
                <w:sz w:val="17"/>
                <w:szCs w:val="17"/>
                <w:color w:val="0000EE"/>
                <w:w w:val="96"/>
              </w:rPr>
            </w:pPr>
            <w:hyperlink r:id="rId135">
              <w:r>
                <w:rPr>
                  <w:rFonts w:ascii="Arial" w:cs="Arial" w:eastAsia="Arial" w:hAnsi="Arial"/>
                  <w:sz w:val="17"/>
                  <w:szCs w:val="17"/>
                  <w:color w:val="0000EE"/>
                  <w:w w:val="96"/>
                </w:rPr>
                <w:t xml:space="preserve">Form of Executive Restricted Stock Unit Award Agreement for the Company's Amended and Restated 2008 Stock Incentive Plan </w:t>
              </w:r>
            </w:hyperlink>
            <w:r>
              <w:rPr>
                <w:rFonts w:ascii="Arial" w:cs="Arial" w:eastAsia="Arial" w:hAnsi="Arial"/>
                <w:sz w:val="17"/>
                <w:szCs w:val="17"/>
                <w:color w:val="000000"/>
                <w:w w:val="96"/>
              </w:rPr>
              <w:t>(previously</w:t>
            </w:r>
          </w:p>
        </w:tc>
      </w:tr>
      <w:tr>
        <w:trPr>
          <w:trHeight w:val="20"/>
        </w:trPr>
        <w:tc>
          <w:tcPr>
            <w:tcW w:w="1200" w:type="dxa"/>
            <w:vAlign w:val="bottom"/>
          </w:tcPr>
          <w:p>
            <w:pPr>
              <w:spacing w:after="0" w:line="20" w:lineRule="exact"/>
              <w:rPr>
                <w:sz w:val="1"/>
                <w:szCs w:val="1"/>
                <w:color w:val="auto"/>
              </w:rPr>
            </w:pPr>
          </w:p>
        </w:tc>
        <w:tc>
          <w:tcPr>
            <w:tcW w:w="9360" w:type="dxa"/>
            <w:vAlign w:val="bottom"/>
            <w:gridSpan w:val="9"/>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w w:val="96"/>
              </w:rPr>
              <w:t>filed as Exhibit 10.1 to the Company's Current Report on Form 8-K (Commission File no. 001-16109), filed with the Commission on March 21,</w:t>
            </w:r>
          </w:p>
        </w:tc>
      </w:tr>
      <w:tr>
        <w:trPr>
          <w:trHeight w:val="222"/>
        </w:trPr>
        <w:tc>
          <w:tcPr>
            <w:tcW w:w="120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Arial" w:cs="Arial" w:eastAsia="Arial" w:hAnsi="Arial"/>
                <w:sz w:val="17"/>
                <w:szCs w:val="17"/>
                <w:color w:val="auto"/>
              </w:rPr>
              <w:t>2012 and incorporated herein by this reference).</w:t>
            </w:r>
          </w:p>
        </w:tc>
      </w:tr>
      <w:tr>
        <w:trPr>
          <w:trHeight w:val="537"/>
        </w:trPr>
        <w:tc>
          <w:tcPr>
            <w:tcW w:w="1200" w:type="dxa"/>
            <w:vAlign w:val="bottom"/>
          </w:tcPr>
          <w:p>
            <w:pPr>
              <w:spacing w:after="0"/>
              <w:rPr>
                <w:sz w:val="24"/>
                <w:szCs w:val="24"/>
                <w:color w:val="auto"/>
              </w:rPr>
            </w:pPr>
          </w:p>
        </w:tc>
        <w:tc>
          <w:tcPr>
            <w:tcW w:w="4680" w:type="dxa"/>
            <w:vAlign w:val="bottom"/>
            <w:gridSpan w:val="3"/>
          </w:tcPr>
          <w:p>
            <w:pPr>
              <w:ind w:left="4420"/>
              <w:spacing w:after="0"/>
              <w:rPr>
                <w:sz w:val="20"/>
                <w:szCs w:val="20"/>
                <w:color w:val="auto"/>
              </w:rPr>
            </w:pPr>
            <w:r>
              <w:rPr>
                <w:rFonts w:ascii="Arial" w:cs="Arial" w:eastAsia="Arial" w:hAnsi="Arial"/>
                <w:sz w:val="17"/>
                <w:szCs w:val="17"/>
                <w:color w:val="auto"/>
              </w:rPr>
              <w:t>88</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1200" w:type="dxa"/>
            <w:vAlign w:val="bottom"/>
          </w:tcPr>
          <w:p>
            <w:pPr>
              <w:ind w:left="100"/>
              <w:spacing w:after="0"/>
              <w:rPr>
                <w:sz w:val="20"/>
                <w:szCs w:val="20"/>
                <w:color w:val="auto"/>
              </w:rPr>
            </w:pPr>
            <w:r>
              <w:rPr>
                <w:rFonts w:ascii="Arial" w:cs="Arial" w:eastAsia="Arial" w:hAnsi="Arial"/>
                <w:sz w:val="17"/>
                <w:szCs w:val="17"/>
                <w:color w:val="auto"/>
              </w:rPr>
              <w:t>10.18</w:t>
            </w:r>
          </w:p>
        </w:tc>
        <w:tc>
          <w:tcPr>
            <w:tcW w:w="10240" w:type="dxa"/>
            <w:vAlign w:val="bottom"/>
            <w:tcBorders>
              <w:bottom w:val="single" w:sz="8" w:color="0000EE"/>
            </w:tcBorders>
            <w:gridSpan w:val="14"/>
          </w:tcPr>
          <w:p>
            <w:pPr>
              <w:spacing w:after="0"/>
              <w:rPr>
                <w:rFonts w:ascii="Arial" w:cs="Arial" w:eastAsia="Arial" w:hAnsi="Arial"/>
                <w:sz w:val="17"/>
                <w:szCs w:val="17"/>
                <w:color w:val="0000EE"/>
                <w:w w:val="96"/>
              </w:rPr>
            </w:pPr>
            <w:hyperlink r:id="rId138">
              <w:r>
                <w:rPr>
                  <w:rFonts w:ascii="Arial" w:cs="Arial" w:eastAsia="Arial" w:hAnsi="Arial"/>
                  <w:sz w:val="17"/>
                  <w:szCs w:val="17"/>
                  <w:color w:val="0000EE"/>
                  <w:w w:val="96"/>
                </w:rPr>
                <w:t>Form of Non-Employee Directors Restricted Stock Unit Award Agreement with deferral provisions for the Company's Amended and Restated</w:t>
              </w:r>
            </w:hyperlink>
          </w:p>
        </w:tc>
      </w:tr>
      <w:tr>
        <w:trPr>
          <w:trHeight w:val="190"/>
        </w:trPr>
        <w:tc>
          <w:tcPr>
            <w:tcW w:w="1200" w:type="dxa"/>
            <w:vAlign w:val="bottom"/>
          </w:tcPr>
          <w:p>
            <w:pPr>
              <w:spacing w:after="0"/>
              <w:rPr>
                <w:sz w:val="16"/>
                <w:szCs w:val="16"/>
                <w:color w:val="auto"/>
              </w:rPr>
            </w:pPr>
          </w:p>
        </w:tc>
        <w:tc>
          <w:tcPr>
            <w:tcW w:w="10240" w:type="dxa"/>
            <w:vAlign w:val="bottom"/>
            <w:gridSpan w:val="14"/>
          </w:tcPr>
          <w:p>
            <w:pPr>
              <w:spacing w:after="0" w:line="189" w:lineRule="exact"/>
              <w:rPr>
                <w:rFonts w:ascii="Arial" w:cs="Arial" w:eastAsia="Arial" w:hAnsi="Arial"/>
                <w:sz w:val="17"/>
                <w:szCs w:val="17"/>
                <w:color w:val="0000EE"/>
                <w:w w:val="97"/>
              </w:rPr>
            </w:pPr>
            <w:hyperlink r:id="rId138">
              <w:r>
                <w:rPr>
                  <w:rFonts w:ascii="Arial" w:cs="Arial" w:eastAsia="Arial" w:hAnsi="Arial"/>
                  <w:sz w:val="17"/>
                  <w:szCs w:val="17"/>
                  <w:color w:val="0000EE"/>
                  <w:w w:val="97"/>
                </w:rPr>
                <w:t xml:space="preserve">2008 Stock Incentive Plan </w:t>
              </w:r>
              <w:r>
                <w:rPr>
                  <w:rFonts w:ascii="Arial" w:cs="Arial" w:eastAsia="Arial" w:hAnsi="Arial"/>
                  <w:sz w:val="17"/>
                  <w:szCs w:val="17"/>
                  <w:color w:val="000000"/>
                  <w:w w:val="97"/>
                </w:rPr>
                <w:t>(previously filed as Exhibit 10.2 to the Company's Current Report on Form 8-K (Commission File no. 001-16109),</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filed with the Commission on March 21, 2012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10.19</w:t>
            </w:r>
          </w:p>
        </w:tc>
        <w:tc>
          <w:tcPr>
            <w:tcW w:w="10240" w:type="dxa"/>
            <w:vAlign w:val="bottom"/>
            <w:tcBorders>
              <w:bottom w:val="single" w:sz="8" w:color="0000EE"/>
            </w:tcBorders>
            <w:gridSpan w:val="14"/>
          </w:tcPr>
          <w:p>
            <w:pPr>
              <w:spacing w:after="0"/>
              <w:rPr>
                <w:rFonts w:ascii="Arial" w:cs="Arial" w:eastAsia="Arial" w:hAnsi="Arial"/>
                <w:sz w:val="17"/>
                <w:szCs w:val="17"/>
                <w:color w:val="0000EE"/>
                <w:w w:val="94"/>
              </w:rPr>
            </w:pPr>
            <w:hyperlink r:id="rId139">
              <w:r>
                <w:rPr>
                  <w:rFonts w:ascii="Arial" w:cs="Arial" w:eastAsia="Arial" w:hAnsi="Arial"/>
                  <w:sz w:val="17"/>
                  <w:szCs w:val="17"/>
                  <w:color w:val="0000EE"/>
                  <w:w w:val="94"/>
                </w:rPr>
                <w:t>Form of Non-Employee Directors Restricted Stock Unit Award Agreement for the Company's Amended and Restated 2008 Stock Incentive Plan</w:t>
              </w:r>
            </w:hyperlink>
          </w:p>
        </w:tc>
      </w:tr>
      <w:tr>
        <w:trPr>
          <w:trHeight w:val="216"/>
        </w:trPr>
        <w:tc>
          <w:tcPr>
            <w:tcW w:w="1200" w:type="dxa"/>
            <w:vAlign w:val="bottom"/>
          </w:tcPr>
          <w:p>
            <w:pPr>
              <w:spacing w:after="0"/>
              <w:rPr>
                <w:sz w:val="18"/>
                <w:szCs w:val="18"/>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w w:val="95"/>
              </w:rPr>
              <w:t>(previously filed as Exhibit 10.3 to the Company's Current Report on Form 8-K (Commission File no. 001-16109), filed with the Commission on</w:t>
            </w:r>
          </w:p>
        </w:tc>
      </w:tr>
      <w:tr>
        <w:trPr>
          <w:trHeight w:val="222"/>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March 21, 2012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10.20</w:t>
            </w:r>
          </w:p>
        </w:tc>
        <w:tc>
          <w:tcPr>
            <w:tcW w:w="10220" w:type="dxa"/>
            <w:vAlign w:val="bottom"/>
            <w:tcBorders>
              <w:bottom w:val="single" w:sz="8" w:color="0000EE"/>
            </w:tcBorders>
            <w:gridSpan w:val="13"/>
          </w:tcPr>
          <w:p>
            <w:pPr>
              <w:spacing w:after="0"/>
              <w:rPr>
                <w:rFonts w:ascii="Arial" w:cs="Arial" w:eastAsia="Arial" w:hAnsi="Arial"/>
                <w:sz w:val="17"/>
                <w:szCs w:val="17"/>
                <w:color w:val="0000EE"/>
                <w:w w:val="95"/>
              </w:rPr>
            </w:pPr>
            <w:hyperlink r:id="rId140">
              <w:r>
                <w:rPr>
                  <w:rFonts w:ascii="Arial" w:cs="Arial" w:eastAsia="Arial" w:hAnsi="Arial"/>
                  <w:sz w:val="17"/>
                  <w:szCs w:val="17"/>
                  <w:color w:val="0000EE"/>
                  <w:w w:val="95"/>
                </w:rPr>
                <w:t>Form of Restricted Stock Unit Award Agreement for the Company's Amended and Restated 2008 Stock Incentive Plan (Time-Vesting Form for</w:t>
              </w:r>
            </w:hyperlink>
          </w:p>
        </w:tc>
        <w:tc>
          <w:tcPr>
            <w:tcW w:w="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10240" w:type="dxa"/>
            <w:vAlign w:val="bottom"/>
            <w:gridSpan w:val="14"/>
          </w:tcPr>
          <w:p>
            <w:pPr>
              <w:spacing w:after="0" w:line="189" w:lineRule="exact"/>
              <w:rPr>
                <w:rFonts w:ascii="Arial" w:cs="Arial" w:eastAsia="Arial" w:hAnsi="Arial"/>
                <w:sz w:val="17"/>
                <w:szCs w:val="17"/>
                <w:color w:val="0000EE"/>
                <w:w w:val="97"/>
              </w:rPr>
            </w:pPr>
            <w:hyperlink r:id="rId140">
              <w:r>
                <w:rPr>
                  <w:rFonts w:ascii="Arial" w:cs="Arial" w:eastAsia="Arial" w:hAnsi="Arial"/>
                  <w:sz w:val="17"/>
                  <w:szCs w:val="17"/>
                  <w:color w:val="0000EE"/>
                  <w:w w:val="97"/>
                </w:rPr>
                <w:t xml:space="preserve">Executive Officers) </w:t>
              </w:r>
              <w:r>
                <w:rPr>
                  <w:rFonts w:ascii="Arial" w:cs="Arial" w:eastAsia="Arial" w:hAnsi="Arial"/>
                  <w:sz w:val="17"/>
                  <w:szCs w:val="17"/>
                  <w:color w:val="000000"/>
                  <w:w w:val="97"/>
                </w:rPr>
                <w:t>(previously filed as Exhibit 10.23 to the Company's Annual Report on Form 10-K (Commission File no. 001-16109), filed</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with the Commission on February 27, 2013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10.21</w:t>
            </w:r>
          </w:p>
        </w:tc>
        <w:tc>
          <w:tcPr>
            <w:tcW w:w="10240" w:type="dxa"/>
            <w:vAlign w:val="bottom"/>
            <w:gridSpan w:val="14"/>
          </w:tcPr>
          <w:p>
            <w:pPr>
              <w:spacing w:after="0"/>
              <w:rPr>
                <w:rFonts w:ascii="Arial" w:cs="Arial" w:eastAsia="Arial" w:hAnsi="Arial"/>
                <w:sz w:val="17"/>
                <w:szCs w:val="17"/>
                <w:color w:val="0000EE"/>
                <w:w w:val="94"/>
              </w:rPr>
            </w:pPr>
            <w:hyperlink r:id="rId141">
              <w:r>
                <w:rPr>
                  <w:rFonts w:ascii="Arial" w:cs="Arial" w:eastAsia="Arial" w:hAnsi="Arial"/>
                  <w:sz w:val="17"/>
                  <w:szCs w:val="17"/>
                  <w:color w:val="0000EE"/>
                  <w:w w:val="94"/>
                </w:rPr>
                <w:t xml:space="preserve">Amended and Restated Non-Employee Director Deferred Compensation Plan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to the Company's Current Report</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w w:val="99"/>
              </w:rPr>
              <w:t>on Form 8-K (Commission File no. 001-16109), filed with the Commission on August 16, 2007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10.22</w:t>
            </w:r>
          </w:p>
        </w:tc>
        <w:tc>
          <w:tcPr>
            <w:tcW w:w="10240" w:type="dxa"/>
            <w:vAlign w:val="bottom"/>
            <w:gridSpan w:val="14"/>
          </w:tcPr>
          <w:p>
            <w:pPr>
              <w:spacing w:after="0"/>
              <w:rPr>
                <w:rFonts w:ascii="Arial" w:cs="Arial" w:eastAsia="Arial" w:hAnsi="Arial"/>
                <w:sz w:val="17"/>
                <w:szCs w:val="17"/>
                <w:color w:val="0000EE"/>
                <w:w w:val="99"/>
              </w:rPr>
            </w:pPr>
            <w:hyperlink r:id="rId142">
              <w:r>
                <w:rPr>
                  <w:rFonts w:ascii="Arial" w:cs="Arial" w:eastAsia="Arial" w:hAnsi="Arial"/>
                  <w:sz w:val="17"/>
                  <w:szCs w:val="17"/>
                  <w:color w:val="0000EE"/>
                  <w:w w:val="99"/>
                </w:rPr>
                <w:t xml:space="preserve">Amendment to the Amended and Restated Non-Employee Director Deferred Compensation Plan </w:t>
              </w:r>
            </w:hyperlink>
            <w:r>
              <w:rPr>
                <w:rFonts w:ascii="Arial" w:cs="Arial" w:eastAsia="Arial" w:hAnsi="Arial"/>
                <w:sz w:val="17"/>
                <w:szCs w:val="17"/>
                <w:color w:val="000000"/>
                <w:w w:val="99"/>
              </w:rPr>
              <w:t>(previously</w:t>
            </w:r>
            <w:r>
              <w:rPr>
                <w:rFonts w:ascii="Arial" w:cs="Arial" w:eastAsia="Arial" w:hAnsi="Arial"/>
                <w:sz w:val="17"/>
                <w:szCs w:val="17"/>
                <w:color w:val="0000EE"/>
                <w:w w:val="99"/>
              </w:rPr>
              <w:t xml:space="preserve"> </w:t>
            </w:r>
            <w:r>
              <w:rPr>
                <w:rFonts w:ascii="Arial" w:cs="Arial" w:eastAsia="Arial" w:hAnsi="Arial"/>
                <w:sz w:val="17"/>
                <w:szCs w:val="17"/>
                <w:color w:val="000000"/>
                <w:w w:val="99"/>
              </w:rPr>
              <w:t>filed as Exhibit 10.35 to the</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w w:val="96"/>
              </w:rPr>
              <w:t>Company's Annual Report on Form 10-K (Commission File no. 001-16109), filed with the Commission on February 24, 2010 and incorporated</w:t>
            </w:r>
          </w:p>
        </w:tc>
      </w:tr>
      <w:tr>
        <w:trPr>
          <w:trHeight w:val="222"/>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10.23</w:t>
            </w:r>
          </w:p>
        </w:tc>
        <w:tc>
          <w:tcPr>
            <w:tcW w:w="10240" w:type="dxa"/>
            <w:vAlign w:val="bottom"/>
            <w:gridSpan w:val="14"/>
          </w:tcPr>
          <w:p>
            <w:pPr>
              <w:spacing w:after="0"/>
              <w:rPr>
                <w:rFonts w:ascii="Arial" w:cs="Arial" w:eastAsia="Arial" w:hAnsi="Arial"/>
                <w:sz w:val="17"/>
                <w:szCs w:val="17"/>
                <w:color w:val="0000EE"/>
                <w:w w:val="95"/>
              </w:rPr>
            </w:pPr>
            <w:hyperlink r:id="rId143">
              <w:r>
                <w:rPr>
                  <w:rFonts w:ascii="Arial" w:cs="Arial" w:eastAsia="Arial" w:hAnsi="Arial"/>
                  <w:sz w:val="17"/>
                  <w:szCs w:val="17"/>
                  <w:color w:val="0000EE"/>
                  <w:w w:val="95"/>
                </w:rPr>
                <w:t xml:space="preserve">Amended and Restated Executive Deferred Compensation Plan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10.2 to the Company's Current Report on Form 8-K</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(Commission File no. 001-16109), filed with the Commission on August 16, 2007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10.24</w:t>
            </w:r>
          </w:p>
        </w:tc>
        <w:tc>
          <w:tcPr>
            <w:tcW w:w="10240" w:type="dxa"/>
            <w:vAlign w:val="bottom"/>
            <w:gridSpan w:val="14"/>
          </w:tcPr>
          <w:p>
            <w:pPr>
              <w:spacing w:after="0"/>
              <w:rPr>
                <w:rFonts w:ascii="Arial" w:cs="Arial" w:eastAsia="Arial" w:hAnsi="Arial"/>
                <w:sz w:val="17"/>
                <w:szCs w:val="17"/>
                <w:color w:val="0000EE"/>
                <w:w w:val="96"/>
              </w:rPr>
            </w:pPr>
            <w:hyperlink r:id="rId144">
              <w:r>
                <w:rPr>
                  <w:rFonts w:ascii="Arial" w:cs="Arial" w:eastAsia="Arial" w:hAnsi="Arial"/>
                  <w:sz w:val="17"/>
                  <w:szCs w:val="17"/>
                  <w:color w:val="0000EE"/>
                  <w:w w:val="96"/>
                </w:rPr>
                <w:t xml:space="preserve">Form of Indemnification Agreement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10.1 to the Company's Current Report on Form 8-K (Commission File no. 001-</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16109), filed with the Commission on August 18, 2009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10.25</w:t>
            </w:r>
          </w:p>
        </w:tc>
        <w:tc>
          <w:tcPr>
            <w:tcW w:w="10240" w:type="dxa"/>
            <w:vAlign w:val="bottom"/>
            <w:gridSpan w:val="14"/>
          </w:tcPr>
          <w:p>
            <w:pPr>
              <w:spacing w:after="0"/>
              <w:rPr>
                <w:rFonts w:ascii="Arial" w:cs="Arial" w:eastAsia="Arial" w:hAnsi="Arial"/>
                <w:sz w:val="17"/>
                <w:szCs w:val="17"/>
                <w:color w:val="0000EE"/>
                <w:w w:val="95"/>
              </w:rPr>
            </w:pPr>
            <w:hyperlink r:id="rId145">
              <w:r>
                <w:rPr>
                  <w:rFonts w:ascii="Arial" w:cs="Arial" w:eastAsia="Arial" w:hAnsi="Arial"/>
                  <w:sz w:val="17"/>
                  <w:szCs w:val="17"/>
                  <w:color w:val="0000EE"/>
                  <w:w w:val="95"/>
                </w:rPr>
                <w:t xml:space="preserve">Form of Executive Employment Agreement, effective as of January 1, 2015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10.32 to the Company's Current Report</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w w:val="96"/>
              </w:rPr>
              <w:t>on Form 10-K (Commission File no. 001-16109), filed with the Commission on February 25, 2015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10.26</w:t>
            </w:r>
          </w:p>
        </w:tc>
        <w:tc>
          <w:tcPr>
            <w:tcW w:w="10240" w:type="dxa"/>
            <w:vAlign w:val="bottom"/>
            <w:gridSpan w:val="14"/>
          </w:tcPr>
          <w:p>
            <w:pPr>
              <w:spacing w:after="0"/>
              <w:rPr>
                <w:rFonts w:ascii="Arial" w:cs="Arial" w:eastAsia="Arial" w:hAnsi="Arial"/>
                <w:sz w:val="17"/>
                <w:szCs w:val="17"/>
                <w:color w:val="0000EE"/>
                <w:w w:val="94"/>
              </w:rPr>
            </w:pPr>
            <w:hyperlink r:id="rId146">
              <w:r>
                <w:rPr>
                  <w:rFonts w:ascii="Arial" w:cs="Arial" w:eastAsia="Arial" w:hAnsi="Arial"/>
                  <w:sz w:val="17"/>
                  <w:szCs w:val="17"/>
                  <w:color w:val="0000EE"/>
                  <w:w w:val="94"/>
                </w:rPr>
                <w:t xml:space="preserve">Transition Agreement, effective as of June 15, 2016, with Steven E. Groom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to the Company's Current Report on</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Form 8-K (Commission File no. 001-16109), filed with the Commission on June 15, 2016 and 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10.27</w:t>
            </w:r>
          </w:p>
        </w:tc>
        <w:tc>
          <w:tcPr>
            <w:tcW w:w="10240" w:type="dxa"/>
            <w:vAlign w:val="bottom"/>
            <w:gridSpan w:val="14"/>
          </w:tcPr>
          <w:p>
            <w:pPr>
              <w:spacing w:after="0"/>
              <w:rPr>
                <w:rFonts w:ascii="Arial" w:cs="Arial" w:eastAsia="Arial" w:hAnsi="Arial"/>
                <w:sz w:val="17"/>
                <w:szCs w:val="17"/>
                <w:color w:val="0000EE"/>
                <w:w w:val="94"/>
              </w:rPr>
            </w:pPr>
            <w:hyperlink r:id="rId147">
              <w:r>
                <w:rPr>
                  <w:rFonts w:ascii="Arial" w:cs="Arial" w:eastAsia="Arial" w:hAnsi="Arial"/>
                  <w:sz w:val="17"/>
                  <w:szCs w:val="17"/>
                  <w:color w:val="0000EE"/>
                  <w:w w:val="94"/>
                </w:rPr>
                <w:t xml:space="preserve">Restricted Stock Unit Award Cancellation Agreement, dated as of September 27, 2016, with Damon T. Hininger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w:t>
            </w:r>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to the Company's Current Report on Form 8-K (Commission File no. 001-16109), filed with the Commission on September 27, 2016 and</w:t>
            </w:r>
          </w:p>
        </w:tc>
      </w:tr>
      <w:tr>
        <w:trPr>
          <w:trHeight w:val="222"/>
        </w:trPr>
        <w:tc>
          <w:tcPr>
            <w:tcW w:w="1200" w:type="dxa"/>
            <w:vAlign w:val="bottom"/>
          </w:tcPr>
          <w:p>
            <w:pPr>
              <w:spacing w:after="0"/>
              <w:rPr>
                <w:sz w:val="19"/>
                <w:szCs w:val="19"/>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incorporated herein by this reference).</w:t>
            </w:r>
          </w:p>
        </w:tc>
      </w:tr>
      <w:tr>
        <w:trPr>
          <w:trHeight w:val="288"/>
        </w:trPr>
        <w:tc>
          <w:tcPr>
            <w:tcW w:w="1200" w:type="dxa"/>
            <w:vAlign w:val="bottom"/>
          </w:tcPr>
          <w:p>
            <w:pPr>
              <w:ind w:left="100"/>
              <w:spacing w:after="0"/>
              <w:rPr>
                <w:sz w:val="20"/>
                <w:szCs w:val="20"/>
                <w:color w:val="auto"/>
              </w:rPr>
            </w:pPr>
            <w:r>
              <w:rPr>
                <w:rFonts w:ascii="Arial" w:cs="Arial" w:eastAsia="Arial" w:hAnsi="Arial"/>
                <w:sz w:val="17"/>
                <w:szCs w:val="17"/>
                <w:color w:val="auto"/>
              </w:rPr>
              <w:t>10.28*</w:t>
            </w:r>
          </w:p>
        </w:tc>
        <w:tc>
          <w:tcPr>
            <w:tcW w:w="5380" w:type="dxa"/>
            <w:vAlign w:val="bottom"/>
            <w:tcBorders>
              <w:bottom w:val="single" w:sz="8" w:color="0000EE"/>
            </w:tcBorders>
            <w:gridSpan w:val="9"/>
          </w:tcPr>
          <w:p>
            <w:pPr>
              <w:spacing w:after="0"/>
              <w:rPr>
                <w:rFonts w:ascii="Arial" w:cs="Arial" w:eastAsia="Arial" w:hAnsi="Arial"/>
                <w:sz w:val="17"/>
                <w:szCs w:val="17"/>
                <w:color w:val="0000EE"/>
                <w:w w:val="93"/>
              </w:rPr>
            </w:pPr>
            <w:hyperlink w:anchor="page160">
              <w:r>
                <w:rPr>
                  <w:rFonts w:ascii="Arial" w:cs="Arial" w:eastAsia="Arial" w:hAnsi="Arial"/>
                  <w:sz w:val="17"/>
                  <w:szCs w:val="17"/>
                  <w:color w:val="0000EE"/>
                  <w:w w:val="93"/>
                </w:rPr>
                <w:t>Form of Executive Employment Agreement, effective as of January 1, 2018.</w:t>
              </w:r>
            </w:hyperlink>
          </w:p>
        </w:tc>
        <w:tc>
          <w:tcPr>
            <w:tcW w:w="4860" w:type="dxa"/>
            <w:vAlign w:val="bottom"/>
            <w:gridSpan w:val="5"/>
          </w:tcPr>
          <w:p>
            <w:pPr>
              <w:spacing w:after="0"/>
              <w:rPr>
                <w:sz w:val="24"/>
                <w:szCs w:val="24"/>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10.29*</w:t>
            </w:r>
          </w:p>
        </w:tc>
        <w:tc>
          <w:tcPr>
            <w:tcW w:w="522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175">
              <w:r>
                <w:rPr>
                  <w:rFonts w:ascii="Arial" w:cs="Arial" w:eastAsia="Arial" w:hAnsi="Arial"/>
                  <w:sz w:val="17"/>
                  <w:szCs w:val="17"/>
                  <w:color w:val="0000EE"/>
                  <w:w w:val="93"/>
                </w:rPr>
                <w:t>Letter Agreement, dated as of December 31, 2017, with Harley G. Lappin.</w:t>
              </w:r>
            </w:hyperlink>
          </w:p>
        </w:tc>
        <w:tc>
          <w:tcPr>
            <w:tcW w:w="5020" w:type="dxa"/>
            <w:vAlign w:val="bottom"/>
            <w:gridSpan w:val="7"/>
          </w:tcPr>
          <w:p>
            <w:pPr>
              <w:spacing w:after="0"/>
              <w:rPr>
                <w:sz w:val="24"/>
                <w:szCs w:val="24"/>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21.1*</w:t>
            </w:r>
          </w:p>
        </w:tc>
        <w:tc>
          <w:tcPr>
            <w:tcW w:w="10240" w:type="dxa"/>
            <w:vAlign w:val="bottom"/>
            <w:gridSpan w:val="14"/>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Subsidiaries of the Company.</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23.1*</w:t>
            </w:r>
          </w:p>
        </w:tc>
        <w:tc>
          <w:tcPr>
            <w:tcW w:w="10240" w:type="dxa"/>
            <w:vAlign w:val="bottom"/>
            <w:gridSpan w:val="14"/>
          </w:tcPr>
          <w:p>
            <w:pPr>
              <w:spacing w:after="0"/>
              <w:rPr>
                <w:rFonts w:ascii="Arial" w:cs="Arial" w:eastAsia="Arial" w:hAnsi="Arial"/>
                <w:sz w:val="17"/>
                <w:szCs w:val="17"/>
                <w:color w:val="0000EE"/>
              </w:rPr>
            </w:pPr>
            <w:hyperlink w:anchor="page179">
              <w:r>
                <w:rPr>
                  <w:rFonts w:ascii="Arial" w:cs="Arial" w:eastAsia="Arial" w:hAnsi="Arial"/>
                  <w:sz w:val="17"/>
                  <w:szCs w:val="17"/>
                  <w:color w:val="0000EE"/>
                </w:rPr>
                <w:t>Consent of Independent Registered Public Accounting Firm.</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604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31.1*</w:t>
            </w:r>
          </w:p>
        </w:tc>
        <w:tc>
          <w:tcPr>
            <w:tcW w:w="10240" w:type="dxa"/>
            <w:vAlign w:val="bottom"/>
            <w:tcBorders>
              <w:bottom w:val="single" w:sz="8" w:color="0000EE"/>
            </w:tcBorders>
            <w:gridSpan w:val="14"/>
          </w:tcPr>
          <w:p>
            <w:pPr>
              <w:spacing w:after="0"/>
              <w:rPr>
                <w:rFonts w:ascii="Arial" w:cs="Arial" w:eastAsia="Arial" w:hAnsi="Arial"/>
                <w:sz w:val="17"/>
                <w:szCs w:val="17"/>
                <w:color w:val="0000EE"/>
                <w:w w:val="97"/>
              </w:rPr>
            </w:pPr>
            <w:hyperlink w:anchor="page180">
              <w:r>
                <w:rPr>
                  <w:rFonts w:ascii="Arial" w:cs="Arial" w:eastAsia="Arial" w:hAnsi="Arial"/>
                  <w:sz w:val="17"/>
                  <w:szCs w:val="17"/>
                  <w:color w:val="0000EE"/>
                  <w:w w:val="97"/>
                </w:rPr>
                <w:t>Certification of the Company's Chief Executive Officer pursuant to Securities and Exchange Act Rules 13a-14(a) and 15d-14(a), as adopted</w:t>
              </w:r>
            </w:hyperlink>
          </w:p>
        </w:tc>
      </w:tr>
      <w:tr>
        <w:trPr>
          <w:trHeight w:val="190"/>
        </w:trPr>
        <w:tc>
          <w:tcPr>
            <w:tcW w:w="1200" w:type="dxa"/>
            <w:vAlign w:val="bottom"/>
          </w:tcPr>
          <w:p>
            <w:pPr>
              <w:spacing w:after="0"/>
              <w:rPr>
                <w:sz w:val="16"/>
                <w:szCs w:val="16"/>
                <w:color w:val="auto"/>
              </w:rPr>
            </w:pPr>
          </w:p>
        </w:tc>
        <w:tc>
          <w:tcPr>
            <w:tcW w:w="10240" w:type="dxa"/>
            <w:vAlign w:val="bottom"/>
            <w:gridSpan w:val="14"/>
          </w:tcPr>
          <w:p>
            <w:pPr>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31.2*</w:t>
            </w:r>
          </w:p>
        </w:tc>
        <w:tc>
          <w:tcPr>
            <w:tcW w:w="10240" w:type="dxa"/>
            <w:vAlign w:val="bottom"/>
            <w:tcBorders>
              <w:bottom w:val="single" w:sz="8" w:color="0000EE"/>
            </w:tcBorders>
            <w:gridSpan w:val="14"/>
          </w:tcPr>
          <w:p>
            <w:pPr>
              <w:spacing w:after="0"/>
              <w:rPr>
                <w:rFonts w:ascii="Arial" w:cs="Arial" w:eastAsia="Arial" w:hAnsi="Arial"/>
                <w:sz w:val="17"/>
                <w:szCs w:val="17"/>
                <w:color w:val="0000EE"/>
                <w:w w:val="98"/>
              </w:rPr>
            </w:pPr>
            <w:hyperlink w:anchor="page182">
              <w:r>
                <w:rPr>
                  <w:rFonts w:ascii="Arial" w:cs="Arial" w:eastAsia="Arial" w:hAnsi="Arial"/>
                  <w:sz w:val="17"/>
                  <w:szCs w:val="17"/>
                  <w:color w:val="0000EE"/>
                  <w:w w:val="98"/>
                </w:rPr>
                <w:t>Certification of the Company's Chief Financial Officer pursuant to Securities and Exchange Act Rules 13a-14(a) and 15d-14(a), as adopted</w:t>
              </w:r>
            </w:hyperlink>
          </w:p>
        </w:tc>
      </w:tr>
      <w:tr>
        <w:trPr>
          <w:trHeight w:val="190"/>
        </w:trPr>
        <w:tc>
          <w:tcPr>
            <w:tcW w:w="1200" w:type="dxa"/>
            <w:vAlign w:val="bottom"/>
          </w:tcPr>
          <w:p>
            <w:pPr>
              <w:spacing w:after="0"/>
              <w:rPr>
                <w:sz w:val="16"/>
                <w:szCs w:val="16"/>
                <w:color w:val="auto"/>
              </w:rPr>
            </w:pPr>
          </w:p>
        </w:tc>
        <w:tc>
          <w:tcPr>
            <w:tcW w:w="10240" w:type="dxa"/>
            <w:vAlign w:val="bottom"/>
            <w:gridSpan w:val="14"/>
          </w:tcPr>
          <w:p>
            <w:pPr>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200" w:type="dxa"/>
            <w:vAlign w:val="bottom"/>
          </w:tcPr>
          <w:p>
            <w:pPr>
              <w:ind w:left="100"/>
              <w:spacing w:after="0"/>
              <w:rPr>
                <w:sz w:val="20"/>
                <w:szCs w:val="20"/>
                <w:color w:val="auto"/>
              </w:rPr>
            </w:pPr>
            <w:r>
              <w:rPr>
                <w:rFonts w:ascii="Arial" w:cs="Arial" w:eastAsia="Arial" w:hAnsi="Arial"/>
                <w:sz w:val="17"/>
                <w:szCs w:val="17"/>
                <w:color w:val="auto"/>
              </w:rPr>
              <w:t>32.1**</w:t>
            </w:r>
          </w:p>
        </w:tc>
        <w:tc>
          <w:tcPr>
            <w:tcW w:w="10220" w:type="dxa"/>
            <w:vAlign w:val="bottom"/>
            <w:tcBorders>
              <w:bottom w:val="single" w:sz="8" w:color="0000EE"/>
            </w:tcBorders>
            <w:gridSpan w:val="13"/>
          </w:tcPr>
          <w:p>
            <w:pPr>
              <w:spacing w:after="0"/>
              <w:rPr>
                <w:rFonts w:ascii="Arial" w:cs="Arial" w:eastAsia="Arial" w:hAnsi="Arial"/>
                <w:sz w:val="17"/>
                <w:szCs w:val="17"/>
                <w:color w:val="0000EE"/>
                <w:w w:val="94"/>
              </w:rPr>
            </w:pPr>
            <w:hyperlink w:anchor="page184">
              <w:r>
                <w:rPr>
                  <w:rFonts w:ascii="Arial" w:cs="Arial" w:eastAsia="Arial" w:hAnsi="Arial"/>
                  <w:sz w:val="17"/>
                  <w:szCs w:val="17"/>
                  <w:color w:val="0000EE"/>
                  <w:w w:val="94"/>
                </w:rPr>
                <w:t>Certification of the Company's Chief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1400" w:type="dxa"/>
            <w:vAlign w:val="bottom"/>
            <w:tcBorders>
              <w:bottom w:val="single" w:sz="8" w:color="0000EE"/>
            </w:tcBorders>
          </w:tcPr>
          <w:p>
            <w:pPr>
              <w:spacing w:after="0" w:line="189" w:lineRule="exact"/>
              <w:rPr>
                <w:rFonts w:ascii="Arial" w:cs="Arial" w:eastAsia="Arial" w:hAnsi="Arial"/>
                <w:sz w:val="17"/>
                <w:szCs w:val="17"/>
                <w:color w:val="0000EE"/>
                <w:w w:val="97"/>
              </w:rPr>
            </w:pPr>
            <w:hyperlink w:anchor="page184">
              <w:r>
                <w:rPr>
                  <w:rFonts w:ascii="Arial" w:cs="Arial" w:eastAsia="Arial" w:hAnsi="Arial"/>
                  <w:sz w:val="17"/>
                  <w:szCs w:val="17"/>
                  <w:color w:val="0000EE"/>
                  <w:w w:val="97"/>
                </w:rPr>
                <w:t>Oxley Act of 2002.</w:t>
              </w:r>
            </w:hyperlink>
          </w:p>
        </w:tc>
        <w:tc>
          <w:tcPr>
            <w:tcW w:w="8840" w:type="dxa"/>
            <w:vAlign w:val="bottom"/>
            <w:gridSpan w:val="13"/>
          </w:tcPr>
          <w:p>
            <w:pPr>
              <w:spacing w:after="0"/>
              <w:rPr>
                <w:sz w:val="16"/>
                <w:szCs w:val="16"/>
                <w:color w:val="auto"/>
              </w:rPr>
            </w:pPr>
          </w:p>
        </w:tc>
      </w:tr>
      <w:tr>
        <w:trPr>
          <w:trHeight w:val="556"/>
        </w:trPr>
        <w:tc>
          <w:tcPr>
            <w:tcW w:w="1200" w:type="dxa"/>
            <w:vAlign w:val="bottom"/>
          </w:tcPr>
          <w:p>
            <w:pPr>
              <w:spacing w:after="0"/>
              <w:rPr>
                <w:sz w:val="24"/>
                <w:szCs w:val="24"/>
                <w:color w:val="auto"/>
              </w:rPr>
            </w:pPr>
          </w:p>
        </w:tc>
        <w:tc>
          <w:tcPr>
            <w:tcW w:w="5220" w:type="dxa"/>
            <w:vAlign w:val="bottom"/>
            <w:gridSpan w:val="7"/>
          </w:tcPr>
          <w:p>
            <w:pPr>
              <w:ind w:left="442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980" w:type="dxa"/>
            <w:vAlign w:val="bottom"/>
          </w:tcPr>
          <w:p>
            <w:pPr>
              <w:ind w:left="100"/>
              <w:spacing w:after="0"/>
              <w:rPr>
                <w:sz w:val="20"/>
                <w:szCs w:val="20"/>
                <w:color w:val="auto"/>
              </w:rPr>
            </w:pPr>
            <w:r>
              <w:rPr>
                <w:rFonts w:ascii="Arial" w:cs="Arial" w:eastAsia="Arial" w:hAnsi="Arial"/>
                <w:sz w:val="17"/>
                <w:szCs w:val="17"/>
                <w:color w:val="auto"/>
              </w:rPr>
              <w:t>32.2**</w:t>
            </w:r>
          </w:p>
        </w:tc>
        <w:tc>
          <w:tcPr>
            <w:tcW w:w="220" w:type="dxa"/>
            <w:vAlign w:val="bottom"/>
          </w:tcPr>
          <w:p>
            <w:pPr>
              <w:spacing w:after="0"/>
              <w:rPr>
                <w:sz w:val="16"/>
                <w:szCs w:val="16"/>
                <w:color w:val="auto"/>
              </w:rPr>
            </w:pPr>
          </w:p>
        </w:tc>
        <w:tc>
          <w:tcPr>
            <w:tcW w:w="1022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85">
              <w:r>
                <w:rPr>
                  <w:rFonts w:ascii="Arial" w:cs="Arial" w:eastAsia="Arial" w:hAnsi="Arial"/>
                  <w:sz w:val="17"/>
                  <w:szCs w:val="17"/>
                  <w:color w:val="0000EE"/>
                  <w:w w:val="94"/>
                </w:rPr>
                <w:t>Certification of the Company's Chief Financial Officer pursuant to 18 U.S.C. Section 1350, as adopted pursuant to Section 906 of the Sarbanes-</w:t>
              </w:r>
            </w:hyperlink>
          </w:p>
        </w:tc>
        <w:tc>
          <w:tcPr>
            <w:tcW w:w="20" w:type="dxa"/>
            <w:vAlign w:val="bottom"/>
          </w:tcPr>
          <w:p>
            <w:pPr>
              <w:spacing w:after="0"/>
              <w:rPr>
                <w:sz w:val="16"/>
                <w:szCs w:val="16"/>
                <w:color w:val="auto"/>
              </w:rPr>
            </w:pPr>
          </w:p>
        </w:tc>
      </w:tr>
      <w:tr>
        <w:trPr>
          <w:trHeight w:val="190"/>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0000EE"/>
            </w:tcBorders>
          </w:tcPr>
          <w:p>
            <w:pPr>
              <w:spacing w:after="0" w:line="189" w:lineRule="exact"/>
              <w:rPr>
                <w:rFonts w:ascii="Arial" w:cs="Arial" w:eastAsia="Arial" w:hAnsi="Arial"/>
                <w:sz w:val="17"/>
                <w:szCs w:val="17"/>
                <w:color w:val="0000EE"/>
                <w:w w:val="96"/>
              </w:rPr>
            </w:pPr>
            <w:hyperlink w:anchor="page185">
              <w:r>
                <w:rPr>
                  <w:rFonts w:ascii="Arial" w:cs="Arial" w:eastAsia="Arial" w:hAnsi="Arial"/>
                  <w:sz w:val="17"/>
                  <w:szCs w:val="17"/>
                  <w:color w:val="0000EE"/>
                  <w:w w:val="96"/>
                </w:rPr>
                <w:t>Oxley Act of 2002.</w:t>
              </w:r>
            </w:hyperlink>
          </w:p>
        </w:tc>
        <w:tc>
          <w:tcPr>
            <w:tcW w:w="8880" w:type="dxa"/>
            <w:vAlign w:val="bottom"/>
            <w:gridSpan w:val="2"/>
          </w:tcPr>
          <w:p>
            <w:pPr>
              <w:spacing w:after="0"/>
              <w:rPr>
                <w:sz w:val="16"/>
                <w:szCs w:val="16"/>
                <w:color w:val="auto"/>
              </w:rPr>
            </w:pPr>
          </w:p>
        </w:tc>
      </w:tr>
      <w:tr>
        <w:trPr>
          <w:trHeight w:val="346"/>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Instance Document</w:t>
            </w:r>
          </w:p>
        </w:tc>
      </w:tr>
      <w:tr>
        <w:trPr>
          <w:trHeight w:val="327"/>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Taxonomy Extension Schema</w:t>
            </w:r>
          </w:p>
        </w:tc>
      </w:tr>
      <w:tr>
        <w:trPr>
          <w:trHeight w:val="327"/>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327"/>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327"/>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Taxonomy Extension Label Linkbase</w:t>
            </w:r>
          </w:p>
        </w:tc>
      </w:tr>
      <w:tr>
        <w:trPr>
          <w:trHeight w:val="327"/>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2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838"/>
        </w:trPr>
        <w:tc>
          <w:tcPr>
            <w:tcW w:w="98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10460" w:type="dxa"/>
            <w:vAlign w:val="bottom"/>
            <w:gridSpan w:val="4"/>
          </w:tcPr>
          <w:p>
            <w:pPr>
              <w:ind w:left="220"/>
              <w:spacing w:after="0"/>
              <w:rPr>
                <w:sz w:val="20"/>
                <w:szCs w:val="20"/>
                <w:color w:val="auto"/>
              </w:rPr>
            </w:pPr>
            <w:r>
              <w:rPr>
                <w:rFonts w:ascii="Arial" w:cs="Arial" w:eastAsia="Arial" w:hAnsi="Arial"/>
                <w:sz w:val="17"/>
                <w:szCs w:val="17"/>
                <w:b w:val="1"/>
                <w:bCs w:val="1"/>
                <w:color w:val="auto"/>
              </w:rPr>
              <w:t>FORM 10-K SUMMARY</w:t>
            </w:r>
          </w:p>
        </w:tc>
      </w:tr>
      <w:tr>
        <w:trPr>
          <w:trHeight w:val="419"/>
        </w:trPr>
        <w:tc>
          <w:tcPr>
            <w:tcW w:w="980" w:type="dxa"/>
            <w:vAlign w:val="bottom"/>
          </w:tcPr>
          <w:p>
            <w:pPr>
              <w:ind w:left="120"/>
              <w:spacing w:after="0"/>
              <w:rPr>
                <w:sz w:val="20"/>
                <w:szCs w:val="20"/>
                <w:color w:val="auto"/>
              </w:rPr>
            </w:pPr>
            <w:r>
              <w:rPr>
                <w:rFonts w:ascii="Arial" w:cs="Arial" w:eastAsia="Arial" w:hAnsi="Arial"/>
                <w:sz w:val="17"/>
                <w:szCs w:val="17"/>
                <w:color w:val="auto"/>
              </w:rPr>
              <w:t>None</w:t>
            </w:r>
            <w:r>
              <w:rPr>
                <w:rFonts w:ascii="Arial" w:cs="Arial" w:eastAsia="Arial" w:hAnsi="Arial"/>
                <w:sz w:val="17"/>
                <w:szCs w:val="17"/>
                <w:b w:val="1"/>
                <w:bCs w:val="1"/>
                <w:color w:val="auto"/>
              </w:rPr>
              <w:t>.</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4"/>
        </w:trPr>
        <w:tc>
          <w:tcPr>
            <w:tcW w:w="980" w:type="dxa"/>
            <w:vAlign w:val="bottom"/>
          </w:tcPr>
          <w:p>
            <w:pPr>
              <w:spacing w:after="0"/>
              <w:rPr>
                <w:sz w:val="24"/>
                <w:szCs w:val="24"/>
                <w:color w:val="auto"/>
              </w:rPr>
            </w:pPr>
          </w:p>
        </w:tc>
        <w:tc>
          <w:tcPr>
            <w:tcW w:w="10440" w:type="dxa"/>
            <w:vAlign w:val="bottom"/>
            <w:gridSpan w:val="3"/>
          </w:tcPr>
          <w:p>
            <w:pPr>
              <w:jc w:val="right"/>
              <w:ind w:right="5620"/>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24"/>
                <w:szCs w:val="24"/>
                <w:color w:val="auto"/>
              </w:rPr>
            </w:pPr>
          </w:p>
        </w:tc>
      </w:tr>
      <w:tr>
        <w:trPr>
          <w:trHeight w:val="111"/>
        </w:trPr>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Annual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1820"/>
              <w:spacing w:after="0"/>
              <w:rPr>
                <w:sz w:val="20"/>
                <w:szCs w:val="20"/>
                <w:color w:val="auto"/>
              </w:rPr>
            </w:pPr>
            <w:r>
              <w:rPr>
                <w:rFonts w:ascii="Arial" w:cs="Arial" w:eastAsia="Arial" w:hAnsi="Arial"/>
                <w:sz w:val="17"/>
                <w:szCs w:val="17"/>
                <w:color w:val="auto"/>
              </w:rPr>
              <w:t>CORECIVIC, INC.</w:t>
            </w:r>
          </w:p>
        </w:tc>
      </w:tr>
      <w:tr>
        <w:trPr>
          <w:trHeight w:val="419"/>
        </w:trPr>
        <w:tc>
          <w:tcPr>
            <w:tcW w:w="3560" w:type="dxa"/>
            <w:vAlign w:val="bottom"/>
          </w:tcPr>
          <w:p>
            <w:pPr>
              <w:spacing w:after="0"/>
              <w:rPr>
                <w:sz w:val="20"/>
                <w:szCs w:val="20"/>
                <w:color w:val="auto"/>
              </w:rPr>
            </w:pPr>
            <w:r>
              <w:rPr>
                <w:rFonts w:ascii="Arial" w:cs="Arial" w:eastAsia="Arial" w:hAnsi="Arial"/>
                <w:sz w:val="17"/>
                <w:szCs w:val="17"/>
                <w:color w:val="auto"/>
              </w:rPr>
              <w:t>Date: February 22, 2018</w:t>
            </w:r>
          </w:p>
        </w:tc>
        <w:tc>
          <w:tcPr>
            <w:tcW w:w="7860" w:type="dxa"/>
            <w:vAlign w:val="bottom"/>
            <w:gridSpan w:val="2"/>
          </w:tcPr>
          <w:p>
            <w:pPr>
              <w:ind w:left="1820"/>
              <w:spacing w:after="0"/>
              <w:rPr>
                <w:sz w:val="20"/>
                <w:szCs w:val="20"/>
                <w:color w:val="auto"/>
              </w:rPr>
            </w:pPr>
            <w:r>
              <w:rPr>
                <w:rFonts w:ascii="Arial" w:cs="Arial" w:eastAsia="Arial" w:hAnsi="Arial"/>
                <w:sz w:val="17"/>
                <w:szCs w:val="17"/>
                <w:color w:val="auto"/>
              </w:rPr>
              <w:t>By: /s/ Damon T. Hininger</w:t>
            </w:r>
          </w:p>
        </w:tc>
      </w:tr>
      <w:tr>
        <w:trPr>
          <w:trHeight w:val="215"/>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Damon T. Hininger, President and Chief Executive Officer</w:t>
            </w:r>
          </w:p>
        </w:tc>
      </w:tr>
    </w:tbl>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Damon T. Hininger</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190"/>
        </w:trPr>
        <w:tc>
          <w:tcPr>
            <w:tcW w:w="7320" w:type="dxa"/>
            <w:vAlign w:val="bottom"/>
          </w:tcPr>
          <w:p>
            <w:pPr>
              <w:spacing w:after="0" w:line="190" w:lineRule="exact"/>
              <w:rPr>
                <w:sz w:val="20"/>
                <w:szCs w:val="20"/>
                <w:color w:val="auto"/>
              </w:rPr>
            </w:pPr>
            <w:r>
              <w:rPr>
                <w:rFonts w:ascii="Arial" w:cs="Arial" w:eastAsia="Arial" w:hAnsi="Arial"/>
                <w:sz w:val="17"/>
                <w:szCs w:val="17"/>
                <w:color w:val="auto"/>
              </w:rPr>
              <w:t>Damon T. Hininger, President and Chief Executive Officer</w:t>
            </w:r>
          </w:p>
        </w:tc>
        <w:tc>
          <w:tcPr>
            <w:tcW w:w="1400" w:type="dxa"/>
            <w:vAlign w:val="bottom"/>
          </w:tcPr>
          <w:p>
            <w:pPr>
              <w:spacing w:after="0"/>
              <w:rPr>
                <w:sz w:val="16"/>
                <w:szCs w:val="16"/>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7"/>
                <w:szCs w:val="17"/>
                <w:color w:val="auto"/>
              </w:rPr>
              <w:t>(Principal Executive Officer and Director)</w:t>
            </w:r>
          </w:p>
        </w:tc>
        <w:tc>
          <w:tcPr>
            <w:tcW w:w="1400" w:type="dxa"/>
            <w:vAlign w:val="bottom"/>
          </w:tcPr>
          <w:p>
            <w:pPr>
              <w:spacing w:after="0"/>
              <w:rPr>
                <w:sz w:val="19"/>
                <w:szCs w:val="19"/>
                <w:color w:val="auto"/>
              </w:rPr>
            </w:pPr>
          </w:p>
        </w:tc>
      </w:tr>
      <w:tr>
        <w:trPr>
          <w:trHeight w:val="419"/>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M. Garfinkle</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190"/>
        </w:trPr>
        <w:tc>
          <w:tcPr>
            <w:tcW w:w="7320" w:type="dxa"/>
            <w:vAlign w:val="bottom"/>
          </w:tcPr>
          <w:p>
            <w:pPr>
              <w:spacing w:after="0" w:line="190" w:lineRule="exact"/>
              <w:rPr>
                <w:sz w:val="20"/>
                <w:szCs w:val="20"/>
                <w:color w:val="auto"/>
              </w:rPr>
            </w:pPr>
            <w:r>
              <w:rPr>
                <w:rFonts w:ascii="Arial" w:cs="Arial" w:eastAsia="Arial" w:hAnsi="Arial"/>
                <w:sz w:val="17"/>
                <w:szCs w:val="17"/>
                <w:color w:val="auto"/>
              </w:rPr>
              <w:t>David M. Garfinkle, Executive Vice President and Chief Financial Officer</w:t>
            </w:r>
          </w:p>
        </w:tc>
        <w:tc>
          <w:tcPr>
            <w:tcW w:w="1400" w:type="dxa"/>
            <w:vAlign w:val="bottom"/>
          </w:tcPr>
          <w:p>
            <w:pPr>
              <w:spacing w:after="0"/>
              <w:rPr>
                <w:sz w:val="16"/>
                <w:szCs w:val="16"/>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c>
          <w:tcPr>
            <w:tcW w:w="1400" w:type="dxa"/>
            <w:vAlign w:val="bottom"/>
          </w:tcPr>
          <w:p>
            <w:pPr>
              <w:spacing w:after="0"/>
              <w:rPr>
                <w:sz w:val="19"/>
                <w:szCs w:val="19"/>
                <w:color w:val="auto"/>
              </w:rPr>
            </w:pPr>
          </w:p>
        </w:tc>
      </w:tr>
      <w:tr>
        <w:trPr>
          <w:trHeight w:val="419"/>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A. Emkes</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Mark A. Emkes, Chairman of the Board of Directors</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Donna M. Alvarado</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Donna M. Alvarado,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J. Dennis</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Robert J. Dennis,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Stacia A. Hylton</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Stacia A. Hylton,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Harley G. Lappin</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Harley G. Lappin,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Anne L. Mariucci</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Anne L. Mariucci,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Thurgood Marshall, Jr.</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Thurgood Marshall, Jr.,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Charles L. Overby</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Charles L. Overby, Director</w:t>
            </w:r>
          </w:p>
        </w:tc>
        <w:tc>
          <w:tcPr>
            <w:tcW w:w="1400" w:type="dxa"/>
            <w:vAlign w:val="bottom"/>
          </w:tcPr>
          <w:p>
            <w:pPr>
              <w:spacing w:after="0"/>
              <w:rPr>
                <w:sz w:val="18"/>
                <w:szCs w:val="18"/>
                <w:color w:val="auto"/>
              </w:rPr>
            </w:pPr>
          </w:p>
        </w:tc>
      </w:tr>
      <w:tr>
        <w:trPr>
          <w:trHeight w:val="40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R. Prann, Jr.</w:t>
            </w:r>
          </w:p>
        </w:tc>
        <w:tc>
          <w:tcPr>
            <w:tcW w:w="1400" w:type="dxa"/>
            <w:vAlign w:val="bottom"/>
          </w:tcPr>
          <w:p>
            <w:pPr>
              <w:ind w:left="100"/>
              <w:spacing w:after="0"/>
              <w:rPr>
                <w:sz w:val="20"/>
                <w:szCs w:val="20"/>
                <w:color w:val="auto"/>
              </w:rPr>
            </w:pPr>
            <w:r>
              <w:rPr>
                <w:rFonts w:ascii="Arial" w:cs="Arial" w:eastAsia="Arial" w:hAnsi="Arial"/>
                <w:sz w:val="17"/>
                <w:szCs w:val="17"/>
                <w:color w:val="auto"/>
                <w:w w:val="92"/>
              </w:rPr>
              <w:t>February 22, 2018</w:t>
            </w:r>
          </w:p>
        </w:tc>
      </w:tr>
      <w:tr>
        <w:trPr>
          <w:trHeight w:val="215"/>
        </w:trPr>
        <w:tc>
          <w:tcPr>
            <w:tcW w:w="7320" w:type="dxa"/>
            <w:vAlign w:val="bottom"/>
          </w:tcPr>
          <w:p>
            <w:pPr>
              <w:spacing w:after="0"/>
              <w:rPr>
                <w:sz w:val="20"/>
                <w:szCs w:val="20"/>
                <w:color w:val="auto"/>
              </w:rPr>
            </w:pPr>
            <w:r>
              <w:rPr>
                <w:rFonts w:ascii="Arial" w:cs="Arial" w:eastAsia="Arial" w:hAnsi="Arial"/>
                <w:sz w:val="17"/>
                <w:szCs w:val="17"/>
                <w:color w:val="auto"/>
              </w:rPr>
              <w:t>John R. Prann, Jr., Director</w:t>
            </w:r>
          </w:p>
        </w:tc>
        <w:tc>
          <w:tcPr>
            <w:tcW w:w="1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8"/>
        </w:trPr>
        <w:tc>
          <w:tcPr>
            <w:tcW w:w="9260" w:type="dxa"/>
            <w:vAlign w:val="bottom"/>
            <w:gridSpan w:val="7"/>
          </w:tcPr>
          <w:p>
            <w:pPr>
              <w:spacing w:after="0"/>
              <w:rPr>
                <w:sz w:val="20"/>
                <w:szCs w:val="20"/>
                <w:color w:val="auto"/>
              </w:rPr>
            </w:pPr>
            <w:r>
              <w:rPr>
                <w:rFonts w:ascii="Arial" w:cs="Arial" w:eastAsia="Arial" w:hAnsi="Arial"/>
                <w:sz w:val="17"/>
                <w:szCs w:val="17"/>
                <w:b w:val="1"/>
                <w:bCs w:val="1"/>
                <w:color w:val="auto"/>
              </w:rPr>
              <w:t>INDEX TO FINANCIAL STATEMENTS</w:t>
            </w:r>
          </w:p>
        </w:tc>
        <w:tc>
          <w:tcPr>
            <w:tcW w:w="2160" w:type="dxa"/>
            <w:vAlign w:val="bottom"/>
          </w:tcPr>
          <w:p>
            <w:pPr>
              <w:spacing w:after="0"/>
              <w:rPr>
                <w:sz w:val="19"/>
                <w:szCs w:val="19"/>
                <w:color w:val="auto"/>
              </w:rPr>
            </w:pPr>
          </w:p>
        </w:tc>
      </w:tr>
      <w:tr>
        <w:trPr>
          <w:trHeight w:val="419"/>
        </w:trPr>
        <w:tc>
          <w:tcPr>
            <w:tcW w:w="9260" w:type="dxa"/>
            <w:vAlign w:val="bottom"/>
            <w:gridSpan w:val="7"/>
          </w:tcPr>
          <w:p>
            <w:pPr>
              <w:spacing w:after="0"/>
              <w:rPr>
                <w:sz w:val="20"/>
                <w:szCs w:val="20"/>
                <w:color w:val="auto"/>
              </w:rPr>
            </w:pPr>
            <w:r>
              <w:rPr>
                <w:rFonts w:ascii="Arial" w:cs="Arial" w:eastAsia="Arial" w:hAnsi="Arial"/>
                <w:sz w:val="17"/>
                <w:szCs w:val="17"/>
                <w:b w:val="1"/>
                <w:bCs w:val="1"/>
                <w:color w:val="auto"/>
              </w:rPr>
              <w:t>Consolidated Financial Statements of CoreCivic, Inc. and Subsidiaries</w:t>
            </w:r>
          </w:p>
        </w:tc>
        <w:tc>
          <w:tcPr>
            <w:tcW w:w="2160" w:type="dxa"/>
            <w:vAlign w:val="bottom"/>
          </w:tcPr>
          <w:p>
            <w:pPr>
              <w:spacing w:after="0"/>
              <w:rPr>
                <w:sz w:val="24"/>
                <w:szCs w:val="24"/>
                <w:color w:val="auto"/>
              </w:rPr>
            </w:pPr>
          </w:p>
        </w:tc>
      </w:tr>
      <w:tr>
        <w:trPr>
          <w:trHeight w:val="288"/>
        </w:trPr>
        <w:tc>
          <w:tcPr>
            <w:tcW w:w="4100" w:type="dxa"/>
            <w:vAlign w:val="bottom"/>
            <w:tcBorders>
              <w:bottom w:val="single" w:sz="8" w:color="0000EE"/>
            </w:tcBorders>
            <w:gridSpan w:val="2"/>
          </w:tcPr>
          <w:p>
            <w:pPr>
              <w:spacing w:after="0"/>
              <w:rPr>
                <w:rFonts w:ascii="Arial" w:cs="Arial" w:eastAsia="Arial" w:hAnsi="Arial"/>
                <w:sz w:val="17"/>
                <w:szCs w:val="17"/>
                <w:color w:val="0000EE"/>
                <w:w w:val="93"/>
              </w:rPr>
            </w:pPr>
            <w:hyperlink w:anchor="page93">
              <w:r>
                <w:rPr>
                  <w:rFonts w:ascii="Arial" w:cs="Arial" w:eastAsia="Arial" w:hAnsi="Arial"/>
                  <w:sz w:val="17"/>
                  <w:szCs w:val="17"/>
                  <w:color w:val="0000EE"/>
                  <w:w w:val="93"/>
                </w:rPr>
                <w:t>Report of Independent Registered Public Accounting Firm</w:t>
              </w:r>
            </w:hyperlink>
          </w:p>
        </w:tc>
        <w:tc>
          <w:tcPr>
            <w:tcW w:w="5160" w:type="dxa"/>
            <w:vAlign w:val="bottom"/>
            <w:gridSpan w:val="5"/>
          </w:tcPr>
          <w:p>
            <w:pPr>
              <w:spacing w:after="0"/>
              <w:rPr>
                <w:sz w:val="24"/>
                <w:szCs w:val="24"/>
                <w:color w:val="auto"/>
              </w:rPr>
            </w:pPr>
          </w:p>
        </w:tc>
        <w:tc>
          <w:tcPr>
            <w:tcW w:w="2160" w:type="dxa"/>
            <w:vAlign w:val="bottom"/>
          </w:tcPr>
          <w:p>
            <w:pPr>
              <w:ind w:left="1920"/>
              <w:spacing w:after="0"/>
              <w:rPr>
                <w:sz w:val="20"/>
                <w:szCs w:val="20"/>
                <w:color w:val="auto"/>
              </w:rPr>
            </w:pPr>
            <w:r>
              <w:rPr>
                <w:rFonts w:ascii="Arial" w:cs="Arial" w:eastAsia="Arial" w:hAnsi="Arial"/>
                <w:sz w:val="17"/>
                <w:szCs w:val="17"/>
                <w:color w:val="auto"/>
                <w:w w:val="86"/>
              </w:rPr>
              <w:t>F-2</w:t>
            </w:r>
          </w:p>
        </w:tc>
      </w:tr>
      <w:tr>
        <w:trPr>
          <w:trHeight w:val="190"/>
        </w:trPr>
        <w:tc>
          <w:tcPr>
            <w:tcW w:w="4520" w:type="dxa"/>
            <w:vAlign w:val="bottom"/>
            <w:tcBorders>
              <w:bottom w:val="single" w:sz="8" w:color="0000EE"/>
            </w:tcBorders>
            <w:gridSpan w:val="3"/>
          </w:tcPr>
          <w:p>
            <w:pPr>
              <w:spacing w:after="0" w:line="189" w:lineRule="exact"/>
              <w:rPr>
                <w:rFonts w:ascii="Arial" w:cs="Arial" w:eastAsia="Arial" w:hAnsi="Arial"/>
                <w:sz w:val="17"/>
                <w:szCs w:val="17"/>
                <w:color w:val="0000EE"/>
                <w:w w:val="91"/>
              </w:rPr>
            </w:pPr>
            <w:hyperlink w:anchor="page94">
              <w:r>
                <w:rPr>
                  <w:rFonts w:ascii="Arial" w:cs="Arial" w:eastAsia="Arial" w:hAnsi="Arial"/>
                  <w:sz w:val="17"/>
                  <w:szCs w:val="17"/>
                  <w:color w:val="0000EE"/>
                  <w:w w:val="91"/>
                </w:rPr>
                <w:t>Consolidated Balance Sheets as of December 31, 2017 and 2016</w:t>
              </w:r>
            </w:hyperlink>
          </w:p>
        </w:tc>
        <w:tc>
          <w:tcPr>
            <w:tcW w:w="4740" w:type="dxa"/>
            <w:vAlign w:val="bottom"/>
            <w:gridSpan w:val="4"/>
          </w:tcPr>
          <w:p>
            <w:pPr>
              <w:spacing w:after="0"/>
              <w:rPr>
                <w:sz w:val="16"/>
                <w:szCs w:val="16"/>
                <w:color w:val="auto"/>
              </w:rPr>
            </w:pPr>
          </w:p>
        </w:tc>
        <w:tc>
          <w:tcPr>
            <w:tcW w:w="2160" w:type="dxa"/>
            <w:vAlign w:val="bottom"/>
          </w:tcPr>
          <w:p>
            <w:pPr>
              <w:ind w:left="1920"/>
              <w:spacing w:after="0" w:line="189" w:lineRule="exact"/>
              <w:rPr>
                <w:sz w:val="20"/>
                <w:szCs w:val="20"/>
                <w:color w:val="auto"/>
              </w:rPr>
            </w:pPr>
            <w:r>
              <w:rPr>
                <w:rFonts w:ascii="Arial" w:cs="Arial" w:eastAsia="Arial" w:hAnsi="Arial"/>
                <w:sz w:val="17"/>
                <w:szCs w:val="17"/>
                <w:color w:val="auto"/>
                <w:w w:val="86"/>
              </w:rPr>
              <w:t>F-3</w:t>
            </w:r>
          </w:p>
        </w:tc>
      </w:tr>
      <w:tr>
        <w:trPr>
          <w:trHeight w:val="190"/>
        </w:trPr>
        <w:tc>
          <w:tcPr>
            <w:tcW w:w="9260" w:type="dxa"/>
            <w:vAlign w:val="bottom"/>
            <w:gridSpan w:val="7"/>
          </w:tcPr>
          <w:p>
            <w:pPr>
              <w:spacing w:after="0" w:line="189" w:lineRule="exact"/>
              <w:rPr>
                <w:rFonts w:ascii="Arial" w:cs="Arial" w:eastAsia="Arial" w:hAnsi="Arial"/>
                <w:sz w:val="17"/>
                <w:szCs w:val="17"/>
                <w:color w:val="0000EE"/>
              </w:rPr>
            </w:pPr>
            <w:hyperlink w:anchor="page95">
              <w:r>
                <w:rPr>
                  <w:rFonts w:ascii="Arial" w:cs="Arial" w:eastAsia="Arial" w:hAnsi="Arial"/>
                  <w:sz w:val="17"/>
                  <w:szCs w:val="17"/>
                  <w:color w:val="0000EE"/>
                </w:rPr>
                <w:t>Consolidated Statements of Operations for the years ended December 31, 2017, 2016 and 2015</w:t>
              </w:r>
            </w:hyperlink>
          </w:p>
        </w:tc>
        <w:tc>
          <w:tcPr>
            <w:tcW w:w="2160" w:type="dxa"/>
            <w:vAlign w:val="bottom"/>
          </w:tcPr>
          <w:p>
            <w:pPr>
              <w:ind w:left="1920"/>
              <w:spacing w:after="0" w:line="189" w:lineRule="exact"/>
              <w:rPr>
                <w:sz w:val="20"/>
                <w:szCs w:val="20"/>
                <w:color w:val="auto"/>
              </w:rPr>
            </w:pPr>
            <w:r>
              <w:rPr>
                <w:rFonts w:ascii="Arial" w:cs="Arial" w:eastAsia="Arial" w:hAnsi="Arial"/>
                <w:sz w:val="17"/>
                <w:szCs w:val="17"/>
                <w:color w:val="auto"/>
                <w:w w:val="86"/>
              </w:rPr>
              <w:t>F-4</w:t>
            </w:r>
          </w:p>
        </w:tc>
      </w:tr>
      <w:tr>
        <w:trPr>
          <w:trHeight w:val="20"/>
        </w:trPr>
        <w:tc>
          <w:tcPr>
            <w:tcW w:w="3060" w:type="dxa"/>
            <w:vAlign w:val="bottom"/>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0"/>
        </w:trPr>
        <w:tc>
          <w:tcPr>
            <w:tcW w:w="9260" w:type="dxa"/>
            <w:vAlign w:val="bottom"/>
            <w:gridSpan w:val="7"/>
          </w:tcPr>
          <w:p>
            <w:pPr>
              <w:spacing w:after="0" w:line="189" w:lineRule="exact"/>
              <w:rPr>
                <w:rFonts w:ascii="Arial" w:cs="Arial" w:eastAsia="Arial" w:hAnsi="Arial"/>
                <w:sz w:val="17"/>
                <w:szCs w:val="17"/>
                <w:color w:val="0000EE"/>
              </w:rPr>
            </w:pPr>
            <w:hyperlink w:anchor="page96">
              <w:r>
                <w:rPr>
                  <w:rFonts w:ascii="Arial" w:cs="Arial" w:eastAsia="Arial" w:hAnsi="Arial"/>
                  <w:sz w:val="17"/>
                  <w:szCs w:val="17"/>
                  <w:color w:val="0000EE"/>
                </w:rPr>
                <w:t>Consolidated Statements of Cash Flows for the years ended December 31, 2017, 2016 and 2015</w:t>
              </w:r>
            </w:hyperlink>
          </w:p>
        </w:tc>
        <w:tc>
          <w:tcPr>
            <w:tcW w:w="2160" w:type="dxa"/>
            <w:vAlign w:val="bottom"/>
          </w:tcPr>
          <w:p>
            <w:pPr>
              <w:ind w:left="1920"/>
              <w:spacing w:after="0" w:line="189" w:lineRule="exact"/>
              <w:rPr>
                <w:sz w:val="20"/>
                <w:szCs w:val="20"/>
                <w:color w:val="auto"/>
              </w:rPr>
            </w:pPr>
            <w:r>
              <w:rPr>
                <w:rFonts w:ascii="Arial" w:cs="Arial" w:eastAsia="Arial" w:hAnsi="Arial"/>
                <w:sz w:val="17"/>
                <w:szCs w:val="17"/>
                <w:color w:val="auto"/>
                <w:w w:val="86"/>
              </w:rPr>
              <w:t>F-5</w:t>
            </w:r>
          </w:p>
        </w:tc>
      </w:tr>
      <w:tr>
        <w:trPr>
          <w:trHeight w:val="20"/>
        </w:trPr>
        <w:tc>
          <w:tcPr>
            <w:tcW w:w="3060" w:type="dxa"/>
            <w:vAlign w:val="bottom"/>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0"/>
        </w:trPr>
        <w:tc>
          <w:tcPr>
            <w:tcW w:w="7340" w:type="dxa"/>
            <w:vAlign w:val="bottom"/>
            <w:tcBorders>
              <w:bottom w:val="single" w:sz="8" w:color="0000EE"/>
            </w:tcBorders>
            <w:gridSpan w:val="6"/>
          </w:tcPr>
          <w:p>
            <w:pPr>
              <w:spacing w:after="0" w:line="189" w:lineRule="exact"/>
              <w:rPr>
                <w:rFonts w:ascii="Arial" w:cs="Arial" w:eastAsia="Arial" w:hAnsi="Arial"/>
                <w:sz w:val="17"/>
                <w:szCs w:val="17"/>
                <w:color w:val="0000EE"/>
                <w:w w:val="92"/>
              </w:rPr>
            </w:pPr>
            <w:hyperlink w:anchor="page97">
              <w:r>
                <w:rPr>
                  <w:rFonts w:ascii="Arial" w:cs="Arial" w:eastAsia="Arial" w:hAnsi="Arial"/>
                  <w:sz w:val="17"/>
                  <w:szCs w:val="17"/>
                  <w:color w:val="0000EE"/>
                  <w:w w:val="92"/>
                </w:rPr>
                <w:t>Consolidated Statements of Stockholders' Equity for the years ended December 31, 2017, 2016 and 2015</w:t>
              </w:r>
            </w:hyperlink>
          </w:p>
        </w:tc>
        <w:tc>
          <w:tcPr>
            <w:tcW w:w="1920" w:type="dxa"/>
            <w:vAlign w:val="bottom"/>
          </w:tcPr>
          <w:p>
            <w:pPr>
              <w:spacing w:after="0"/>
              <w:rPr>
                <w:sz w:val="16"/>
                <w:szCs w:val="16"/>
                <w:color w:val="auto"/>
              </w:rPr>
            </w:pPr>
          </w:p>
        </w:tc>
        <w:tc>
          <w:tcPr>
            <w:tcW w:w="2160" w:type="dxa"/>
            <w:vAlign w:val="bottom"/>
          </w:tcPr>
          <w:p>
            <w:pPr>
              <w:ind w:left="1920"/>
              <w:spacing w:after="0" w:line="189" w:lineRule="exact"/>
              <w:rPr>
                <w:sz w:val="20"/>
                <w:szCs w:val="20"/>
                <w:color w:val="auto"/>
              </w:rPr>
            </w:pPr>
            <w:r>
              <w:rPr>
                <w:rFonts w:ascii="Arial" w:cs="Arial" w:eastAsia="Arial" w:hAnsi="Arial"/>
                <w:sz w:val="17"/>
                <w:szCs w:val="17"/>
                <w:color w:val="auto"/>
                <w:w w:val="86"/>
              </w:rPr>
              <w:t>F-6</w:t>
            </w:r>
          </w:p>
        </w:tc>
      </w:tr>
      <w:tr>
        <w:trPr>
          <w:trHeight w:val="190"/>
        </w:trPr>
        <w:tc>
          <w:tcPr>
            <w:tcW w:w="3060" w:type="dxa"/>
            <w:vAlign w:val="bottom"/>
            <w:tcBorders>
              <w:bottom w:val="single" w:sz="8" w:color="0000EE"/>
            </w:tcBorders>
          </w:tcPr>
          <w:p>
            <w:pPr>
              <w:spacing w:after="0" w:line="189" w:lineRule="exact"/>
              <w:rPr>
                <w:rFonts w:ascii="Arial" w:cs="Arial" w:eastAsia="Arial" w:hAnsi="Arial"/>
                <w:sz w:val="17"/>
                <w:szCs w:val="17"/>
                <w:color w:val="0000EE"/>
                <w:w w:val="91"/>
              </w:rPr>
            </w:pPr>
            <w:hyperlink w:anchor="page100">
              <w:r>
                <w:rPr>
                  <w:rFonts w:ascii="Arial" w:cs="Arial" w:eastAsia="Arial" w:hAnsi="Arial"/>
                  <w:sz w:val="17"/>
                  <w:szCs w:val="17"/>
                  <w:color w:val="0000EE"/>
                  <w:w w:val="91"/>
                </w:rPr>
                <w:t>Notes to Consolidated Financial Statements</w:t>
              </w:r>
            </w:hyperlink>
          </w:p>
        </w:tc>
        <w:tc>
          <w:tcPr>
            <w:tcW w:w="6200" w:type="dxa"/>
            <w:vAlign w:val="bottom"/>
            <w:gridSpan w:val="6"/>
          </w:tcPr>
          <w:p>
            <w:pPr>
              <w:spacing w:after="0"/>
              <w:rPr>
                <w:sz w:val="16"/>
                <w:szCs w:val="16"/>
                <w:color w:val="auto"/>
              </w:rPr>
            </w:pPr>
          </w:p>
        </w:tc>
        <w:tc>
          <w:tcPr>
            <w:tcW w:w="2160" w:type="dxa"/>
            <w:vAlign w:val="bottom"/>
          </w:tcPr>
          <w:p>
            <w:pPr>
              <w:ind w:left="1920"/>
              <w:spacing w:after="0" w:line="189" w:lineRule="exact"/>
              <w:rPr>
                <w:sz w:val="20"/>
                <w:szCs w:val="20"/>
                <w:color w:val="auto"/>
              </w:rPr>
            </w:pPr>
            <w:r>
              <w:rPr>
                <w:rFonts w:ascii="Arial" w:cs="Arial" w:eastAsia="Arial" w:hAnsi="Arial"/>
                <w:sz w:val="17"/>
                <w:szCs w:val="17"/>
                <w:color w:val="auto"/>
                <w:w w:val="86"/>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CoreCivic, Inc. and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CoreCivic, Inc. and Subsidiaries (the Company) as of December 31, 2017 and 2016, and the related consolidated statements of operations, stockholders’ equity, and cash flows for each of the three years in the period ended December 31, 2017, and the related notes and financial statement schedule listed in the Index at Item 15(2) (collectively referred to as the “consolidated financial statements”). In our opinion, the consolidated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22, 2018, expressed an unqualified opinion thereon.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9"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vMerge w:val="restart"/>
          </w:tcPr>
          <w:p>
            <w:pPr>
              <w:ind w:left="3500"/>
              <w:spacing w:after="0"/>
              <w:rPr>
                <w:sz w:val="20"/>
                <w:szCs w:val="20"/>
                <w:color w:val="auto"/>
              </w:rPr>
            </w:pPr>
            <w:r>
              <w:rPr>
                <w:rFonts w:ascii="Arial" w:cs="Arial" w:eastAsia="Arial" w:hAnsi="Arial"/>
                <w:sz w:val="17"/>
                <w:szCs w:val="17"/>
                <w:b w:val="1"/>
                <w:bCs w:val="1"/>
                <w:color w:val="auto"/>
              </w:rPr>
              <w:t>ASSETS</w:t>
            </w:r>
          </w:p>
        </w:tc>
        <w:tc>
          <w:tcPr>
            <w:tcW w:w="18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52,183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7"/>
                <w:szCs w:val="17"/>
                <w:color w:val="auto"/>
              </w:rPr>
              <w:t>Accounts receivable, net of allowance of $782 and $1,580, respectively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254,188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21,119</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240"/>
              <w:spacing w:after="0"/>
              <w:rPr>
                <w:sz w:val="20"/>
                <w:szCs w:val="20"/>
                <w:color w:val="auto"/>
              </w:rPr>
            </w:pPr>
            <w:r>
              <w:rPr>
                <w:rFonts w:ascii="Arial" w:cs="Arial" w:eastAsia="Arial" w:hAnsi="Arial"/>
                <w:sz w:val="17"/>
                <w:szCs w:val="17"/>
                <w:color w:val="auto"/>
              </w:rPr>
              <w:t>Total current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327,490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298,824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Property and equipment, net of accumulated depreciation of $1,475,951 and</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2,802,449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$1,352,323, respectively</w:t>
            </w:r>
          </w:p>
        </w:tc>
        <w:tc>
          <w:tcPr>
            <w:tcW w:w="360" w:type="dxa"/>
            <w:vAlign w:val="bottom"/>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2,837,657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40,927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Non-current deferred tax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12,814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88,718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3,272,398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3,271,604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194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FF0FC"/>
            </w:tcBorders>
            <w:vMerge w:val="continue"/>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277,804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260,107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7"/>
                <w:szCs w:val="17"/>
                <w:color w:val="auto"/>
              </w:rPr>
              <w:t>Income taxes payable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3,034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10,000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24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290,838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272,193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Long-term debt, net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1,437,187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1,435,169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39,735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53,030</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1,820,790</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1,812,641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7"/>
                <w:szCs w:val="17"/>
                <w:color w:val="auto"/>
              </w:rPr>
              <w:t>Preferred stock – $0.01 par value; 50,000 shares authorized; none issued</w:t>
            </w:r>
          </w:p>
        </w:tc>
        <w:tc>
          <w:tcPr>
            <w:tcW w:w="360" w:type="dxa"/>
            <w:vAlign w:val="bottom"/>
          </w:tcPr>
          <w:p>
            <w:pPr>
              <w:spacing w:after="0"/>
              <w:rPr>
                <w:sz w:val="18"/>
                <w:szCs w:val="18"/>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ind w:left="140"/>
              <w:spacing w:after="0"/>
              <w:rPr>
                <w:sz w:val="20"/>
                <w:szCs w:val="20"/>
                <w:color w:val="auto"/>
              </w:rPr>
            </w:pPr>
            <w:r>
              <w:rPr>
                <w:rFonts w:ascii="Arial" w:cs="Arial" w:eastAsia="Arial" w:hAnsi="Arial"/>
                <w:sz w:val="17"/>
                <w:szCs w:val="17"/>
                <w:color w:val="auto"/>
              </w:rPr>
              <w:t>and outstanding at December 31, 2017 and 2016, respectively</w:t>
            </w:r>
          </w:p>
        </w:tc>
        <w:tc>
          <w:tcPr>
            <w:tcW w:w="3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Common stock – $0.01 par value; 300,000 shares authorized;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118,204 and 117,554 shares issued and outstanding</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1,182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at December 31, 2017 and 2016, respectively</w:t>
            </w:r>
          </w:p>
        </w:tc>
        <w:tc>
          <w:tcPr>
            <w:tcW w:w="360" w:type="dxa"/>
            <w:vAlign w:val="bottom"/>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1,794,713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1,780,350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(344,287)</w:t>
            </w: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(322,563)</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1,451,608</w:t>
            </w:r>
          </w:p>
        </w:tc>
        <w:tc>
          <w:tcPr>
            <w:tcW w:w="28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1,458,963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3,272,398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3,271,604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ind w:right="13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line="150"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line="150"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1,765,498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1,849,785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1,793,087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1,249,537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1,275,586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1,256,128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107,822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107,027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147,129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166,746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Arial" w:cs="Arial" w:eastAsia="Arial" w:hAnsi="Arial"/>
                <w:sz w:val="17"/>
                <w:szCs w:val="17"/>
                <w:color w:val="auto"/>
              </w:rPr>
              <w:t>Restructuring charges</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Asset impairments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1,505,102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1,553,369</w:t>
            </w:r>
          </w:p>
        </w:tc>
        <w:tc>
          <w:tcPr>
            <w:tcW w:w="2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1,512,533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INCOME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260,396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296,416</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280,554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 net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68,535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67,755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Arial" w:cs="Arial" w:eastAsia="Arial" w:hAnsi="Arial"/>
                <w:sz w:val="17"/>
                <w:szCs w:val="17"/>
                <w:color w:val="auto"/>
              </w:rPr>
              <w:t>Expenses associated with debt refinancing transactions</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68,445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68,244</w:t>
            </w:r>
          </w:p>
        </w:tc>
        <w:tc>
          <w:tcPr>
            <w:tcW w:w="26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50,339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BEFORE INCOME TAXES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191,951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228,172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(8,253)</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(8,361)</w:t>
            </w:r>
          </w:p>
        </w:tc>
        <w:tc>
          <w:tcPr>
            <w:tcW w:w="0" w:type="dxa"/>
            <w:vAlign w:val="bottom"/>
          </w:tcPr>
          <w:p>
            <w:pPr>
              <w:spacing w:after="0"/>
              <w:rPr>
                <w:sz w:val="1"/>
                <w:szCs w:val="1"/>
                <w:color w:val="auto"/>
              </w:rPr>
            </w:pPr>
          </w:p>
        </w:tc>
      </w:tr>
      <w:tr>
        <w:trPr>
          <w:trHeight w:val="216"/>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221,854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BASIC EARNINGS PER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78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DILUTED EARNINGS PER SHARE</w:t>
            </w: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DIVIDENDS DECLARED PER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80" w:type="dxa"/>
            <w:vAlign w:val="bottom"/>
            <w:vMerge w:val="continue"/>
          </w:tcPr>
          <w:p>
            <w:pPr>
              <w:spacing w:after="0"/>
              <w:rPr>
                <w:sz w:val="17"/>
                <w:szCs w:val="17"/>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160" w:type="dxa"/>
            <w:vAlign w:val="bottom"/>
          </w:tcPr>
          <w:p>
            <w:pPr>
              <w:spacing w:after="0"/>
              <w:rPr>
                <w:sz w:val="17"/>
                <w:szCs w:val="17"/>
                <w:color w:val="auto"/>
              </w:rPr>
            </w:pPr>
          </w:p>
        </w:tc>
        <w:tc>
          <w:tcPr>
            <w:tcW w:w="4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2.04</w:t>
            </w:r>
          </w:p>
        </w:tc>
        <w:tc>
          <w:tcPr>
            <w:tcW w:w="260" w:type="dxa"/>
            <w:vAlign w:val="bottom"/>
          </w:tcPr>
          <w:p>
            <w:pPr>
              <w:spacing w:after="0"/>
              <w:rPr>
                <w:sz w:val="17"/>
                <w:szCs w:val="17"/>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8"/>
          </w:tcPr>
          <w:p>
            <w:pPr>
              <w:jc w:val="right"/>
              <w:ind w:right="186"/>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7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FLOWS FROM OPERATING ACTIVITIES: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Net income</w:t>
            </w:r>
          </w:p>
        </w:tc>
        <w:tc>
          <w:tcPr>
            <w:tcW w:w="800" w:type="dxa"/>
            <w:vAlign w:val="bottom"/>
          </w:tcPr>
          <w:p>
            <w:pPr>
              <w:jc w:val="right"/>
              <w:ind w:right="648"/>
              <w:spacing w:after="0" w:line="170" w:lineRule="exact"/>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w w:val="95"/>
              </w:rPr>
              <w:t>178,040</w:t>
            </w:r>
          </w:p>
        </w:tc>
        <w:tc>
          <w:tcPr>
            <w:tcW w:w="160" w:type="dxa"/>
            <w:vAlign w:val="bottom"/>
          </w:tcPr>
          <w:p>
            <w:pPr>
              <w:spacing w:after="0"/>
              <w:rPr>
                <w:sz w:val="14"/>
                <w:szCs w:val="14"/>
                <w:color w:val="auto"/>
              </w:rPr>
            </w:pPr>
          </w:p>
        </w:tc>
        <w:tc>
          <w:tcPr>
            <w:tcW w:w="400" w:type="dxa"/>
            <w:vAlign w:val="bottom"/>
            <w:gridSpan w:val="2"/>
          </w:tcPr>
          <w:p>
            <w:pPr>
              <w:jc w:val="right"/>
              <w:ind w:right="146"/>
              <w:spacing w:after="0" w:line="170"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219,919</w:t>
            </w:r>
          </w:p>
        </w:tc>
        <w:tc>
          <w:tcPr>
            <w:tcW w:w="160" w:type="dxa"/>
            <w:vAlign w:val="bottom"/>
          </w:tcPr>
          <w:p>
            <w:pPr>
              <w:spacing w:after="0"/>
              <w:rPr>
                <w:sz w:val="14"/>
                <w:szCs w:val="14"/>
                <w:color w:val="auto"/>
              </w:rPr>
            </w:pPr>
          </w:p>
        </w:tc>
        <w:tc>
          <w:tcPr>
            <w:tcW w:w="400" w:type="dxa"/>
            <w:vAlign w:val="bottom"/>
            <w:gridSpan w:val="2"/>
          </w:tcPr>
          <w:p>
            <w:pPr>
              <w:jc w:val="right"/>
              <w:ind w:right="146"/>
              <w:spacing w:after="0" w:line="170"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221,854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480"/>
              <w:spacing w:after="0" w:line="170" w:lineRule="exact"/>
              <w:rPr>
                <w:sz w:val="20"/>
                <w:szCs w:val="20"/>
                <w:color w:val="auto"/>
              </w:rPr>
            </w:pPr>
            <w:r>
              <w:rPr>
                <w:rFonts w:ascii="Arial" w:cs="Arial" w:eastAsia="Arial" w:hAnsi="Arial"/>
                <w:sz w:val="15"/>
                <w:szCs w:val="15"/>
                <w:color w:val="auto"/>
              </w:rPr>
              <w:t>Depreciation and amortization</w:t>
            </w:r>
          </w:p>
        </w:tc>
        <w:tc>
          <w:tcPr>
            <w:tcW w:w="80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w w:val="95"/>
              </w:rPr>
              <w:t>147,129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166,746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151,514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Asset impairments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614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955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480"/>
              <w:spacing w:after="0" w:line="170" w:lineRule="exact"/>
              <w:rPr>
                <w:sz w:val="20"/>
                <w:szCs w:val="20"/>
                <w:color w:val="auto"/>
              </w:rPr>
            </w:pPr>
            <w:r>
              <w:rPr>
                <w:rFonts w:ascii="Arial" w:cs="Arial" w:eastAsia="Arial" w:hAnsi="Arial"/>
                <w:sz w:val="15"/>
                <w:szCs w:val="15"/>
                <w:color w:val="auto"/>
              </w:rPr>
              <w:t>Amortization of debt issuance costs and other non-cash interest</w:t>
            </w:r>
          </w:p>
        </w:tc>
        <w:tc>
          <w:tcPr>
            <w:tcW w:w="80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3,222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3,147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2,973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Expenses associated with debt refinancing transactions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701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480"/>
              <w:spacing w:after="0" w:line="170" w:lineRule="exact"/>
              <w:rPr>
                <w:sz w:val="20"/>
                <w:szCs w:val="20"/>
                <w:color w:val="auto"/>
              </w:rPr>
            </w:pPr>
            <w:r>
              <w:rPr>
                <w:rFonts w:ascii="Arial" w:cs="Arial" w:eastAsia="Arial" w:hAnsi="Arial"/>
                <w:sz w:val="15"/>
                <w:szCs w:val="15"/>
                <w:color w:val="auto"/>
              </w:rPr>
              <w:t>Deferred income taxes</w:t>
            </w:r>
          </w:p>
        </w:tc>
        <w:tc>
          <w:tcPr>
            <w:tcW w:w="80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921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(3,911)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5,706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Other expenses and non-cash items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4,267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5,265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3,732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480"/>
              <w:spacing w:after="0" w:line="170" w:lineRule="exact"/>
              <w:rPr>
                <w:sz w:val="20"/>
                <w:szCs w:val="20"/>
                <w:color w:val="auto"/>
              </w:rPr>
            </w:pPr>
            <w:r>
              <w:rPr>
                <w:rFonts w:ascii="Arial" w:cs="Arial" w:eastAsia="Arial" w:hAnsi="Arial"/>
                <w:sz w:val="15"/>
                <w:szCs w:val="15"/>
                <w:color w:val="auto"/>
              </w:rPr>
              <w:t>Non-cash revenue and other income</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(14,528)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(8,518)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(2,639)</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Income tax benefit of equity compensation</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(1,479)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70"/>
        </w:trPr>
        <w:tc>
          <w:tcPr>
            <w:tcW w:w="6780" w:type="dxa"/>
            <w:vAlign w:val="bottom"/>
          </w:tcPr>
          <w:p>
            <w:pPr>
              <w:ind w:left="480"/>
              <w:spacing w:after="0" w:line="170" w:lineRule="exact"/>
              <w:rPr>
                <w:sz w:val="20"/>
                <w:szCs w:val="20"/>
                <w:color w:val="auto"/>
              </w:rPr>
            </w:pPr>
            <w:r>
              <w:rPr>
                <w:rFonts w:ascii="Arial" w:cs="Arial" w:eastAsia="Arial" w:hAnsi="Arial"/>
                <w:sz w:val="15"/>
                <w:szCs w:val="15"/>
                <w:color w:val="auto"/>
              </w:rPr>
              <w:t>Non-cash equity compensation</w:t>
            </w:r>
          </w:p>
        </w:tc>
        <w:tc>
          <w:tcPr>
            <w:tcW w:w="80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13,286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17,903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15,394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Changes in assets and liabilities, net:</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720"/>
              <w:spacing w:after="0" w:line="170" w:lineRule="exact"/>
              <w:rPr>
                <w:sz w:val="20"/>
                <w:szCs w:val="20"/>
                <w:color w:val="auto"/>
              </w:rPr>
            </w:pPr>
            <w:r>
              <w:rPr>
                <w:rFonts w:ascii="Arial" w:cs="Arial" w:eastAsia="Arial" w:hAnsi="Arial"/>
                <w:sz w:val="15"/>
                <w:szCs w:val="15"/>
                <w:color w:val="auto"/>
              </w:rPr>
              <w:t>Accounts receivable, prepaid expenses and other assets</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(13,913)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14,059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1,266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720"/>
              <w:spacing w:after="0" w:line="170" w:lineRule="exact"/>
              <w:rPr>
                <w:sz w:val="20"/>
                <w:szCs w:val="20"/>
                <w:color w:val="auto"/>
              </w:rPr>
            </w:pPr>
            <w:r>
              <w:rPr>
                <w:rFonts w:ascii="Arial" w:cs="Arial" w:eastAsia="Arial" w:hAnsi="Arial"/>
                <w:sz w:val="15"/>
                <w:szCs w:val="15"/>
                <w:color w:val="auto"/>
              </w:rPr>
              <w:t>Accounts payable, accrued expenses and other liabilities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21,339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(39,403)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(2,210)</w:t>
            </w:r>
          </w:p>
        </w:tc>
        <w:tc>
          <w:tcPr>
            <w:tcW w:w="0" w:type="dxa"/>
            <w:vAlign w:val="bottom"/>
          </w:tcPr>
          <w:p>
            <w:pPr>
              <w:spacing w:after="0"/>
              <w:rPr>
                <w:sz w:val="1"/>
                <w:szCs w:val="1"/>
                <w:color w:val="auto"/>
              </w:rPr>
            </w:pPr>
          </w:p>
        </w:tc>
      </w:tr>
      <w:tr>
        <w:trPr>
          <w:trHeight w:val="170"/>
        </w:trPr>
        <w:tc>
          <w:tcPr>
            <w:tcW w:w="6780" w:type="dxa"/>
            <w:vAlign w:val="bottom"/>
            <w:tcBorders>
              <w:bottom w:val="single" w:sz="8" w:color="CFF0FC"/>
            </w:tcBorders>
          </w:tcPr>
          <w:p>
            <w:pPr>
              <w:ind w:left="720"/>
              <w:spacing w:after="0" w:line="170" w:lineRule="exact"/>
              <w:rPr>
                <w:sz w:val="20"/>
                <w:szCs w:val="20"/>
                <w:color w:val="auto"/>
              </w:rPr>
            </w:pPr>
            <w:r>
              <w:rPr>
                <w:rFonts w:ascii="Arial" w:cs="Arial" w:eastAsia="Arial" w:hAnsi="Arial"/>
                <w:sz w:val="15"/>
                <w:szCs w:val="15"/>
                <w:color w:val="auto"/>
              </w:rPr>
              <w:t>Income taxes payable</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948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1,645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1,077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FF0FC"/>
          </w:tcPr>
          <w:p>
            <w:pPr>
              <w:ind w:left="960"/>
              <w:spacing w:after="0" w:line="164" w:lineRule="exact"/>
              <w:rPr>
                <w:sz w:val="20"/>
                <w:szCs w:val="20"/>
                <w:color w:val="auto"/>
              </w:rPr>
            </w:pPr>
            <w:r>
              <w:rPr>
                <w:rFonts w:ascii="Arial" w:cs="Arial" w:eastAsia="Arial" w:hAnsi="Arial"/>
                <w:sz w:val="15"/>
                <w:szCs w:val="15"/>
                <w:color w:val="auto"/>
              </w:rPr>
              <w:t>Net cash provided by operating activities</w:t>
            </w:r>
          </w:p>
        </w:tc>
        <w:tc>
          <w:tcPr>
            <w:tcW w:w="8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w w:val="95"/>
              </w:rPr>
              <w:t>341,325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375,373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399,798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tcPr>
          <w:p>
            <w:pPr>
              <w:spacing w:after="0" w:line="164" w:lineRule="exact"/>
              <w:rPr>
                <w:sz w:val="20"/>
                <w:szCs w:val="20"/>
                <w:color w:val="auto"/>
              </w:rPr>
            </w:pPr>
            <w:r>
              <w:rPr>
                <w:rFonts w:ascii="Arial" w:cs="Arial" w:eastAsia="Arial" w:hAnsi="Arial"/>
                <w:sz w:val="15"/>
                <w:szCs w:val="15"/>
                <w:b w:val="1"/>
                <w:bCs w:val="1"/>
                <w:color w:val="auto"/>
              </w:rPr>
              <w:t>CASH FLOWS FROM INVESTING ACTIVITIES:</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Expenditures for facility development and expansions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b w:val="1"/>
                <w:bCs w:val="1"/>
                <w:color w:val="auto"/>
              </w:rPr>
              <w:t>(17,576)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(41,816)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(164,880)</w:t>
            </w: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Expenditures for other capital improvements</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(56,168)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(51,647)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(59,414)</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Capitalized lease payments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(34,470)</w:t>
            </w: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Acquisitions, net of cash acquired</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(48,867)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(43,769)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(158,366)</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Decrease in restricted cash</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240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1,350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Proceeds from sale of assets</w:t>
            </w:r>
          </w:p>
        </w:tc>
        <w:tc>
          <w:tcPr>
            <w:tcW w:w="80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970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8,412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563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(Increase) decrease in other assets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b w:val="1"/>
                <w:bCs w:val="1"/>
                <w:color w:val="auto"/>
              </w:rPr>
              <w:t>(3,605)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3,853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3,686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Borders>
              <w:bottom w:val="single" w:sz="8" w:color="CFF0FC"/>
            </w:tcBorders>
          </w:tcPr>
          <w:p>
            <w:pPr>
              <w:ind w:left="240"/>
              <w:spacing w:after="0" w:line="170" w:lineRule="exact"/>
              <w:rPr>
                <w:sz w:val="20"/>
                <w:szCs w:val="20"/>
                <w:color w:val="auto"/>
              </w:rPr>
            </w:pPr>
            <w:r>
              <w:rPr>
                <w:rFonts w:ascii="Arial" w:cs="Arial" w:eastAsia="Arial" w:hAnsi="Arial"/>
                <w:sz w:val="15"/>
                <w:szCs w:val="15"/>
                <w:color w:val="auto"/>
              </w:rPr>
              <w:t>Payments received on direct financing lease and notes receivable</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684</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2,539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2,250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FF0FC"/>
          </w:tcPr>
          <w:p>
            <w:pPr>
              <w:ind w:left="960"/>
              <w:spacing w:after="0" w:line="164" w:lineRule="exact"/>
              <w:rPr>
                <w:sz w:val="20"/>
                <w:szCs w:val="20"/>
                <w:color w:val="auto"/>
              </w:rPr>
            </w:pPr>
            <w:r>
              <w:rPr>
                <w:rFonts w:ascii="Arial" w:cs="Arial" w:eastAsia="Arial" w:hAnsi="Arial"/>
                <w:sz w:val="15"/>
                <w:szCs w:val="15"/>
                <w:color w:val="auto"/>
              </w:rPr>
              <w:t>Net cash used in investing activities</w:t>
            </w:r>
          </w:p>
        </w:tc>
        <w:tc>
          <w:tcPr>
            <w:tcW w:w="8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w w:val="80"/>
              </w:rPr>
              <w:t>(124,562)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(122,188)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(409,281)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tcPr>
          <w:p>
            <w:pPr>
              <w:spacing w:after="0" w:line="164" w:lineRule="exact"/>
              <w:rPr>
                <w:sz w:val="20"/>
                <w:szCs w:val="20"/>
                <w:color w:val="auto"/>
              </w:rPr>
            </w:pPr>
            <w:r>
              <w:rPr>
                <w:rFonts w:ascii="Arial" w:cs="Arial" w:eastAsia="Arial" w:hAnsi="Arial"/>
                <w:sz w:val="15"/>
                <w:szCs w:val="15"/>
                <w:b w:val="1"/>
                <w:bCs w:val="1"/>
                <w:color w:val="auto"/>
              </w:rPr>
              <w:t>CASH FLOWS FROM FINANCING ACTIVITIES:</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Proceeds from issuance of debt and borrowings from credit facility</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w w:val="95"/>
              </w:rPr>
              <w:t>475,500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389,000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807,000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Scheduled principal repayments</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(10,000)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Other principal repayments of debt</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b w:val="1"/>
                <w:bCs w:val="1"/>
                <w:color w:val="auto"/>
                <w:w w:val="90"/>
              </w:rPr>
              <w:t>(461,500)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(393,000)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(543,000)</w:t>
            </w: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Payment of debt issuance and other refinancing and related costs</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(4,169)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(5,727)</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Payment of lease obligations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b w:val="1"/>
                <w:bCs w:val="1"/>
                <w:color w:val="auto"/>
              </w:rPr>
              <w:t>(2,483)</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(11,789)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(6,468)</w:t>
            </w: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Contingent consideration for acquisition of businesses</w:t>
            </w:r>
          </w:p>
        </w:tc>
        <w:tc>
          <w:tcPr>
            <w:tcW w:w="800" w:type="dxa"/>
            <w:vAlign w:val="bottom"/>
          </w:tcPr>
          <w:p>
            <w:pPr>
              <w:spacing w:after="0"/>
              <w:rPr>
                <w:sz w:val="14"/>
                <w:szCs w:val="14"/>
                <w:color w:val="auto"/>
              </w:rPr>
            </w:pPr>
          </w:p>
        </w:tc>
        <w:tc>
          <w:tcPr>
            <w:tcW w:w="700" w:type="dxa"/>
            <w:vAlign w:val="bottom"/>
            <w:gridSpan w:val="2"/>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(5,073)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Proceeds from exercise of stock options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6,534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2,638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7,700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Purchase and retirement of common stock</w:t>
            </w:r>
          </w:p>
        </w:tc>
        <w:tc>
          <w:tcPr>
            <w:tcW w:w="800" w:type="dxa"/>
            <w:vAlign w:val="bottom"/>
          </w:tcPr>
          <w:p>
            <w:pPr>
              <w:spacing w:after="0"/>
              <w:rPr>
                <w:sz w:val="14"/>
                <w:szCs w:val="14"/>
                <w:color w:val="auto"/>
              </w:rPr>
            </w:pPr>
          </w:p>
        </w:tc>
        <w:tc>
          <w:tcPr>
            <w:tcW w:w="700" w:type="dxa"/>
            <w:vAlign w:val="bottom"/>
            <w:gridSpan w:val="2"/>
          </w:tcPr>
          <w:p>
            <w:pPr>
              <w:jc w:val="right"/>
              <w:ind w:right="100"/>
              <w:spacing w:after="0" w:line="170" w:lineRule="exact"/>
              <w:rPr>
                <w:sz w:val="20"/>
                <w:szCs w:val="20"/>
                <w:color w:val="auto"/>
              </w:rPr>
            </w:pPr>
            <w:r>
              <w:rPr>
                <w:rFonts w:ascii="Arial" w:cs="Arial" w:eastAsia="Arial" w:hAnsi="Arial"/>
                <w:sz w:val="15"/>
                <w:szCs w:val="15"/>
                <w:b w:val="1"/>
                <w:bCs w:val="1"/>
                <w:color w:val="auto"/>
              </w:rPr>
              <w:t>(5,847)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(4,006)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(9,454)</w:t>
            </w: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Income tax benefit of equity compensation</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1,479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525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Pr>
          <w:p>
            <w:pPr>
              <w:ind w:left="240"/>
              <w:spacing w:after="0" w:line="170" w:lineRule="exact"/>
              <w:rPr>
                <w:sz w:val="20"/>
                <w:szCs w:val="20"/>
                <w:color w:val="auto"/>
              </w:rPr>
            </w:pPr>
            <w:r>
              <w:rPr>
                <w:rFonts w:ascii="Arial" w:cs="Arial" w:eastAsia="Arial" w:hAnsi="Arial"/>
                <w:sz w:val="15"/>
                <w:szCs w:val="15"/>
                <w:color w:val="auto"/>
              </w:rPr>
              <w:t>Decrease in restricted cash for dividends</w:t>
            </w:r>
          </w:p>
        </w:tc>
        <w:tc>
          <w:tcPr>
            <w:tcW w:w="800" w:type="dxa"/>
            <w:vAlign w:val="bottom"/>
          </w:tcPr>
          <w:p>
            <w:pPr>
              <w:spacing w:after="0"/>
              <w:rPr>
                <w:sz w:val="14"/>
                <w:szCs w:val="14"/>
                <w:color w:val="auto"/>
              </w:rPr>
            </w:pPr>
          </w:p>
        </w:tc>
        <w:tc>
          <w:tcPr>
            <w:tcW w:w="700" w:type="dxa"/>
            <w:vAlign w:val="bottom"/>
            <w:gridSpan w:val="2"/>
          </w:tcPr>
          <w:p>
            <w:pPr>
              <w:jc w:val="right"/>
              <w:ind w:right="160"/>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550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Dividends paid</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b w:val="1"/>
                <w:bCs w:val="1"/>
                <w:color w:val="auto"/>
                <w:w w:val="90"/>
              </w:rPr>
              <w:t>(200,326)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5"/>
                <w:szCs w:val="15"/>
                <w:color w:val="auto"/>
              </w:rPr>
              <w:t>(255,496)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(250,695)</w:t>
            </w:r>
          </w:p>
        </w:tc>
        <w:tc>
          <w:tcPr>
            <w:tcW w:w="0" w:type="dxa"/>
            <w:vAlign w:val="bottom"/>
          </w:tcPr>
          <w:p>
            <w:pPr>
              <w:spacing w:after="0"/>
              <w:rPr>
                <w:sz w:val="1"/>
                <w:szCs w:val="1"/>
                <w:color w:val="auto"/>
              </w:rPr>
            </w:pPr>
          </w:p>
        </w:tc>
      </w:tr>
      <w:tr>
        <w:trPr>
          <w:trHeight w:val="163"/>
        </w:trPr>
        <w:tc>
          <w:tcPr>
            <w:tcW w:w="6780" w:type="dxa"/>
            <w:vAlign w:val="bottom"/>
            <w:tcBorders>
              <w:bottom w:val="single" w:sz="8" w:color="CFF0FC"/>
            </w:tcBorders>
          </w:tcPr>
          <w:p>
            <w:pPr>
              <w:ind w:left="960"/>
              <w:spacing w:after="0" w:line="164" w:lineRule="exact"/>
              <w:rPr>
                <w:sz w:val="20"/>
                <w:szCs w:val="20"/>
                <w:color w:val="auto"/>
              </w:rPr>
            </w:pPr>
            <w:r>
              <w:rPr>
                <w:rFonts w:ascii="Arial" w:cs="Arial" w:eastAsia="Arial" w:hAnsi="Arial"/>
                <w:sz w:val="15"/>
                <w:szCs w:val="15"/>
                <w:color w:val="auto"/>
              </w:rPr>
              <w:t>Net cash provided by (used in) financing activities</w:t>
            </w:r>
          </w:p>
        </w:tc>
        <w:tc>
          <w:tcPr>
            <w:tcW w:w="8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w w:val="80"/>
              </w:rPr>
              <w:t>(202,291)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(280,765)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381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NET INCREASE (DECREASE) IN CASH AND CASH EQUIVALENTS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rPr>
              <w:t>14,472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(27,580)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(9,102)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80" w:type="dxa"/>
            <w:vAlign w:val="bottom"/>
            <w:tcBorders>
              <w:bottom w:val="single" w:sz="8" w:color="CFF0FC"/>
            </w:tcBorders>
          </w:tcPr>
          <w:p>
            <w:pPr>
              <w:spacing w:after="0" w:line="170" w:lineRule="exact"/>
              <w:rPr>
                <w:sz w:val="20"/>
                <w:szCs w:val="20"/>
                <w:color w:val="auto"/>
              </w:rPr>
            </w:pPr>
            <w:r>
              <w:rPr>
                <w:rFonts w:ascii="Arial" w:cs="Arial" w:eastAsia="Arial" w:hAnsi="Arial"/>
                <w:sz w:val="15"/>
                <w:szCs w:val="15"/>
                <w:b w:val="1"/>
                <w:bCs w:val="1"/>
                <w:color w:val="auto"/>
              </w:rPr>
              <w:t>CASH AND CASH EQUIVALENTS, beginning of period</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37,711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65,291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74,393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80" w:type="dxa"/>
            <w:vAlign w:val="bottom"/>
            <w:tcBorders>
              <w:bottom w:val="single" w:sz="8" w:color="CFF0FC"/>
            </w:tcBorders>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AND CASH EQUIVALENTS, end of period</w:t>
            </w:r>
          </w:p>
        </w:tc>
        <w:tc>
          <w:tcPr>
            <w:tcW w:w="800" w:type="dxa"/>
            <w:vAlign w:val="bottom"/>
            <w:tcBorders>
              <w:bottom w:val="single" w:sz="8" w:color="auto"/>
            </w:tcBorders>
            <w:shd w:val="clear" w:color="auto" w:fill="CFF0FC"/>
          </w:tcPr>
          <w:p>
            <w:pPr>
              <w:jc w:val="right"/>
              <w:ind w:right="648"/>
              <w:spacing w:after="0" w:line="164" w:lineRule="exact"/>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rPr>
              <w:t>52,183</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6"/>
              <w:spacing w:after="0" w:line="164"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37,711</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6"/>
              <w:spacing w:after="0" w:line="164"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65,291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78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Cash paid during the period for:</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80" w:type="dxa"/>
            <w:vAlign w:val="bottom"/>
          </w:tcPr>
          <w:p>
            <w:pPr>
              <w:ind w:left="480"/>
              <w:spacing w:after="0" w:line="157" w:lineRule="exact"/>
              <w:rPr>
                <w:sz w:val="20"/>
                <w:szCs w:val="20"/>
                <w:color w:val="auto"/>
              </w:rPr>
            </w:pPr>
            <w:r>
              <w:rPr>
                <w:rFonts w:ascii="Arial" w:cs="Arial" w:eastAsia="Arial" w:hAnsi="Arial"/>
                <w:sz w:val="15"/>
                <w:szCs w:val="15"/>
                <w:color w:val="auto"/>
              </w:rPr>
              <w:t>Interest (net of amounts capitalized of $0, $552, and $5,478</w:t>
            </w:r>
          </w:p>
        </w:tc>
        <w:tc>
          <w:tcPr>
            <w:tcW w:w="800" w:type="dxa"/>
            <w:vAlign w:val="bottom"/>
            <w:vMerge w:val="restart"/>
          </w:tcPr>
          <w:p>
            <w:pPr>
              <w:jc w:val="right"/>
              <w:ind w:right="648"/>
              <w:spacing w:after="0"/>
              <w:rPr>
                <w:sz w:val="20"/>
                <w:szCs w:val="20"/>
                <w:color w:val="auto"/>
              </w:rPr>
            </w:pPr>
            <w:r>
              <w:rPr>
                <w:rFonts w:ascii="Arial" w:cs="Arial" w:eastAsia="Arial" w:hAnsi="Arial"/>
                <w:sz w:val="15"/>
                <w:szCs w:val="15"/>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57,485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FF0FC"/>
            </w:tcBorders>
          </w:tcPr>
          <w:p>
            <w:pPr>
              <w:ind w:left="640"/>
              <w:spacing w:after="0" w:line="171" w:lineRule="exact"/>
              <w:rPr>
                <w:sz w:val="20"/>
                <w:szCs w:val="20"/>
                <w:color w:val="auto"/>
              </w:rPr>
            </w:pPr>
            <w:r>
              <w:rPr>
                <w:rFonts w:ascii="Arial" w:cs="Arial" w:eastAsia="Arial" w:hAnsi="Arial"/>
                <w:sz w:val="15"/>
                <w:szCs w:val="15"/>
                <w:color w:val="auto"/>
              </w:rPr>
              <w:t>in 2017, 2016, and 2015, respectively)</w:t>
            </w:r>
          </w:p>
        </w:tc>
        <w:tc>
          <w:tcPr>
            <w:tcW w:w="8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6"/>
              <w:spacing w:after="0" w:line="171"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55,966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6"/>
              <w:spacing w:after="0" w:line="171"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36,992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780" w:type="dxa"/>
            <w:vAlign w:val="bottom"/>
            <w:tcBorders>
              <w:bottom w:val="single" w:sz="8" w:color="CFF0FC"/>
            </w:tcBorders>
            <w:shd w:val="clear" w:color="auto" w:fill="CFF0FC"/>
          </w:tcPr>
          <w:p>
            <w:pPr>
              <w:ind w:left="480"/>
              <w:spacing w:after="0" w:line="150" w:lineRule="exact"/>
              <w:rPr>
                <w:sz w:val="20"/>
                <w:szCs w:val="20"/>
                <w:color w:val="auto"/>
              </w:rPr>
            </w:pPr>
            <w:r>
              <w:rPr>
                <w:rFonts w:ascii="Arial" w:cs="Arial" w:eastAsia="Arial" w:hAnsi="Arial"/>
                <w:sz w:val="15"/>
                <w:szCs w:val="15"/>
                <w:color w:val="auto"/>
              </w:rPr>
              <w:t>Income taxes paid (refunded), net</w:t>
            </w:r>
          </w:p>
        </w:tc>
        <w:tc>
          <w:tcPr>
            <w:tcW w:w="800" w:type="dxa"/>
            <w:vAlign w:val="bottom"/>
            <w:tcBorders>
              <w:bottom w:val="single" w:sz="8" w:color="auto"/>
            </w:tcBorders>
            <w:shd w:val="clear" w:color="auto" w:fill="CFF0FC"/>
          </w:tcPr>
          <w:p>
            <w:pPr>
              <w:jc w:val="right"/>
              <w:ind w:right="648"/>
              <w:spacing w:after="0" w:line="150" w:lineRule="exact"/>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b w:val="1"/>
                <w:bCs w:val="1"/>
                <w:color w:val="auto"/>
              </w:rPr>
              <w:t>8,089</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6"/>
              <w:spacing w:after="0" w:line="150"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(2,137)</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6"/>
              <w:spacing w:after="0" w:line="150"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9,966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67"/>
        </w:trPr>
        <w:tc>
          <w:tcPr>
            <w:tcW w:w="530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Stockholders'</w:t>
            </w:r>
          </w:p>
        </w:tc>
      </w:tr>
      <w:tr>
        <w:trPr>
          <w:trHeight w:val="150"/>
        </w:trPr>
        <w:tc>
          <w:tcPr>
            <w:tcW w:w="53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16"/>
              <w:spacing w:after="0" w:line="150"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35"/>
              <w:spacing w:after="0" w:line="150" w:lineRule="exact"/>
              <w:rPr>
                <w:sz w:val="20"/>
                <w:szCs w:val="20"/>
                <w:color w:val="auto"/>
              </w:rPr>
            </w:pPr>
            <w:r>
              <w:rPr>
                <w:rFonts w:ascii="Arial" w:cs="Arial" w:eastAsia="Arial" w:hAnsi="Arial"/>
                <w:sz w:val="14"/>
                <w:szCs w:val="14"/>
                <w:b w:val="1"/>
                <w:bCs w:val="1"/>
                <w:color w:val="auto"/>
              </w:rPr>
              <w:t>Par Value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7"/>
              <w:spacing w:after="0" w:line="150"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6"/>
              <w:spacing w:after="0" w:line="150"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7"/>
              <w:spacing w:after="0" w:line="150"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Balance as of 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117,554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1,780,350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7"/>
                <w:szCs w:val="17"/>
                <w:color w:val="auto"/>
              </w:rPr>
              <w:t>(322,563)</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1,458,963</w:t>
            </w:r>
          </w:p>
        </w:tc>
        <w:tc>
          <w:tcPr>
            <w:tcW w:w="100" w:type="dxa"/>
            <w:vAlign w:val="bottom"/>
            <w:shd w:val="clear" w:color="auto" w:fill="CFF0FC"/>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7"/>
                <w:szCs w:val="17"/>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178,040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178,040</w:t>
            </w:r>
          </w:p>
        </w:tc>
        <w:tc>
          <w:tcPr>
            <w:tcW w:w="100" w:type="dxa"/>
            <w:vAlign w:val="bottom"/>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Retirement of common stock</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(5,845)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58"/>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(5,847)</w:t>
            </w:r>
          </w:p>
        </w:tc>
      </w:tr>
      <w:tr>
        <w:trPr>
          <w:trHeight w:val="210"/>
        </w:trPr>
        <w:tc>
          <w:tcPr>
            <w:tcW w:w="5300" w:type="dxa"/>
            <w:vAlign w:val="bottom"/>
          </w:tcPr>
          <w:p>
            <w:pPr>
              <w:spacing w:after="0"/>
              <w:rPr>
                <w:sz w:val="20"/>
                <w:szCs w:val="20"/>
                <w:color w:val="auto"/>
              </w:rPr>
            </w:pPr>
            <w:r>
              <w:rPr>
                <w:rFonts w:ascii="Arial" w:cs="Arial" w:eastAsia="Arial" w:hAnsi="Arial"/>
                <w:sz w:val="17"/>
                <w:szCs w:val="17"/>
                <w:color w:val="auto"/>
              </w:rPr>
              <w:t>Dividends declared on common stock ($1.68 per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00" w:type="dxa"/>
            <w:vAlign w:val="bottom"/>
          </w:tcPr>
          <w:p>
            <w:pPr>
              <w:ind w:left="140"/>
              <w:spacing w:after="0"/>
              <w:rPr>
                <w:sz w:val="20"/>
                <w:szCs w:val="20"/>
                <w:color w:val="auto"/>
              </w:rPr>
            </w:pPr>
            <w:r>
              <w:rPr>
                <w:rFonts w:ascii="Arial" w:cs="Arial" w:eastAsia="Arial" w:hAnsi="Arial"/>
                <w:sz w:val="17"/>
                <w:szCs w:val="17"/>
                <w:color w:val="auto"/>
              </w:rPr>
              <w:t>share)</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7"/>
                <w:szCs w:val="17"/>
                <w:color w:val="auto"/>
              </w:rPr>
              <w:t>(199,764)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(199,764)</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compensation, net of forfeitures</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58"/>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13,286</w:t>
            </w:r>
          </w:p>
        </w:tc>
        <w:tc>
          <w:tcPr>
            <w:tcW w:w="100" w:type="dxa"/>
            <w:vAlign w:val="bottom"/>
            <w:shd w:val="clear" w:color="auto" w:fill="CFF0FC"/>
          </w:tcPr>
          <w:p>
            <w:pPr>
              <w:spacing w:after="0"/>
              <w:rPr>
                <w:sz w:val="19"/>
                <w:szCs w:val="19"/>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7"/>
                <w:szCs w:val="17"/>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7"/>
                <w:szCs w:val="17"/>
                <w:color w:val="auto"/>
              </w:rPr>
              <w:t>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Stock options exercised</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58"/>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6,930</w:t>
            </w:r>
          </w:p>
        </w:tc>
        <w:tc>
          <w:tcPr>
            <w:tcW w:w="100" w:type="dxa"/>
            <w:vAlign w:val="bottom"/>
            <w:shd w:val="clear" w:color="auto" w:fill="CFF0FC"/>
          </w:tcPr>
          <w:p>
            <w:pPr>
              <w:spacing w:after="0"/>
              <w:rPr>
                <w:sz w:val="19"/>
                <w:szCs w:val="19"/>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b w:val="1"/>
                <w:bCs w:val="1"/>
                <w:color w:val="auto"/>
              </w:rPr>
              <w:t>Balance as of December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1,794,713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(344,287</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1,451,608</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67"/>
        </w:trPr>
        <w:tc>
          <w:tcPr>
            <w:tcW w:w="530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Stockholders'</w:t>
            </w:r>
          </w:p>
        </w:tc>
      </w:tr>
      <w:tr>
        <w:trPr>
          <w:trHeight w:val="150"/>
        </w:trPr>
        <w:tc>
          <w:tcPr>
            <w:tcW w:w="53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16"/>
              <w:spacing w:after="0" w:line="150"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34"/>
              <w:spacing w:after="0" w:line="150" w:lineRule="exact"/>
              <w:rPr>
                <w:sz w:val="20"/>
                <w:szCs w:val="20"/>
                <w:color w:val="auto"/>
              </w:rPr>
            </w:pPr>
            <w:r>
              <w:rPr>
                <w:rFonts w:ascii="Arial" w:cs="Arial" w:eastAsia="Arial" w:hAnsi="Arial"/>
                <w:sz w:val="14"/>
                <w:szCs w:val="14"/>
                <w:b w:val="1"/>
                <w:bCs w:val="1"/>
                <w:color w:val="auto"/>
              </w:rPr>
              <w:t>Par Value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7"/>
              <w:spacing w:after="0" w:line="150"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6"/>
              <w:spacing w:after="0" w:line="150"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7"/>
              <w:spacing w:after="0" w:line="150"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Balance as of 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117,232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1,762,394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(300,818)</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1,462,748</w:t>
            </w:r>
          </w:p>
        </w:tc>
        <w:tc>
          <w:tcPr>
            <w:tcW w:w="100" w:type="dxa"/>
            <w:vAlign w:val="bottom"/>
            <w:shd w:val="clear" w:color="auto" w:fill="CFF0FC"/>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7"/>
                <w:szCs w:val="17"/>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219,919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219,919</w:t>
            </w:r>
          </w:p>
        </w:tc>
        <w:tc>
          <w:tcPr>
            <w:tcW w:w="100" w:type="dxa"/>
            <w:vAlign w:val="bottom"/>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Retirement of common stock</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(4,005)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(4,006)</w:t>
            </w:r>
          </w:p>
        </w:tc>
      </w:tr>
      <w:tr>
        <w:trPr>
          <w:trHeight w:val="210"/>
        </w:trPr>
        <w:tc>
          <w:tcPr>
            <w:tcW w:w="5300" w:type="dxa"/>
            <w:vAlign w:val="bottom"/>
          </w:tcPr>
          <w:p>
            <w:pPr>
              <w:spacing w:after="0"/>
              <w:rPr>
                <w:sz w:val="20"/>
                <w:szCs w:val="20"/>
                <w:color w:val="auto"/>
              </w:rPr>
            </w:pPr>
            <w:r>
              <w:rPr>
                <w:rFonts w:ascii="Arial" w:cs="Arial" w:eastAsia="Arial" w:hAnsi="Arial"/>
                <w:sz w:val="17"/>
                <w:szCs w:val="17"/>
                <w:color w:val="auto"/>
              </w:rPr>
              <w:t>Dividends declared on common stock ($2.04 per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00" w:type="dxa"/>
            <w:vAlign w:val="bottom"/>
          </w:tcPr>
          <w:p>
            <w:pPr>
              <w:ind w:left="140"/>
              <w:spacing w:after="0"/>
              <w:rPr>
                <w:sz w:val="20"/>
                <w:szCs w:val="20"/>
                <w:color w:val="auto"/>
              </w:rPr>
            </w:pPr>
            <w:r>
              <w:rPr>
                <w:rFonts w:ascii="Arial" w:cs="Arial" w:eastAsia="Arial" w:hAnsi="Arial"/>
                <w:sz w:val="17"/>
                <w:szCs w:val="17"/>
                <w:color w:val="auto"/>
              </w:rPr>
              <w:t>share)</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(241,721)</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(241,721)</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compensation, net of forfeitures</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17,792</w:t>
            </w:r>
          </w:p>
        </w:tc>
        <w:tc>
          <w:tcPr>
            <w:tcW w:w="100" w:type="dxa"/>
            <w:vAlign w:val="bottom"/>
            <w:shd w:val="clear" w:color="auto" w:fill="CFF0FC"/>
          </w:tcPr>
          <w:p>
            <w:pPr>
              <w:spacing w:after="0"/>
              <w:rPr>
                <w:sz w:val="19"/>
                <w:szCs w:val="19"/>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7"/>
                <w:szCs w:val="17"/>
                <w:color w:val="auto"/>
              </w:rPr>
              <w:t>Stock option compensation expense, net of</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00" w:type="dxa"/>
            <w:vAlign w:val="bottom"/>
          </w:tcPr>
          <w:p>
            <w:pPr>
              <w:ind w:left="140"/>
              <w:spacing w:after="0"/>
              <w:rPr>
                <w:sz w:val="20"/>
                <w:szCs w:val="20"/>
                <w:color w:val="auto"/>
              </w:rPr>
            </w:pPr>
            <w:r>
              <w:rPr>
                <w:rFonts w:ascii="Arial" w:cs="Arial" w:eastAsia="Arial" w:hAnsi="Arial"/>
                <w:sz w:val="17"/>
                <w:szCs w:val="17"/>
                <w:color w:val="auto"/>
              </w:rPr>
              <w:t>forfeitures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of equity compensation</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1,479</w:t>
            </w:r>
          </w:p>
        </w:tc>
        <w:tc>
          <w:tcPr>
            <w:tcW w:w="100" w:type="dxa"/>
            <w:vAlign w:val="bottom"/>
            <w:shd w:val="clear" w:color="auto" w:fill="CFF0FC"/>
          </w:tcPr>
          <w:p>
            <w:pPr>
              <w:spacing w:after="0"/>
              <w:rPr>
                <w:sz w:val="19"/>
                <w:szCs w:val="19"/>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7"/>
                <w:szCs w:val="17"/>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7"/>
                <w:szCs w:val="17"/>
                <w:color w:val="auto"/>
              </w:rPr>
              <w:t>318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Stock options exercised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2,638</w:t>
            </w:r>
          </w:p>
        </w:tc>
        <w:tc>
          <w:tcPr>
            <w:tcW w:w="100" w:type="dxa"/>
            <w:vAlign w:val="bottom"/>
            <w:shd w:val="clear" w:color="auto" w:fill="CFF0FC"/>
          </w:tcPr>
          <w:p>
            <w:pPr>
              <w:spacing w:after="0"/>
              <w:rPr>
                <w:sz w:val="19"/>
                <w:szCs w:val="19"/>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Balance as of December 31, 2016</w:t>
            </w:r>
          </w:p>
        </w:tc>
        <w:tc>
          <w:tcPr>
            <w:tcW w:w="1020" w:type="dxa"/>
            <w:vAlign w:val="bottom"/>
          </w:tcPr>
          <w:p>
            <w:pPr>
              <w:jc w:val="right"/>
              <w:spacing w:after="0"/>
              <w:rPr>
                <w:sz w:val="20"/>
                <w:szCs w:val="20"/>
                <w:color w:val="auto"/>
              </w:rPr>
            </w:pPr>
            <w:r>
              <w:rPr>
                <w:rFonts w:ascii="Arial" w:cs="Arial" w:eastAsia="Arial" w:hAnsi="Arial"/>
                <w:sz w:val="17"/>
                <w:szCs w:val="17"/>
                <w:color w:val="auto"/>
              </w:rPr>
              <w:t>117,554</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1,176</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1,780,350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(322,563)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1,458,963</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67"/>
        </w:trPr>
        <w:tc>
          <w:tcPr>
            <w:tcW w:w="5220" w:type="dxa"/>
            <w:vAlign w:val="bottom"/>
          </w:tcPr>
          <w:p>
            <w:pPr>
              <w:spacing w:after="0"/>
              <w:rPr>
                <w:sz w:val="14"/>
                <w:szCs w:val="1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Stockholders'</w:t>
            </w:r>
          </w:p>
        </w:tc>
      </w:tr>
      <w:tr>
        <w:trPr>
          <w:trHeight w:val="150"/>
        </w:trPr>
        <w:tc>
          <w:tcPr>
            <w:tcW w:w="52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96"/>
              <w:spacing w:after="0" w:line="150"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34"/>
              <w:spacing w:after="0" w:line="150" w:lineRule="exact"/>
              <w:rPr>
                <w:sz w:val="20"/>
                <w:szCs w:val="20"/>
                <w:color w:val="auto"/>
              </w:rPr>
            </w:pPr>
            <w:r>
              <w:rPr>
                <w:rFonts w:ascii="Arial" w:cs="Arial" w:eastAsia="Arial" w:hAnsi="Arial"/>
                <w:sz w:val="14"/>
                <w:szCs w:val="14"/>
                <w:b w:val="1"/>
                <w:bCs w:val="1"/>
                <w:color w:val="auto"/>
                <w:w w:val="97"/>
              </w:rPr>
              <w:t>Par Value</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7"/>
              <w:spacing w:after="0" w:line="150" w:lineRule="exact"/>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6"/>
              <w:spacing w:after="0" w:line="150"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7"/>
              <w:spacing w:after="0" w:line="150"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Balance as of December 31, 2014</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116,764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1,748,303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(267,971)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1,481,500</w:t>
            </w:r>
          </w:p>
        </w:tc>
        <w:tc>
          <w:tcPr>
            <w:tcW w:w="100" w:type="dxa"/>
            <w:vAlign w:val="bottom"/>
            <w:shd w:val="clear" w:color="auto" w:fill="CFF0FC"/>
          </w:tcPr>
          <w:p>
            <w:pPr>
              <w:spacing w:after="0"/>
              <w:rPr>
                <w:sz w:val="18"/>
                <w:szCs w:val="18"/>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7"/>
                <w:szCs w:val="17"/>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221,854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221,854</w:t>
            </w:r>
          </w:p>
        </w:tc>
        <w:tc>
          <w:tcPr>
            <w:tcW w:w="100" w:type="dxa"/>
            <w:vAlign w:val="bottom"/>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Retirement of common stock</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(237)</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(9,451)</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(9,454)</w:t>
            </w:r>
          </w:p>
        </w:tc>
      </w:tr>
      <w:tr>
        <w:trPr>
          <w:trHeight w:val="210"/>
        </w:trPr>
        <w:tc>
          <w:tcPr>
            <w:tcW w:w="5220" w:type="dxa"/>
            <w:vAlign w:val="bottom"/>
          </w:tcPr>
          <w:p>
            <w:pPr>
              <w:spacing w:after="0"/>
              <w:rPr>
                <w:sz w:val="20"/>
                <w:szCs w:val="20"/>
                <w:color w:val="auto"/>
              </w:rPr>
            </w:pPr>
            <w:r>
              <w:rPr>
                <w:rFonts w:ascii="Arial" w:cs="Arial" w:eastAsia="Arial" w:hAnsi="Arial"/>
                <w:sz w:val="17"/>
                <w:szCs w:val="17"/>
                <w:color w:val="auto"/>
              </w:rPr>
              <w:t>Dividends declared on common stock ($2.16 per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20" w:type="dxa"/>
            <w:vAlign w:val="bottom"/>
          </w:tcPr>
          <w:p>
            <w:pPr>
              <w:ind w:left="140"/>
              <w:spacing w:after="0"/>
              <w:rPr>
                <w:sz w:val="20"/>
                <w:szCs w:val="20"/>
                <w:color w:val="auto"/>
              </w:rPr>
            </w:pPr>
            <w:r>
              <w:rPr>
                <w:rFonts w:ascii="Arial" w:cs="Arial" w:eastAsia="Arial" w:hAnsi="Arial"/>
                <w:sz w:val="17"/>
                <w:szCs w:val="17"/>
                <w:color w:val="auto"/>
              </w:rPr>
              <w:t>share)</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(254,774)</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(254,774)</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compensation, net of forfeitures</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14,712</w:t>
            </w:r>
          </w:p>
        </w:tc>
        <w:tc>
          <w:tcPr>
            <w:tcW w:w="100" w:type="dxa"/>
            <w:vAlign w:val="bottom"/>
            <w:shd w:val="clear" w:color="auto" w:fill="CFF0FC"/>
          </w:tcPr>
          <w:p>
            <w:pPr>
              <w:spacing w:after="0"/>
              <w:rPr>
                <w:sz w:val="19"/>
                <w:szCs w:val="19"/>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7"/>
                <w:szCs w:val="17"/>
                <w:color w:val="auto"/>
              </w:rPr>
              <w:t>Stock option compensation expense, net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20" w:type="dxa"/>
            <w:vAlign w:val="bottom"/>
          </w:tcPr>
          <w:p>
            <w:pPr>
              <w:ind w:left="140"/>
              <w:spacing w:after="0"/>
              <w:rPr>
                <w:sz w:val="20"/>
                <w:szCs w:val="20"/>
                <w:color w:val="auto"/>
              </w:rPr>
            </w:pPr>
            <w:r>
              <w:rPr>
                <w:rFonts w:ascii="Arial" w:cs="Arial" w:eastAsia="Arial" w:hAnsi="Arial"/>
                <w:sz w:val="17"/>
                <w:szCs w:val="17"/>
                <w:color w:val="auto"/>
              </w:rPr>
              <w:t>forfeitures</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of equity compensation</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FF0FC"/>
          </w:tcPr>
          <w:p>
            <w:pPr>
              <w:spacing w:after="0"/>
              <w:rPr>
                <w:sz w:val="19"/>
                <w:szCs w:val="19"/>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7"/>
                <w:szCs w:val="17"/>
                <w:color w:val="auto"/>
              </w:rPr>
              <w:t>Restricted stock grants</w:t>
            </w:r>
          </w:p>
        </w:tc>
        <w:tc>
          <w:tcPr>
            <w:tcW w:w="960" w:type="dxa"/>
            <w:vAlign w:val="bottom"/>
          </w:tcPr>
          <w:p>
            <w:pPr>
              <w:jc w:val="right"/>
              <w:spacing w:after="0"/>
              <w:rPr>
                <w:sz w:val="20"/>
                <w:szCs w:val="20"/>
                <w:color w:val="auto"/>
              </w:rPr>
            </w:pPr>
            <w:r>
              <w:rPr>
                <w:rFonts w:ascii="Arial" w:cs="Arial" w:eastAsia="Arial" w:hAnsi="Arial"/>
                <w:sz w:val="17"/>
                <w:szCs w:val="17"/>
                <w:color w:val="auto"/>
              </w:rPr>
              <w:t>303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Stock options exercised</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7,696</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7,700</w:t>
            </w:r>
          </w:p>
        </w:tc>
        <w:tc>
          <w:tcPr>
            <w:tcW w:w="100" w:type="dxa"/>
            <w:vAlign w:val="bottom"/>
            <w:shd w:val="clear" w:color="auto" w:fill="CFF0FC"/>
          </w:tcPr>
          <w:p>
            <w:pPr>
              <w:spacing w:after="0"/>
              <w:rPr>
                <w:sz w:val="19"/>
                <w:szCs w:val="19"/>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7"/>
                <w:szCs w:val="17"/>
                <w:color w:val="auto"/>
              </w:rPr>
              <w:t>Balance as of December 31, 2015</w:t>
            </w:r>
          </w:p>
        </w:tc>
        <w:tc>
          <w:tcPr>
            <w:tcW w:w="960" w:type="dxa"/>
            <w:vAlign w:val="bottom"/>
          </w:tcPr>
          <w:p>
            <w:pPr>
              <w:jc w:val="right"/>
              <w:spacing w:after="0"/>
              <w:rPr>
                <w:sz w:val="20"/>
                <w:szCs w:val="20"/>
                <w:color w:val="auto"/>
              </w:rPr>
            </w:pPr>
            <w:r>
              <w:rPr>
                <w:rFonts w:ascii="Arial" w:cs="Arial" w:eastAsia="Arial" w:hAnsi="Arial"/>
                <w:sz w:val="17"/>
                <w:szCs w:val="17"/>
                <w:color w:val="auto"/>
              </w:rPr>
              <w:t>117,232</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1,172</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1,762,394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(300,818)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1,462,748</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 2016 AND 2015</w:t>
      </w:r>
    </w:p>
    <w:p>
      <w:pPr>
        <w:spacing w:after="0" w:line="263" w:lineRule="exact"/>
        <w:rPr>
          <w:sz w:val="20"/>
          <w:szCs w:val="20"/>
          <w:color w:val="auto"/>
        </w:rPr>
      </w:pPr>
    </w:p>
    <w:p>
      <w:pPr>
        <w:ind w:left="600" w:hanging="595"/>
        <w:spacing w:after="0"/>
        <w:tabs>
          <w:tab w:leader="none" w:pos="6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OPERATIONS</w:t>
      </w:r>
    </w:p>
    <w:p>
      <w:pPr>
        <w:spacing w:after="0" w:line="124" w:lineRule="exact"/>
        <w:rPr>
          <w:rFonts w:ascii="Arial" w:cs="Arial" w:eastAsia="Arial" w:hAnsi="Arial"/>
          <w:sz w:val="17"/>
          <w:szCs w:val="17"/>
          <w:b w:val="1"/>
          <w:bCs w:val="1"/>
          <w:color w:val="auto"/>
        </w:rPr>
      </w:pPr>
    </w:p>
    <w:p>
      <w:pPr>
        <w:jc w:val="both"/>
        <w:ind w:left="60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CoreCivic, Inc. (together with its subsidiaries, the "Company" or "CoreCivic") is one of the nation's largest owners of partnership correctional, detention, and residential reentry facilities and one of the largest prison operators in the United States. The Company also believes it is the largest private owner of real estate used by government agencies. Through three business offerings, CoreCivic Safety, CoreCivic Properties, and CoreCivic Community, the Company provides a broad range of solutions to government partners that serve the public good through corrections and detention management, government real estate solutions, and a growing network of residential reentry centers to help address America's recidivism crisis. As of December 31, 2017, CoreCivic owned and managed 70 correctional, detention, and residential reentry facilities, and managed an additional seven correctional and detention facilities owned by its government partners, with a total design capacity of approximately 78,000 beds in 19 states. In addition, as of December 31, 2017, CoreCivic owned 12 properties leased to third parties and used by government agencies, totaling 1.1 million square feet in five states.</w:t>
      </w:r>
    </w:p>
    <w:p>
      <w:pPr>
        <w:spacing w:after="0" w:line="168"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77" w:lineRule="exact"/>
        <w:rPr>
          <w:rFonts w:ascii="Arial" w:cs="Arial" w:eastAsia="Arial" w:hAnsi="Arial"/>
          <w:sz w:val="17"/>
          <w:szCs w:val="17"/>
          <w:b w:val="1"/>
          <w:bCs w:val="1"/>
          <w:color w:val="auto"/>
        </w:rPr>
      </w:pPr>
    </w:p>
    <w:p>
      <w:pPr>
        <w:jc w:val="both"/>
        <w:ind w:left="60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CoreCivic began operating as a real estate investment trust ("REIT") effective January 1, 2013. The Company provides services and conducts other business activities through taxable REIT subsidiaries ("TRSs"). A TRS is a subsidiary of a REIT that is subject to applicable corporate income tax and certain qualification requirements. The Company's use of TRSs permits CoreCivic to engage in certain business activities in which the REIT may not engage directly, so long as these activities are conducted in entities that elect to be treated as TRSs under the Internal Revenue Code, and enable CoreCivic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263" w:lineRule="exact"/>
        <w:rPr>
          <w:rFonts w:ascii="Arial" w:cs="Arial" w:eastAsia="Arial" w:hAnsi="Arial"/>
          <w:sz w:val="17"/>
          <w:szCs w:val="17"/>
          <w:b w:val="1"/>
          <w:bCs w:val="1"/>
          <w:color w:val="auto"/>
        </w:rPr>
      </w:pPr>
    </w:p>
    <w:p>
      <w:pPr>
        <w:ind w:left="600" w:right="6280" w:hanging="595"/>
        <w:spacing w:after="0" w:line="389" w:lineRule="auto"/>
        <w:tabs>
          <w:tab w:leader="none" w:pos="591"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left="60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w:t>
      </w:r>
    </w:p>
    <w:p>
      <w:pPr>
        <w:spacing w:after="0" w:line="53"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Certain reclassifications of 2016 and 2015 amounts have been made to conform to the 2017 presentation.</w:t>
      </w:r>
    </w:p>
    <w:p>
      <w:pPr>
        <w:spacing w:after="0" w:line="322"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124"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CoreCivic considers all liquid debt instruments with a maturity of three months or less at the time of purchase to be cash equivalents.</w:t>
      </w:r>
    </w:p>
    <w:p>
      <w:pPr>
        <w:spacing w:after="0" w:line="322"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and Allowance for Doubtful Accounts</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At December 31, 2017 and 2016, accounts receivable of $254.2 million and $229.9 million, respectively, were net of allowances for doubtful accounts totaling $0.8 million and $1.6 million, respectively. Accounts receivable consist primarily of amounts due from federal, state, and local government agencies for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utilization of CoreCivic's correctional, detention, and residential reentry facilities, as well as for operating and managing such facilities.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Accounts receivable are stated at estimated net realizable value. CoreCivic recognizes allowances for doubtful accounts to ensure receivables are not overstated due to uncollectibility. Bad debt reserves are maintained for customers based on a variety of factors, including the length of time receivables are past due, significant one-time events, and historical experience. If circumstances related to customers change, estimates of the recoverability of receivables would be further adjusted.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facilities. Construction costs directly associated with the development of a correctional facility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168"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7"/>
                <w:szCs w:val="17"/>
                <w:color w:val="auto"/>
              </w:rPr>
              <w:t>Land improvements</w:t>
            </w:r>
          </w:p>
        </w:tc>
        <w:tc>
          <w:tcPr>
            <w:tcW w:w="1100" w:type="dxa"/>
            <w:vAlign w:val="bottom"/>
          </w:tcPr>
          <w:p>
            <w:pPr>
              <w:jc w:val="right"/>
              <w:spacing w:after="0"/>
              <w:rPr>
                <w:sz w:val="20"/>
                <w:szCs w:val="20"/>
                <w:color w:val="auto"/>
              </w:rPr>
            </w:pPr>
            <w:r>
              <w:rPr>
                <w:rFonts w:ascii="Arial" w:cs="Arial" w:eastAsia="Arial" w:hAnsi="Arial"/>
                <w:sz w:val="17"/>
                <w:szCs w:val="17"/>
                <w:color w:val="auto"/>
              </w:rPr>
              <w:t>5 – 20 years</w:t>
            </w:r>
          </w:p>
        </w:tc>
      </w:tr>
      <w:tr>
        <w:trPr>
          <w:trHeight w:val="210"/>
        </w:trPr>
        <w:tc>
          <w:tcPr>
            <w:tcW w:w="226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100" w:type="dxa"/>
            <w:vAlign w:val="bottom"/>
          </w:tcPr>
          <w:p>
            <w:pPr>
              <w:jc w:val="right"/>
              <w:spacing w:after="0"/>
              <w:rPr>
                <w:sz w:val="20"/>
                <w:szCs w:val="20"/>
                <w:color w:val="auto"/>
              </w:rPr>
            </w:pPr>
            <w:r>
              <w:rPr>
                <w:rFonts w:ascii="Arial" w:cs="Arial" w:eastAsia="Arial" w:hAnsi="Arial"/>
                <w:sz w:val="17"/>
                <w:szCs w:val="17"/>
                <w:color w:val="auto"/>
              </w:rPr>
              <w:t>5 – 50 years</w:t>
            </w:r>
          </w:p>
        </w:tc>
      </w:tr>
      <w:tr>
        <w:trPr>
          <w:trHeight w:val="210"/>
        </w:trPr>
        <w:tc>
          <w:tcPr>
            <w:tcW w:w="2260" w:type="dxa"/>
            <w:vAlign w:val="bottom"/>
          </w:tcPr>
          <w:p>
            <w:pPr>
              <w:spacing w:after="0"/>
              <w:rPr>
                <w:sz w:val="20"/>
                <w:szCs w:val="20"/>
                <w:color w:val="auto"/>
              </w:rPr>
            </w:pPr>
            <w:r>
              <w:rPr>
                <w:rFonts w:ascii="Arial" w:cs="Arial" w:eastAsia="Arial" w:hAnsi="Arial"/>
                <w:sz w:val="17"/>
                <w:szCs w:val="17"/>
                <w:color w:val="auto"/>
              </w:rPr>
              <w:t>Equipment and software</w:t>
            </w:r>
          </w:p>
        </w:tc>
        <w:tc>
          <w:tcPr>
            <w:tcW w:w="1100" w:type="dxa"/>
            <w:vAlign w:val="bottom"/>
          </w:tcPr>
          <w:p>
            <w:pPr>
              <w:jc w:val="right"/>
              <w:spacing w:after="0"/>
              <w:rPr>
                <w:sz w:val="20"/>
                <w:szCs w:val="20"/>
                <w:color w:val="auto"/>
              </w:rPr>
            </w:pPr>
            <w:r>
              <w:rPr>
                <w:rFonts w:ascii="Arial" w:cs="Arial" w:eastAsia="Arial" w:hAnsi="Arial"/>
                <w:sz w:val="17"/>
                <w:szCs w:val="17"/>
                <w:color w:val="auto"/>
              </w:rPr>
              <w:t>3 – 10 years</w:t>
            </w:r>
          </w:p>
        </w:tc>
      </w:tr>
      <w:tr>
        <w:trPr>
          <w:trHeight w:val="222"/>
        </w:trPr>
        <w:tc>
          <w:tcPr>
            <w:tcW w:w="226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1100" w:type="dxa"/>
            <w:vAlign w:val="bottom"/>
          </w:tcPr>
          <w:p>
            <w:pPr>
              <w:jc w:val="right"/>
              <w:spacing w:after="0"/>
              <w:rPr>
                <w:sz w:val="20"/>
                <w:szCs w:val="20"/>
                <w:color w:val="auto"/>
              </w:rPr>
            </w:pPr>
            <w:r>
              <w:rPr>
                <w:rFonts w:ascii="Arial" w:cs="Arial" w:eastAsia="Arial" w:hAnsi="Arial"/>
                <w:sz w:val="17"/>
                <w:szCs w:val="17"/>
                <w:color w:val="auto"/>
              </w:rPr>
              <w:t>5 years</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the Impairment of Long-Lived Assets Other Than Goodwill</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Long-lived assets other than goodwill are reviewed for impairment when circumstances indicate the carrying value of an asset may not be recoverable. When circumstances indicate an asset may not be recoverable, impairment is recognized when the estimated undiscounted cash flows associated with the asset or group of assets is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Goodwill represents the cost in excess of the net assets of businesses acquired. As further discussed in Note 3, goodwill is tested for impairment at least annually using a fair-value based approach.</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Affiliates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Debt issuance costs, excluding those costs incurred related to CoreCivic's revolving credit facility, are presented as a direct deduction from the face amount of the related liability in the consolidated balance sheets. Debt issuance costs related to the Company's revolving credit facility are included in other assets in the consolidated balance sheets. Generally, debt issuance costs are capitalized and amortized into interest expense using the interest method, or on a straight-line basis over the term of the related debt, if not materially different than the interest method. However, certain debt issuance costs incurred in connection with debt</w:t>
      </w:r>
    </w:p>
    <w:p>
      <w:pPr>
        <w:spacing w:after="0" w:line="17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232"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refinancings are charged to expense in accordance with Accounting Standards Codification ("ASC") 470-50, "Modifications and Extinguishments".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CoreCivic recognizes any additional management service revenues upon completion of services provided to the customer. 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In these instances, the amounts required to be returned to the customer are reflected as operating expenses. Upon adoption of Accounting Standards Update ("ASU") 2014-09, "Revenue from Contracts with Customers", as further described in "Recent Accounting Pronouncements" hereafter, these amounts will be classified as reductions to revenue.</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Rental revenue is recognized in accordance with ASC 840, "Leases". In accordance with ASC 840, minimum rental revenue is recognized on a straight-line basis over the term of the related lease. Leasehold incentives are recognized as a reduction to rental revenue on a straight-line basis over the term of the related lease. Rental revenue associated with expense reimbursements from tenants is recognized in the period that the related expenses are incurred based upon the tenant lease provision.</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September 2014, CoreCivic agreed under an expansion of an existing inter-governmental service agreement ("IGSA") between the city of Eloy, Arizona and U.S. Immigration and Customs Enforcement ("ICE") to provide residential space and services at the South Texas Family Residential Center. The IGSA was further amended in October 2016, as described in Note 11. The IGSA qualifies as a multiple-element arrangement under the guidance in ASC 605, "Revenue Recognition". CoreCivic evaluates each deliverable in an arrangement to determine whether it represents a separate unit of accounting.</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revenue consists primarily of ancillary revenues associated with operating correctional, detention and residential reentry facilities, such as commissary, phone, and vending sales, and are recorded in the period the goods and services are provided. Revenues generated from prisoner transportation services for governmental agencies are recorded in the period the inmates have been transported to their destination.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Self-Funded Insurance Reserves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CoreCivic is significantly self-insured for employee health, workers' compensation, automobile liability claims, and general liability claims. As such, CoreCivic's insurance expense is largely dependent on claims experience and CoreCivic's ability to control its claims experience. CoreCivic has consistently accrued the estimated liability for employee health insurance based on its history of claims experience and time lag between the incident date and the date the cost is paid by CoreCivic. CoreCivic has accrued the estimated liability for workers' compensation claims based on an actuarially determined liability, discounted to the net present value of the outstanding liabilities, using a combination of actuarial methods used to project ultimate losses, and the Company's automobile insurance claims based on estimated development factors on claims</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232" w:right="239" w:bottom="1440" w:gutter="0" w:footer="0" w:header="0"/>
        </w:sectPr>
      </w:pPr>
    </w:p>
    <w:bookmarkStart w:id="102" w:name="page103"/>
    <w:bookmarkEnd w:id="102"/>
    <w:p>
      <w:pPr>
        <w:jc w:val="both"/>
        <w:spacing w:after="0" w:line="273" w:lineRule="auto"/>
        <w:rPr>
          <w:sz w:val="20"/>
          <w:szCs w:val="20"/>
          <w:color w:val="auto"/>
        </w:rPr>
      </w:pPr>
      <w:r>
        <w:rPr>
          <w:rFonts w:ascii="Arial" w:cs="Arial" w:eastAsia="Arial" w:hAnsi="Arial"/>
          <w:sz w:val="17"/>
          <w:szCs w:val="17"/>
          <w:color w:val="auto"/>
        </w:rPr>
        <w:t>incurred. The liability for employee health, workers' compensation, and automobile insurance includes estimates for both claims incurred and for claims incurred but not reported. CoreCivic records litigation reserves related to general liability matters for which it is probable that a loss has been incurred and the range of such loss can be estimated. These estimates could change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CoreCivic began operating in compliance with REIT requirements for federal income tax purposes effective January 1, 2013. As a REIT, the Company generally is not subject to corporate level federal income tax on taxable income it distributes to its stockholders as long as it meets the organizational and operational requirements under the REIT rules. However, certain subsidiaries have made an election with the Company to be treated as TRSs in conjunction with the Company's REIT election. The TRS elections permit CoreCivic to engage in certain business activities in which the REIT may not engage directly, so long as these activities are conducted in entities that elect to be treated as TRSs under the Internal Revenue Code. A TRS is subject to federal and state income taxes on the income from these activities and therefore, CoreCivic includes a provision for taxes in its consolidated financial statements.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CoreCivic's deferred tax assets and liabilities are classified as non-current in the consolidated balance sheets. See Note 12 for further discussion of the significant components of CoreCivic's deferred tax assets and liabilities and the impact on deferred tax assets and liabilities that resulted from the lower corporate tax rates enacted under the Tax Cuts and Jobs Act ("the TCJA") in December 2017.</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Transactions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CoreCivic has extended a working capital loan to Agecroft Prison Management, Ltd. ("APM"), the operator of a correctional facility in Salford, England previously owned by a subsidiary of CoreCivic. The working capital loan is denominated in British pounds; consequently, CoreCivic adjusts these receivables to the current exchange rate at each balance sheet date and recognizes the unrealized currency gain or loss in current period earnings. See Note 7 for further discussion of CoreCivic's relationship with APM.</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232" w:right="239" w:bottom="1440" w:gutter="0" w:footer="0" w:header="0"/>
        </w:sectPr>
      </w:pPr>
    </w:p>
    <w:bookmarkStart w:id="103" w:name="page104"/>
    <w:bookmarkEnd w:id="103"/>
    <w:p>
      <w:pPr>
        <w:jc w:val="both"/>
        <w:ind w:left="20"/>
        <w:spacing w:after="0" w:line="273" w:lineRule="auto"/>
        <w:rPr>
          <w:sz w:val="20"/>
          <w:szCs w:val="20"/>
          <w:color w:val="auto"/>
        </w:rPr>
      </w:pPr>
      <w:r>
        <w:rPr>
          <w:rFonts w:ascii="Arial" w:cs="Arial" w:eastAsia="Arial" w:hAnsi="Arial"/>
          <w:sz w:val="17"/>
          <w:szCs w:val="17"/>
          <w:color w:val="auto"/>
        </w:rPr>
        <w:t>inputs for publicly traded debt and Level 2 inputs for all other financial instruments, as defined in ASC 820, "Fair Value Measurement". At December 31, 2017 and 2016, there were no material differences between the carrying amounts and the estimated fair values of CoreCivic's financial instruments, other than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4"/>
              <w:spacing w:after="0" w:line="150"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64"/>
              <w:spacing w:after="0" w:line="150"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60"/>
              <w:spacing w:after="0" w:line="12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500"/>
              <w:spacing w:after="0" w:line="128"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97"/>
              </w:rPr>
              <w:t>Fair Value</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Note receivable from APM</w:t>
            </w: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3,059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4,511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20"/>
                <w:szCs w:val="20"/>
                <w:color w:val="auto"/>
              </w:rPr>
            </w:pPr>
            <w:r>
              <w:rPr>
                <w:rFonts w:ascii="Arial" w:cs="Arial" w:eastAsia="Arial" w:hAnsi="Arial"/>
                <w:sz w:val="17"/>
                <w:szCs w:val="17"/>
                <w:color w:val="auto"/>
              </w:rPr>
              <w:t>Debt</w:t>
            </w:r>
          </w:p>
        </w:tc>
        <w:tc>
          <w:tcPr>
            <w:tcW w:w="1880" w:type="dxa"/>
            <w:vAlign w:val="bottom"/>
            <w:gridSpan w:val="2"/>
          </w:tcPr>
          <w:p>
            <w:pPr>
              <w:jc w:val="right"/>
              <w:ind w:right="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(1,459,000)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(1,490,063)</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(1,455,000)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(1,459,625)</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Use of Estimates in Preparation of Financial Statements</w:t>
      </w:r>
    </w:p>
    <w:p>
      <w:pPr>
        <w:spacing w:after="0" w:line="125" w:lineRule="exact"/>
        <w:rPr>
          <w:sz w:val="20"/>
          <w:szCs w:val="20"/>
          <w:color w:val="auto"/>
        </w:rPr>
      </w:pPr>
    </w:p>
    <w:p>
      <w:pPr>
        <w:jc w:val="both"/>
        <w:ind w:left="20"/>
        <w:spacing w:after="0" w:line="26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Concentration of Credit Risks</w:t>
      </w:r>
    </w:p>
    <w:p>
      <w:pPr>
        <w:spacing w:after="0" w:line="125" w:lineRule="exact"/>
        <w:rPr>
          <w:sz w:val="20"/>
          <w:szCs w:val="20"/>
          <w:color w:val="auto"/>
        </w:rPr>
      </w:pPr>
    </w:p>
    <w:p>
      <w:pPr>
        <w:jc w:val="both"/>
        <w:ind w:left="20"/>
        <w:spacing w:after="0" w:line="265" w:lineRule="auto"/>
        <w:rPr>
          <w:sz w:val="20"/>
          <w:szCs w:val="20"/>
          <w:color w:val="auto"/>
        </w:rPr>
      </w:pPr>
      <w:r>
        <w:rPr>
          <w:rFonts w:ascii="Arial" w:cs="Arial" w:eastAsia="Arial" w:hAnsi="Arial"/>
          <w:sz w:val="17"/>
          <w:szCs w:val="17"/>
          <w:color w:val="auto"/>
        </w:rPr>
        <w:t>CoreCivic's credit risks relate primarily to cash and cash equivalents and accounts receivable. Cash and cash equivalents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78" w:lineRule="exact"/>
        <w:rPr>
          <w:sz w:val="20"/>
          <w:szCs w:val="20"/>
          <w:color w:val="auto"/>
        </w:rPr>
      </w:pPr>
    </w:p>
    <w:p>
      <w:pPr>
        <w:jc w:val="both"/>
        <w:ind w:left="20"/>
        <w:spacing w:after="0" w:line="277" w:lineRule="auto"/>
        <w:rPr>
          <w:sz w:val="20"/>
          <w:szCs w:val="20"/>
          <w:color w:val="auto"/>
        </w:rPr>
      </w:pPr>
      <w:r>
        <w:rPr>
          <w:rFonts w:ascii="Arial" w:cs="Arial" w:eastAsia="Arial" w:hAnsi="Arial"/>
          <w:sz w:val="16"/>
          <w:szCs w:val="16"/>
          <w:color w:val="auto"/>
        </w:rPr>
        <w:t>CoreCivic derives its revenues primarily from amounts earned under federal, state, and local government contracts. For each of the years ended December 31, 2017, 2016, and 2015, federal correctional and detention authorities represented 48%, 52%, and 51%, respectively, of CoreCivic's total revenue. Federal correctional and detention authorities consist primarily of the Federal Bureau of Prisons ("BOP"), the United States Marshals Service ("USMS"), and ICE. The BOP accounted for 7%, 9%, and 11% of total revenue for 2017, 2016, and 2015, respectively. The USMS accounted for 16%, 15%, and 16% of total revenue for 2017, 2016, and 2015, respectively. ICE accounted for 25%, 28%, and 24% of total revenue for 2017, 2016, and 2015, respectively, with the decrease in 2017 resulting in part from the amended contract at the South Texas Family Residential Center, as further described in Note 11. These federal customers have management contracts at facilities CoreCivic owns and at facilities CoreCivic manages but does not own. State revenues from contracts at correctional, detention, and residential reentry facilities that CoreCivic operates represented 41%, 38%, and 40% of total revenue during the years ended December 31, 2017, 2016, and 2015, respectively. Approximately 6%, 6%, and 10% of total revenue for the years ended December 31, 2017, 2016, and 2015, respectively, was generated from the State of California Department of Corrections and Rehabilitation (the "CDCR") in facilities housing inmates outside the state of California. No other customer generated 10% or more of total revenue during 2017, 2016, or 2015. Although the revenue generated from each of these agencies is derived from numerous management contracts, the loss of one or more of such contracts could have a material adverse impact on CoreCivic's financial condition and results of operations.</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Restricted Stock and Units</w:t>
      </w:r>
    </w:p>
    <w:p>
      <w:pPr>
        <w:spacing w:after="0" w:line="119"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CoreCivic accounts for restricted stock-based compensation under the recognition and measurement principles of ASC 718, "Compensation-Stock Compensation". CoreCivic amortizes the fair market value as of the grant date of restricted stock and unit awards over the vesting period using the straight-line method. The fair market value of performance-based restricted stock units is amortized over the vesting period as long as CoreCivic</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70485</wp:posOffset>
            </wp:positionV>
            <wp:extent cx="729297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40"/>
          </w:cols>
          <w:pgMar w:left="820" w:top="232" w:right="239" w:bottom="1440" w:gutter="0" w:footer="0" w:header="0"/>
        </w:sectPr>
      </w:pPr>
    </w:p>
    <w:bookmarkStart w:id="104" w:name="page105"/>
    <w:bookmarkEnd w:id="104"/>
    <w:p>
      <w:pPr>
        <w:jc w:val="both"/>
        <w:spacing w:after="0" w:line="289" w:lineRule="auto"/>
        <w:rPr>
          <w:sz w:val="20"/>
          <w:szCs w:val="20"/>
          <w:color w:val="auto"/>
        </w:rPr>
      </w:pPr>
      <w:r>
        <w:rPr>
          <w:rFonts w:ascii="Arial" w:cs="Arial" w:eastAsia="Arial" w:hAnsi="Arial"/>
          <w:sz w:val="17"/>
          <w:szCs w:val="17"/>
          <w:color w:val="auto"/>
        </w:rPr>
        <w:t>expects to meet the performance criteria. If achievement of the performance criteria becomes improbable, an adjustment is made to reverse the expense previously recognized.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May 2014, the Financial Accounting Standards Board ("FASB") issued ASU 2014-09, "Revenue from Contracts with Customers", which establishes a single, comprehensive revenue recognition standard for all contracts with customers. For public reporting entities such as CoreCivic, ASU 2014-09 was originally effective for interim and annual periods beginning after December 15, 2016 and early adoption of the ASU was not permitted. In July 2015, the FASB agreed to defer the effective date of the ASU for public reporting entities by one year, or to interim and annual periods beginning after December 15, 2017. Early adoption is now allowed as of the original effective date for public companies. In summary, the core principle of ASU 2014-09 is to recognize revenue when promised goods or services are transferred to customers in an amount that reflects the consideration that is expected to be received for those goods or services. Companies are allowed to select between two transition methods: (1) a full retrospective transition method with the application of the new guidance to each prior reporting period presented, or (2) a modified retrospective transition method that recognizes the cumulative effect on prior periods at the date of adoption together with additional footnote disclosures. CoreCivic will adopt the standard when effective in its fiscal year 2018 and will utilize the modified retrospective transition method upon adoption of the ASU. CoreCivic completed its analysis of the various contracts and revenue streams and does not currently expect the adoption of the ASU to have a material impact on the Company's results of operations or financial position and its related financial statement disclosure.</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February 2016, the FASB issued ASU 2016-02, "Leases (ASC 842)", which requires lessees to put most leases on their balance sheets but recognize expenses on their income statements in a manner similar to current accounting requirements. ASU 2016-02 also eliminates current real estate-specific provisions for all entities. For lessors, the ASU modifies the classification criteria and the accounting for sales-type and direct financing leases. For public reporting entities such as CoreCivic, guidance in ASU 2016-02 is effective for fiscal years beginning after December 15, 2018, and interim periods within those fiscal years, and early adoption of the ASU is permitted. Entities are required to use a modified retrospective approach for leases that exist or are entered into after the beginning of the earliest comparative period in the financial statements. CoreCivic is currently planning to adopt the ASU when effective in its fiscal year 2019. CoreCivic does not currently expect that the new standard will have a material impact on its financial statements, but expects that it will result in an increase in its long-term assets and liabilities for leases where the Company is the lessee.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March 2016, the FASB issued ASU 2016-09, "Improvements to Employee Share-Based Payment Accounting", that changes certain aspects of accounting for share-based payments to employees. ASU 2016-09 requires all income tax effects of awards to be recognized in the income statement when the awards vest or are settled. The new ASU also allows an employer to repurchase more of an employee's shares for tax withholding purposes without triggering liability accounting, and to make a policy election to account for forfeitures. Companies are required to elect whether to account for forfeitures of share-based payments by (1) recognizing forfeitures of awards as they occur, or (2) estimating the number of awards expected to be forfeited and adjusting the estimate when it is likely to change, as previously required. For public reporting entities such as CoreCivic, guidance in ASU 2016-09 is effective for fiscal years beginning after December 15, 2016, and interim periods within those fiscal years, and early adoption of the ASU is permitted. All of the guidance in the ASU must be adopted in the same period. CoreCivic adopted the ASU in the first quarter of 2017, opting to estimate the number of awards expected to be forfeited and adjusting the estimate when it is likely to change, as was previously required. The amendments in ASU 2016-09 were applied prospectively and the Company's financial statements for prior periods were not adjusted. Adoption of the ASU resulted in a $1.0 million income tax benefit recognized by the Company in the year ended December 31, 2017. The new standard will continue to have an impact on the Company's financial statements whenever the vested value of the awards differs from the grant-date fair value of such awards.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that provides guidance to assist entities with evaluating when a set of transferred assets and activities ("set") is a business. Under the new guidance, an entity first determines whether</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232" w:right="239" w:bottom="1440" w:gutter="0" w:footer="0" w:header="0"/>
        </w:sectPr>
      </w:pPr>
    </w:p>
    <w:bookmarkStart w:id="105" w:name="page106"/>
    <w:bookmarkEnd w:id="105"/>
    <w:p>
      <w:pPr>
        <w:jc w:val="both"/>
        <w:ind w:left="600"/>
        <w:spacing w:after="0" w:line="280" w:lineRule="auto"/>
        <w:rPr>
          <w:sz w:val="20"/>
          <w:szCs w:val="20"/>
          <w:color w:val="auto"/>
        </w:rPr>
      </w:pPr>
      <w:r>
        <w:rPr>
          <w:rFonts w:ascii="Arial" w:cs="Arial" w:eastAsia="Arial" w:hAnsi="Arial"/>
          <w:sz w:val="16"/>
          <w:szCs w:val="16"/>
          <w:color w:val="auto"/>
        </w:rPr>
        <w:t>substantially all of the fair value of the gross assets acquired is concentrated in a single identifiable asset or a group of similar identifiable assets. If this threshold is met, the set is not a business. If the threshold is not met, the entity then evaluates whether the set meets the requirement that a business include, at a minimum, an input and a substantive process that together significantly contribute to the ability to create outputs. The new ASU provides a more robust framework to use in determining when a set of assets and activities is a business. For public reporting entities such as CoreCivic, guidance in ASU 2017-01 is effective for fiscal years beginning after December 15, 2017, and interim periods within those years, and is to be applied prospectively to any transactions occurring within the period of adoption. Early adoption of the ASU is allowed for transactions that occur before the issuance date or effective date of the ASU, only when the transaction has not been reported in financial statements that have been issued or made available for issuance. CoreCivic early adopted ASU 2017-01 in the first quarter of 2017.</w:t>
      </w:r>
    </w:p>
    <w:p>
      <w:pPr>
        <w:spacing w:after="0" w:line="168" w:lineRule="exact"/>
        <w:rPr>
          <w:sz w:val="20"/>
          <w:szCs w:val="20"/>
          <w:color w:val="auto"/>
        </w:rPr>
      </w:pPr>
    </w:p>
    <w:p>
      <w:pPr>
        <w:jc w:val="both"/>
        <w:ind w:left="600"/>
        <w:spacing w:after="0" w:line="278"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of Goodwill Impairment", that eliminates the requirement to calculate the implied fair value of goodwill by performing a hypothetical application of the acquisition method as of the date of the impairment test to measure a goodwill impairment charge. This requirement is the second step in the annual two-step quantitative impairment test that is currently required under Accounting Standards Codification ("ASC") 350, "Intangibles-Goodwill and Other". Instead, entities will recognize an impairment charge based on the first step of the quantitative impairment test currently required, which is the measurement of the excess of a reporting unit's carrying amount over its fair value. Entities will still have the option to perform a qualitative assessment to determine if the quantitative impairment test is necessary. For public reporting entities such as CoreCivic, guidance in ASU 2017-04 is effective for fiscal years beginning after December 15, 2019, and interim periods within those years. Early adoption of the ASU is allowed for interim or annual goodwill impairment tests performed on testing dates on or after January 1, 2017. CoreCivic is reviewing the ASU to determine the potential impact it might have on the methodology for evaluating goodwill for impairment subsequent to the adoption of the standard.</w:t>
      </w:r>
    </w:p>
    <w:p>
      <w:pPr>
        <w:spacing w:after="0" w:line="173" w:lineRule="exact"/>
        <w:rPr>
          <w:sz w:val="20"/>
          <w:szCs w:val="20"/>
          <w:color w:val="auto"/>
        </w:rPr>
      </w:pPr>
    </w:p>
    <w:p>
      <w:pPr>
        <w:jc w:val="both"/>
        <w:ind w:left="600"/>
        <w:spacing w:after="0" w:line="261" w:lineRule="auto"/>
        <w:rPr>
          <w:sz w:val="20"/>
          <w:szCs w:val="20"/>
          <w:color w:val="auto"/>
        </w:rPr>
      </w:pPr>
      <w:r>
        <w:rPr>
          <w:rFonts w:ascii="Arial" w:cs="Arial" w:eastAsia="Arial" w:hAnsi="Arial"/>
          <w:sz w:val="17"/>
          <w:szCs w:val="17"/>
          <w:color w:val="auto"/>
        </w:rPr>
        <w:t>In October 2016, the FASB issued ASU 2016-16, "Intra-Entity Transfers of Assets Other Than Inventory", which requires companies to recognize the income tax effects of intercompany sales or transfers of assets, other than inventory, in the income statement as income tax expense when the sale or transfer occurs. The new guidance is effective for public companies for fiscal years beginning after December 15, 2017, and interim periods within those annual periods. The guidance requires companies to apply a modified retrospective approach with a cumulative catch-up adjustment to opening retained earnings in the period of adoption. In the period of adoption, companies will write off any income tax effects that had been deferred from past intercompany transactions involving non-inventory assets to opening retained earnings. CoreCivic expects to adopt the new standard upon the effective date of January 1, 2018 and will write off approximately $2.6 million of prepaid taxes to accumulated deficit as a result of intercompany transactions between the REIT and one of its TRSs.</w:t>
      </w:r>
    </w:p>
    <w:p>
      <w:pPr>
        <w:spacing w:after="0" w:line="284" w:lineRule="exact"/>
        <w:rPr>
          <w:sz w:val="20"/>
          <w:szCs w:val="20"/>
          <w:color w:val="auto"/>
        </w:rPr>
      </w:pPr>
    </w:p>
    <w:p>
      <w:pPr>
        <w:ind w:left="600" w:hanging="595"/>
        <w:spacing w:after="0"/>
        <w:tabs>
          <w:tab w:leader="none" w:pos="6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ASC 350, "Intangibles-Goodwill and Other", establishes accounting and reporting requirements for goodwill and other intangible assets. Goodwill was $40.9 million and $38.4 million as of December 31, 2017 and 2016, respectively. This goodwill was established in connection with multiple business combination transactions.</w:t>
      </w:r>
    </w:p>
    <w:p>
      <w:pPr>
        <w:spacing w:after="0" w:line="171" w:lineRule="exact"/>
        <w:rPr>
          <w:sz w:val="20"/>
          <w:szCs w:val="20"/>
          <w:color w:val="auto"/>
        </w:rPr>
      </w:pPr>
    </w:p>
    <w:p>
      <w:pPr>
        <w:jc w:val="both"/>
        <w:ind w:left="600"/>
        <w:spacing w:after="0" w:line="302" w:lineRule="auto"/>
        <w:rPr>
          <w:sz w:val="20"/>
          <w:szCs w:val="20"/>
          <w:color w:val="auto"/>
        </w:rPr>
      </w:pPr>
      <w:r>
        <w:rPr>
          <w:rFonts w:ascii="Arial" w:cs="Arial" w:eastAsia="Arial" w:hAnsi="Arial"/>
          <w:sz w:val="15"/>
          <w:szCs w:val="15"/>
          <w:color w:val="auto"/>
        </w:rPr>
        <w:t>Under the provisions of ASC 350, CoreCivic performs a qualitative assessment that may allow it to skip the annual two-step impairment test. Under ASC 350, a company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If the two-step impairment test is required, CoreCivic determines the fair value of a reporting unit using a collaboration of various common valuation techniques, including market multiples and discounted cash flows. These impairment tests are required to be performed at least annually. CoreCivic performed its impairment tests during the fourth quarter, in connection with CoreCivic's annual budgeting process, and concluded no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both"/>
        <w:ind w:left="600"/>
        <w:spacing w:after="0" w:line="289" w:lineRule="auto"/>
        <w:rPr>
          <w:sz w:val="20"/>
          <w:szCs w:val="20"/>
          <w:color w:val="auto"/>
        </w:rPr>
      </w:pPr>
      <w:r>
        <w:rPr>
          <w:rFonts w:ascii="Arial" w:cs="Arial" w:eastAsia="Arial" w:hAnsi="Arial"/>
          <w:sz w:val="17"/>
          <w:szCs w:val="17"/>
          <w:color w:val="auto"/>
        </w:rPr>
        <w:t>impairments had occurred. CoreCivic will perform these impairment tests at least annually and whenever circumstances indicate the carrying value of goodwill may not be recoverable.</w:t>
      </w:r>
    </w:p>
    <w:p>
      <w:pPr>
        <w:spacing w:after="0" w:line="158" w:lineRule="exact"/>
        <w:rPr>
          <w:sz w:val="20"/>
          <w:szCs w:val="20"/>
          <w:color w:val="auto"/>
        </w:rPr>
      </w:pPr>
    </w:p>
    <w:p>
      <w:pPr>
        <w:jc w:val="both"/>
        <w:ind w:left="600"/>
        <w:spacing w:after="0" w:line="261" w:lineRule="auto"/>
        <w:rPr>
          <w:sz w:val="20"/>
          <w:szCs w:val="20"/>
          <w:color w:val="auto"/>
        </w:rPr>
      </w:pPr>
      <w:r>
        <w:rPr>
          <w:rFonts w:ascii="Arial" w:cs="Arial" w:eastAsia="Arial" w:hAnsi="Arial"/>
          <w:sz w:val="17"/>
          <w:szCs w:val="17"/>
          <w:color w:val="auto"/>
        </w:rPr>
        <w:t>In March 2017, the Texas Department of Criminal Justice ("TDCJ") notified CoreCivic that, in light of the current economic climate, as well as the fiscal constraints and budget outlook for the next biennium, the TDCJ would not be awarding the contract for the Bartlett State Jail. The TDCJ had previously solicited proposals for the rebid of the Bartlett facility, along with three other facilities that CoreCivic managed for the state of Texas. The managed-only contracts at the four facilities were scheduled to expire in August 2017. However, in collaboration with the TDCJ, the decision was made to close the Bartlett facility on June 24, 2017. In anticipation of the termination of the contract and closing of the Bartlett facility, CoreCivic recorded an asset impairment of $0.3 million during the first quarter of 2017 for the write-off of goodwill associated with the facility. During the third quarter of 2017, CoreCivic was notified that the TDCJ selected other operators for the three remaining facilities the Company managed for the state of Texas. CoreCivic had no goodwill associated with these three facilities.</w:t>
      </w:r>
    </w:p>
    <w:p>
      <w:pPr>
        <w:spacing w:after="0" w:line="185" w:lineRule="exact"/>
        <w:rPr>
          <w:sz w:val="20"/>
          <w:szCs w:val="20"/>
          <w:color w:val="auto"/>
        </w:rPr>
      </w:pPr>
    </w:p>
    <w:p>
      <w:pPr>
        <w:jc w:val="both"/>
        <w:ind w:left="600"/>
        <w:spacing w:after="0" w:line="267" w:lineRule="auto"/>
        <w:rPr>
          <w:sz w:val="20"/>
          <w:szCs w:val="20"/>
          <w:color w:val="auto"/>
        </w:rPr>
      </w:pPr>
      <w:r>
        <w:rPr>
          <w:rFonts w:ascii="Arial" w:cs="Arial" w:eastAsia="Arial" w:hAnsi="Arial"/>
          <w:sz w:val="17"/>
          <w:szCs w:val="17"/>
          <w:color w:val="auto"/>
        </w:rPr>
        <w:t>In April 2015, CoreCivic provided notice to the state of Louisiana that it would cease management of the Winn Correctional Center within 180 days, in accordance with the notice provisions of the contract. Management of the facility transitioned to another operator effective September 30, 2015. In anticipation of terminating the contract at this facility, CoreCivic recorded an asset impairment of $1.0 million during the first quarter of 2015 for the write-off of goodwill associated with the Winn facility.</w:t>
      </w:r>
    </w:p>
    <w:p>
      <w:pPr>
        <w:spacing w:after="0" w:line="276" w:lineRule="exact"/>
        <w:rPr>
          <w:sz w:val="20"/>
          <w:szCs w:val="20"/>
          <w:color w:val="auto"/>
        </w:rPr>
      </w:pPr>
    </w:p>
    <w:p>
      <w:pPr>
        <w:ind w:left="600" w:hanging="595"/>
        <w:spacing w:after="0"/>
        <w:tabs>
          <w:tab w:leader="none" w:pos="6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At December 31, 2017, CoreCivic owned 70 correctional, detention, and residential reentry real estate properties, 12 properties leased to third parties, and two corporate office buildings. At December 31, 2017, CoreCivic also managed seven correctional and detention facilities owned by governmental agencies.</w:t>
      </w:r>
    </w:p>
    <w:p>
      <w:pPr>
        <w:spacing w:after="0" w:line="17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at cost, consists of the following (in thousands):</w:t>
      </w:r>
    </w:p>
    <w:p>
      <w:pPr>
        <w:spacing w:after="0" w:line="318"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384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0"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Land and improvements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260,038</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234,862</w:t>
            </w:r>
          </w:p>
        </w:tc>
        <w:tc>
          <w:tcPr>
            <w:tcW w:w="80" w:type="dxa"/>
            <w:vAlign w:val="bottom"/>
            <w:shd w:val="clear" w:color="auto" w:fill="CFF0FC"/>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3,556,118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3,509,825</w:t>
            </w:r>
          </w:p>
        </w:tc>
        <w:tc>
          <w:tcPr>
            <w:tcW w:w="80" w:type="dxa"/>
            <w:vAlign w:val="bottom"/>
          </w:tcPr>
          <w:p>
            <w:pPr>
              <w:spacing w:after="0"/>
              <w:rPr>
                <w:sz w:val="19"/>
                <w:szCs w:val="19"/>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Equipment and software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399,630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379,811</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34,510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35,651</w:t>
            </w:r>
          </w:p>
        </w:tc>
        <w:tc>
          <w:tcPr>
            <w:tcW w:w="80" w:type="dxa"/>
            <w:vAlign w:val="bottom"/>
          </w:tcPr>
          <w:p>
            <w:pPr>
              <w:spacing w:after="0"/>
              <w:rPr>
                <w:sz w:val="19"/>
                <w:szCs w:val="19"/>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28,104</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29,831</w:t>
            </w:r>
          </w:p>
        </w:tc>
        <w:tc>
          <w:tcPr>
            <w:tcW w:w="80" w:type="dxa"/>
            <w:vAlign w:val="bottom"/>
            <w:shd w:val="clear" w:color="auto" w:fill="CFF0FC"/>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4,278,400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4,189,980</w:t>
            </w:r>
          </w:p>
        </w:tc>
        <w:tc>
          <w:tcPr>
            <w:tcW w:w="80" w:type="dxa"/>
            <w:vAlign w:val="bottom"/>
          </w:tcPr>
          <w:p>
            <w:pPr>
              <w:spacing w:after="0"/>
              <w:rPr>
                <w:sz w:val="18"/>
                <w:szCs w:val="18"/>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(1,475,951)</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6"/>
              </w:rPr>
              <w:t>(1,352,323)</w:t>
            </w:r>
          </w:p>
        </w:tc>
      </w:tr>
      <w:tr>
        <w:trPr>
          <w:trHeight w:val="216"/>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2,802,449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2,837,657</w:t>
            </w:r>
          </w:p>
        </w:tc>
        <w:tc>
          <w:tcPr>
            <w:tcW w:w="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line="322" w:lineRule="auto"/>
        <w:rPr>
          <w:sz w:val="20"/>
          <w:szCs w:val="20"/>
          <w:color w:val="auto"/>
        </w:rPr>
      </w:pPr>
      <w:r>
        <w:rPr>
          <w:rFonts w:ascii="Arial" w:cs="Arial" w:eastAsia="Arial" w:hAnsi="Arial"/>
          <w:sz w:val="16"/>
          <w:szCs w:val="16"/>
          <w:color w:val="auto"/>
        </w:rPr>
        <w:t>Construction in progress primarily consists of correctional facilities under construction or expansion. Interest is capitalized on construction in progress and amounted to $0.6 million and $5.5 million in 2016 and 2015, respectively. There was no interest capitalized on construction in progress in 2017.</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expense was $145.7 million, $165.8 million, and $151.4 million for the years ended December 31, 2017, 2016, and 2015, respectively.</w:t>
      </w:r>
    </w:p>
    <w:p>
      <w:pPr>
        <w:spacing w:after="0" w:line="235" w:lineRule="exact"/>
        <w:rPr>
          <w:sz w:val="20"/>
          <w:szCs w:val="20"/>
          <w:color w:val="auto"/>
        </w:rPr>
      </w:pPr>
    </w:p>
    <w:p>
      <w:pPr>
        <w:ind w:left="600"/>
        <w:spacing w:after="0" w:line="289" w:lineRule="auto"/>
        <w:rPr>
          <w:sz w:val="20"/>
          <w:szCs w:val="20"/>
          <w:color w:val="auto"/>
        </w:rPr>
      </w:pPr>
      <w:r>
        <w:rPr>
          <w:rFonts w:ascii="Arial" w:cs="Arial" w:eastAsia="Arial" w:hAnsi="Arial"/>
          <w:sz w:val="17"/>
          <w:szCs w:val="17"/>
          <w:color w:val="auto"/>
        </w:rPr>
        <w:t>Ten of the facilities owned by CoreCivic are subject to options that allow various governmental agencies to purchase those facilities. Certain of these options to purchase are based on a depreciated book value while others are based on a fair market value calculation.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p>
      <w:pPr>
        <w:spacing w:after="0" w:line="321" w:lineRule="auto"/>
        <w:rPr>
          <w:sz w:val="20"/>
          <w:szCs w:val="20"/>
          <w:color w:val="auto"/>
        </w:rPr>
      </w:pPr>
      <w:r>
        <w:rPr>
          <w:rFonts w:ascii="Arial" w:cs="Arial" w:eastAsia="Arial" w:hAnsi="Arial"/>
          <w:sz w:val="17"/>
          <w:szCs w:val="17"/>
          <w:color w:val="auto"/>
        </w:rPr>
        <w:t>CoreCivic leases land and building at the Elizabeth Detention Center under operating leases that expire in June 2022. Further, CoreCivic leases three residential reentry centers under operating leases that expire over varying dates through 2019.</w:t>
      </w:r>
    </w:p>
    <w:p>
      <w:pPr>
        <w:spacing w:after="0" w:line="1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CoreCivic leases the South Texas Family Residential Center and the site upon which it was constructed from a third-party lessor. CoreCivic's lease agreement with the lessor is over a base period concurrent with an IGSA with ICE which was amended in October 2016, as further described in Note</w:t>
      </w:r>
    </w:p>
    <w:p>
      <w:pPr>
        <w:jc w:val="both"/>
        <w:ind w:firstLine="3"/>
        <w:spacing w:after="0" w:line="284" w:lineRule="auto"/>
        <w:tabs>
          <w:tab w:leader="none" w:pos="3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However, ICE can terminate the agreement for convenience or non-appropriation of funds, without penalty, by providing CoreCivic with at least a 60-day notice. In the event CoreCivic cancels the lease with the third-party lessor prior to its expiration as a result of the termination of the IGSA by ICE for convenience, and if CoreCivic is unable to reach an agreement for the continued use of the facility within 90 days from the termination date, CoreCivic is required to pay a termination fee based on the termination date, currently equal to $10.0 million and declining to zero by October 2020.</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CoreCivic's original lease agreement with the third-party lessor required CoreCivic to pay $70.0 million in September 2014, which resulted in CoreCivic being deemed the owner of the constructed assets for accounting purposes, in accordance with ASC 840-40-55, formerly Emerging Issues Task Force No. 97-10, "The Effect of Lessee Involvement in Asset Construction". Accordingly, CoreCivic recorded an asset representing the costs incurred attributable to the building assets constructed by the third-party lessor and a related financing liability. CoreCivic is depreciating the asset over the term of the lease, as amended and extended through September 2021, and is imputing interest on the financing liability. Additionally, CoreCivic determined that the lease with the third-party lessor also included separate units of account for the land and pre-existing cottages as well as food services provided by the third-party lessor. The amount of consideration allocated to each of these separate deliverables was determined based on the relative selling price of the lessor-financing, the land lease, the lease of pre-existing cottages, and the food services. The operating lease term for the land is equivalent to the term of the lease and is recognized on a straight-line basis over the lease term. The operating lease term for the pre-existing cottages was the four-month period in which CoreCivic used the cottages for housing residents. The food services provided by the third-party lessor are recognized proportionally based on the number of beds available to ICE.</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expense incurred for operating leases, inclusive of the expenses recognized for the South Texas lease, as described above, was $66.3 million, $103.5 million, and $85.9 million for the years ended December 31, 2017, 2016, and 2015, respectively. Future minimum lease payments as of December 31, 2017 under operating leases, inclusive of $189.5 million of payments expected to be made under the cancelable lease at the South Texas facility, are as follows (in thousands):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40" w:type="dxa"/>
            <w:vAlign w:val="bottom"/>
            <w:shd w:val="clear" w:color="auto" w:fill="CFF0FC"/>
          </w:tcPr>
          <w:p>
            <w:pPr>
              <w:jc w:val="right"/>
              <w:ind w:right="2713"/>
              <w:spacing w:after="0"/>
              <w:rPr>
                <w:sz w:val="20"/>
                <w:szCs w:val="20"/>
                <w:color w:val="auto"/>
              </w:rPr>
            </w:pPr>
            <w:r>
              <w:rPr>
                <w:rFonts w:ascii="Arial" w:cs="Arial" w:eastAsia="Arial" w:hAnsi="Arial"/>
                <w:sz w:val="17"/>
                <w:szCs w:val="17"/>
                <w:color w:val="auto"/>
                <w:w w:val="84"/>
              </w:rPr>
              <w:t>2018</w:t>
            </w:r>
          </w:p>
        </w:tc>
        <w:tc>
          <w:tcPr>
            <w:tcW w:w="2840" w:type="dxa"/>
            <w:vAlign w:val="bottom"/>
            <w:shd w:val="clear" w:color="auto" w:fill="CFF0FC"/>
          </w:tcPr>
          <w:p>
            <w:pPr>
              <w:jc w:val="right"/>
              <w:ind w:right="233"/>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51,552</w:t>
            </w:r>
          </w:p>
        </w:tc>
      </w:tr>
      <w:tr>
        <w:trPr>
          <w:trHeight w:val="222"/>
        </w:trPr>
        <w:tc>
          <w:tcPr>
            <w:tcW w:w="3160" w:type="dxa"/>
            <w:vAlign w:val="bottom"/>
            <w:gridSpan w:val="2"/>
          </w:tcPr>
          <w:p>
            <w:pPr>
              <w:jc w:val="right"/>
              <w:ind w:right="2713"/>
              <w:spacing w:after="0"/>
              <w:rPr>
                <w:sz w:val="20"/>
                <w:szCs w:val="20"/>
                <w:color w:val="auto"/>
              </w:rPr>
            </w:pPr>
            <w:r>
              <w:rPr>
                <w:rFonts w:ascii="Arial" w:cs="Arial" w:eastAsia="Arial" w:hAnsi="Arial"/>
                <w:sz w:val="17"/>
                <w:szCs w:val="17"/>
                <w:color w:val="auto"/>
                <w:w w:val="89"/>
              </w:rPr>
              <w:t>2019</w:t>
            </w:r>
          </w:p>
        </w:tc>
        <w:tc>
          <w:tcPr>
            <w:tcW w:w="28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51,466</w:t>
            </w:r>
          </w:p>
        </w:tc>
      </w:tr>
      <w:tr>
        <w:trPr>
          <w:trHeight w:val="223"/>
        </w:trPr>
        <w:tc>
          <w:tcPr>
            <w:tcW w:w="20" w:type="dxa"/>
            <w:vAlign w:val="bottom"/>
          </w:tcPr>
          <w:p>
            <w:pPr>
              <w:spacing w:after="0"/>
              <w:rPr>
                <w:sz w:val="19"/>
                <w:szCs w:val="19"/>
                <w:color w:val="auto"/>
              </w:rPr>
            </w:pPr>
          </w:p>
        </w:tc>
        <w:tc>
          <w:tcPr>
            <w:tcW w:w="3140" w:type="dxa"/>
            <w:vAlign w:val="bottom"/>
            <w:shd w:val="clear" w:color="auto" w:fill="CFF0FC"/>
          </w:tcPr>
          <w:p>
            <w:pPr>
              <w:jc w:val="right"/>
              <w:ind w:right="2713"/>
              <w:spacing w:after="0"/>
              <w:rPr>
                <w:sz w:val="20"/>
                <w:szCs w:val="20"/>
                <w:color w:val="auto"/>
              </w:rPr>
            </w:pPr>
            <w:r>
              <w:rPr>
                <w:rFonts w:ascii="Arial" w:cs="Arial" w:eastAsia="Arial" w:hAnsi="Arial"/>
                <w:sz w:val="17"/>
                <w:szCs w:val="17"/>
                <w:color w:val="auto"/>
                <w:w w:val="84"/>
              </w:rPr>
              <w:t>2020</w:t>
            </w:r>
          </w:p>
        </w:tc>
        <w:tc>
          <w:tcPr>
            <w:tcW w:w="28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51,554</w:t>
            </w:r>
          </w:p>
        </w:tc>
      </w:tr>
      <w:tr>
        <w:trPr>
          <w:trHeight w:val="222"/>
        </w:trPr>
        <w:tc>
          <w:tcPr>
            <w:tcW w:w="3160" w:type="dxa"/>
            <w:vAlign w:val="bottom"/>
            <w:gridSpan w:val="2"/>
          </w:tcPr>
          <w:p>
            <w:pPr>
              <w:jc w:val="right"/>
              <w:ind w:right="2713"/>
              <w:spacing w:after="0"/>
              <w:rPr>
                <w:sz w:val="20"/>
                <w:szCs w:val="20"/>
                <w:color w:val="auto"/>
              </w:rPr>
            </w:pPr>
            <w:r>
              <w:rPr>
                <w:rFonts w:ascii="Arial" w:cs="Arial" w:eastAsia="Arial" w:hAnsi="Arial"/>
                <w:sz w:val="17"/>
                <w:szCs w:val="17"/>
                <w:color w:val="auto"/>
                <w:w w:val="89"/>
              </w:rPr>
              <w:t>2021</w:t>
            </w:r>
          </w:p>
        </w:tc>
        <w:tc>
          <w:tcPr>
            <w:tcW w:w="28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37,508</w:t>
            </w:r>
          </w:p>
        </w:tc>
      </w:tr>
      <w:tr>
        <w:trPr>
          <w:trHeight w:val="223"/>
        </w:trPr>
        <w:tc>
          <w:tcPr>
            <w:tcW w:w="20" w:type="dxa"/>
            <w:vAlign w:val="bottom"/>
          </w:tcPr>
          <w:p>
            <w:pPr>
              <w:spacing w:after="0"/>
              <w:rPr>
                <w:sz w:val="19"/>
                <w:szCs w:val="19"/>
                <w:color w:val="auto"/>
              </w:rPr>
            </w:pPr>
          </w:p>
        </w:tc>
        <w:tc>
          <w:tcPr>
            <w:tcW w:w="3140" w:type="dxa"/>
            <w:vAlign w:val="bottom"/>
            <w:shd w:val="clear" w:color="auto" w:fill="CFF0FC"/>
          </w:tcPr>
          <w:p>
            <w:pPr>
              <w:jc w:val="right"/>
              <w:ind w:right="2713"/>
              <w:spacing w:after="0"/>
              <w:rPr>
                <w:sz w:val="20"/>
                <w:szCs w:val="20"/>
                <w:color w:val="auto"/>
              </w:rPr>
            </w:pPr>
            <w:r>
              <w:rPr>
                <w:rFonts w:ascii="Arial" w:cs="Arial" w:eastAsia="Arial" w:hAnsi="Arial"/>
                <w:sz w:val="17"/>
                <w:szCs w:val="17"/>
                <w:color w:val="auto"/>
                <w:w w:val="84"/>
              </w:rPr>
              <w:t>2022</w:t>
            </w:r>
          </w:p>
        </w:tc>
        <w:tc>
          <w:tcPr>
            <w:tcW w:w="28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w:t>
            </w:r>
          </w:p>
        </w:tc>
      </w:tr>
      <w:tr>
        <w:trPr>
          <w:trHeight w:val="222"/>
        </w:trPr>
        <w:tc>
          <w:tcPr>
            <w:tcW w:w="3160" w:type="dxa"/>
            <w:vAlign w:val="bottom"/>
            <w:gridSpan w:val="2"/>
          </w:tcPr>
          <w:p>
            <w:pPr>
              <w:jc w:val="right"/>
              <w:ind w:right="2333"/>
              <w:spacing w:after="0"/>
              <w:rPr>
                <w:sz w:val="20"/>
                <w:szCs w:val="20"/>
                <w:color w:val="auto"/>
              </w:rPr>
            </w:pPr>
            <w:r>
              <w:rPr>
                <w:rFonts w:ascii="Arial" w:cs="Arial" w:eastAsia="Arial" w:hAnsi="Arial"/>
                <w:sz w:val="17"/>
                <w:szCs w:val="17"/>
                <w:color w:val="auto"/>
                <w:w w:val="91"/>
              </w:rPr>
              <w:t>Thereafter</w:t>
            </w:r>
          </w:p>
        </w:tc>
        <w:tc>
          <w:tcPr>
            <w:tcW w:w="28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June 2013, CoreCivic entered into an Economic Development Agreement ("EDA") with the Development Authority of Telfair County ("Telfair County") in Telfair County, Georgia to implement a tax abatement plan related to CoreCivic's bed expansion project at its McRae Correctional Facility. The tax abatement plan provides for 90% abatement of real property taxes in the first year, decreasing by 10% over the subsequent nine years. In June 2013, Telfair County issued bonds in a maximum principal amount of $15.0 million. According to the EDA, legal title of CoreCivic's real property was transferred to Telfair County. Pursuant to the EDA, the bonds were issued to CoreCivic, so no cash exchanged hands. Telfair County then leased the real property back to CoreCivic. The lease payments are equal to the amount of the payments on the bonds. At any time, CoreCivic has the option to purchase the real property by paying off the bonds, plus $100. Due to the form of the transactions, CoreCivic has not recorded the bonds or the capital lease associated with the sale lease-back transaction. The original cost of CoreCivic's property and equipment is recorded on the balance sheet and is being depreciated over its estimated useful life.</w:t>
      </w:r>
    </w:p>
    <w:p>
      <w:pPr>
        <w:spacing w:after="0" w:line="182"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337" w:right="239" w:bottom="1440" w:gutter="0" w:footer="0" w:header="0"/>
        </w:sectPr>
      </w:pPr>
    </w:p>
    <w:bookmarkStart w:id="108" w:name="page109"/>
    <w:bookmarkEnd w:id="108"/>
    <w:p>
      <w:pPr>
        <w:ind w:left="600" w:right="8200" w:hanging="595"/>
        <w:spacing w:after="0" w:line="389" w:lineRule="auto"/>
        <w:tabs>
          <w:tab w:leader="none" w:pos="591"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TRANSACTIONS Acquisitions</w:t>
      </w: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On August 27, 2015, CoreCivic acquired four community corrections facilities from a privately held owner of community corrections facilities and other government leased assets. The four acquired community corrections facilities have a capacity of approximately 600 beds and are leased to The GEO Group, Inc. ("GEO") under triple net lease agreements that extend through July 2019 and include multiple five-year lease extension options. GEO separately contracts with the Pennsylvania Department of Corrections and the Philadelphia Prison System to provide rehabilitative and reentry services to residents and inmates at the leased facilities. CoreCivic acquired the four facilities in the real estate-only transaction as a strategic investment that expands the Company's investment in the residential reentry market. The consideration paid for the asset portfolio consisted of approximately $13.8 million in cash, excluding transaction related expenses. In allocating the purchase price, CoreCivic recorded $13.4 million of net tangible assets and $0.4 million of identifiable intangible assets.</w:t>
      </w:r>
    </w:p>
    <w:p>
      <w:pPr>
        <w:spacing w:after="0" w:line="185" w:lineRule="exact"/>
        <w:rPr>
          <w:rFonts w:ascii="Arial" w:cs="Arial" w:eastAsia="Arial" w:hAnsi="Arial"/>
          <w:sz w:val="17"/>
          <w:szCs w:val="17"/>
          <w:b w:val="1"/>
          <w:bCs w:val="1"/>
          <w:color w:val="auto"/>
        </w:rPr>
      </w:pPr>
    </w:p>
    <w:p>
      <w:pPr>
        <w:jc w:val="both"/>
        <w:ind w:left="60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On June 10, 2016, CoreCivic acquired a residential reentry facility in Long Beach, California from a privately held owner for approximately $7.7 million in cash, excluding transaction-related expenses. In allocating the purchase price, CoreCivic recorded $7.4 million of net tangible assets and $0.3 million of identifiable intangible assets. The 112-bed facility is leased to GEO under a triple net lease agreement that extends through June 2020 and includes one five-year lease extension option. GEO separately contracts with the CDCR to provide rehabilitative and reentry services to residents at the leased facility. CoreCivic acquired the facility in the real estate–only transaction as a strategic investment that expands the Company's investment in the residential reentry market.</w:t>
      </w:r>
    </w:p>
    <w:p>
      <w:pPr>
        <w:spacing w:after="0" w:line="181"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On January 1, 2017, CoreCivic acquired the Arapahoe Community Treatment Center, a 135-bed residential reentry center in Englewood, Colorado, for $5.5 million in cash, excluding transaction-related expenses. The acquisition included a contract with Arapahoe County whereby CoreCivic provides residential reentry services for up to 135 residents.</w:t>
      </w:r>
    </w:p>
    <w:p>
      <w:pPr>
        <w:spacing w:after="0" w:line="171" w:lineRule="exact"/>
        <w:rPr>
          <w:rFonts w:ascii="Arial" w:cs="Arial" w:eastAsia="Arial" w:hAnsi="Arial"/>
          <w:sz w:val="17"/>
          <w:szCs w:val="17"/>
          <w:b w:val="1"/>
          <w:bCs w:val="1"/>
          <w:color w:val="auto"/>
        </w:rPr>
      </w:pPr>
    </w:p>
    <w:p>
      <w:pPr>
        <w:jc w:val="both"/>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On February 10, 2017, CoreCivic acquired the Stockton Female Community Corrections Facility, a 100-bed residential reentry center in Stockton, California, in a real estate-only transaction for $1.6 million, excluding transaction-related expenses. The 100-bed Stockton facility is leased to a third-party operator pursuant to a lease agreement that extends through April 2021 and includes one five-year lease extension option. The lessee separately contracts with the CDCR to provide rehabilitative and reentry services to female residents at the leased facility.</w:t>
      </w:r>
    </w:p>
    <w:p>
      <w:pPr>
        <w:spacing w:after="0" w:line="177" w:lineRule="exact"/>
        <w:rPr>
          <w:rFonts w:ascii="Arial" w:cs="Arial" w:eastAsia="Arial" w:hAnsi="Arial"/>
          <w:sz w:val="17"/>
          <w:szCs w:val="17"/>
          <w:b w:val="1"/>
          <w:bCs w:val="1"/>
          <w:color w:val="auto"/>
        </w:rPr>
      </w:pPr>
    </w:p>
    <w:p>
      <w:pPr>
        <w:jc w:val="both"/>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On August 1, 2017, CoreCivic acquired New Beginnings Treatment Center, Inc. ("NBTC"), an Arizona-based community corrections company, along with the real estate used in the operation of NBTC's business from an affiliate of NBTC, for an aggregate purchase price of $6.4 million, excluding transaction related expenses. In connection with the acquisition, CoreCivic assumed a contract with the BOP to provide reentry services to male and female adults at the 92-bed Oracle Transitional Center located in Tucson, Arizona.</w:t>
      </w:r>
    </w:p>
    <w:p>
      <w:pPr>
        <w:spacing w:after="0" w:line="177" w:lineRule="exact"/>
        <w:rPr>
          <w:rFonts w:ascii="Arial" w:cs="Arial" w:eastAsia="Arial" w:hAnsi="Arial"/>
          <w:sz w:val="17"/>
          <w:szCs w:val="17"/>
          <w:b w:val="1"/>
          <w:bCs w:val="1"/>
          <w:color w:val="auto"/>
        </w:rPr>
      </w:pPr>
    </w:p>
    <w:p>
      <w:pPr>
        <w:jc w:val="both"/>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On September 15, 2017, CoreCivic acquired a portfolio of four properties for an aggregate purchase price of $8.7 million, excluding transaction related expenses. The acquisition included a 230-bed residential reentry center leased to the state of Georgia, and three properties in North Carolina and Georgia leased to the General Services Administration, an independent agency of the United States government, two of which are occupied by the Social Security Administration, and one of which is occupied by the Internal Revenue Service ("IRS").</w:t>
      </w:r>
    </w:p>
    <w:p>
      <w:pPr>
        <w:spacing w:after="0" w:line="178"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In allocating the purchase price of the four acquisitions in 2017, CoreCivic recorded $20.1 million of net tangible assets, $1.8 million of identifiable intangible assets, and $0.3 million of tenant improvements associated with one of the North Carolina leased properties which was recognized as a receivable and will be recovered by payments from the lessee. CoreCivic acquired the properties as strategic investments that further expand the Company's network of residential reentry centers and further diversify the Company's cash flows through government-leased properties.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ind w:left="20"/>
        <w:spacing w:after="0"/>
        <w:rPr>
          <w:sz w:val="20"/>
          <w:szCs w:val="20"/>
          <w:color w:val="auto"/>
        </w:rPr>
      </w:pPr>
      <w:r>
        <w:rPr>
          <w:rFonts w:ascii="Arial" w:cs="Arial" w:eastAsia="Arial" w:hAnsi="Arial"/>
          <w:sz w:val="17"/>
          <w:szCs w:val="17"/>
          <w:b w:val="1"/>
          <w:bCs w:val="1"/>
          <w:color w:val="auto"/>
        </w:rPr>
        <w:t>Leasing Transactions</w:t>
      </w:r>
    </w:p>
    <w:p>
      <w:pPr>
        <w:spacing w:after="0" w:line="125" w:lineRule="exact"/>
        <w:rPr>
          <w:sz w:val="20"/>
          <w:szCs w:val="20"/>
          <w:color w:val="auto"/>
        </w:rPr>
      </w:pPr>
    </w:p>
    <w:p>
      <w:pPr>
        <w:jc w:val="both"/>
        <w:ind w:left="20"/>
        <w:spacing w:after="0" w:line="262" w:lineRule="auto"/>
        <w:rPr>
          <w:sz w:val="20"/>
          <w:szCs w:val="20"/>
          <w:color w:val="auto"/>
        </w:rPr>
      </w:pPr>
      <w:r>
        <w:rPr>
          <w:rFonts w:ascii="Arial" w:cs="Arial" w:eastAsia="Arial" w:hAnsi="Arial"/>
          <w:sz w:val="17"/>
          <w:szCs w:val="17"/>
          <w:color w:val="auto"/>
        </w:rPr>
        <w:t>In May 2016, CoreCivic entered into a lease with the Oklahoma Department of Corrections ("ODOC") for its previously idled 2,400-bed North Fork Correctional Facility. The lease agreement commenced on July 1, 2016, and includes a five-year base term with unlimited two-year renewal options. However, the lease agreement permitted the ODOC to utilize the facility for certain activation activities and, therefore, revenue recognition began upon execution of the lease. The average annual rent to be recognized during the base term is $7.3 million, including annual rent in the fifth year of $12.0 million. After the five-year base term, the annual rent will be equal to the rent due during the prior lease year, adjusted for increases in the Consumer Price Index ("CPI"). CoreCivic is responsible for repairs and maintenance, property taxes and property insurance, while all other aspects and costs of facility operations are the responsibility of the ODOC.</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Idle Facilities</w:t>
      </w:r>
    </w:p>
    <w:p>
      <w:pPr>
        <w:spacing w:after="0" w:line="125" w:lineRule="exact"/>
        <w:rPr>
          <w:sz w:val="20"/>
          <w:szCs w:val="20"/>
          <w:color w:val="auto"/>
        </w:rPr>
      </w:pPr>
    </w:p>
    <w:p>
      <w:pPr>
        <w:jc w:val="both"/>
        <w:ind w:left="20"/>
        <w:spacing w:after="0" w:line="267" w:lineRule="auto"/>
        <w:rPr>
          <w:sz w:val="20"/>
          <w:szCs w:val="20"/>
          <w:color w:val="auto"/>
        </w:rPr>
      </w:pPr>
      <w:r>
        <w:rPr>
          <w:rFonts w:ascii="Arial" w:cs="Arial" w:eastAsia="Arial" w:hAnsi="Arial"/>
          <w:sz w:val="17"/>
          <w:szCs w:val="17"/>
          <w:color w:val="auto"/>
        </w:rPr>
        <w:t>On April 30, 2017, the contract with the BOP at the Company's 1,422-bed Eden Detention Center expired and was not renewed. CoreCivic idled the Eden facility following the transfer of the offender population, and has begun to market the facility. The Company can provide no assurance that it will be successful in securing a replacement contract. CoreCivic performed an impairment analysis of the Eden facility, which had a net carrying value of $39.7 million as of December 31, 2017, and concluded that this asset has a recoverable value in excess of the carrying value.</w:t>
      </w:r>
    </w:p>
    <w:p>
      <w:pPr>
        <w:spacing w:after="0" w:line="178" w:lineRule="exact"/>
        <w:rPr>
          <w:sz w:val="20"/>
          <w:szCs w:val="20"/>
          <w:color w:val="auto"/>
        </w:rPr>
      </w:pPr>
    </w:p>
    <w:p>
      <w:pPr>
        <w:jc w:val="both"/>
        <w:ind w:left="20"/>
        <w:spacing w:after="0" w:line="283" w:lineRule="auto"/>
        <w:rPr>
          <w:sz w:val="20"/>
          <w:szCs w:val="20"/>
          <w:color w:val="auto"/>
        </w:rPr>
      </w:pPr>
      <w:r>
        <w:rPr>
          <w:rFonts w:ascii="Arial" w:cs="Arial" w:eastAsia="Arial" w:hAnsi="Arial"/>
          <w:sz w:val="16"/>
          <w:szCs w:val="16"/>
          <w:color w:val="auto"/>
        </w:rPr>
        <w:t>As a result of declines in federal populations at the Company's 910-bed Torrance County Detention Facility and 1,129-bed Cibola County Corrections Center, during the third quarter of 2017, CoreCivic made the decision to consolidate offender populations into its Cibola facility in order to take advantage of efficiencies gained by consolidating populations into one facility. CoreCivic idled the Torrance facility in the fourth quarter of 2017 following the transfer of the offender population, and has begun to market the facility to other potential customers. The Company can provide no assurance that it will be successful in securing a replacement contract. CoreCivic performed an impairment analysis of the Torrance facility, which had a net carrying value of $36.9 million as of December 31, 2017, and concluded that this asset has a recoverable value in excess of the carrying value.</w:t>
      </w:r>
    </w:p>
    <w:p>
      <w:pPr>
        <w:spacing w:after="0" w:line="165"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As of December 31, 2017, CoreCivic had eight idled facilities, including the Eden and Torrance facilities, that are currently available and being actively marketed to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Design</w:t>
            </w:r>
          </w:p>
        </w:tc>
        <w:tc>
          <w:tcPr>
            <w:tcW w:w="22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Net Carrying Values at</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220" w:type="dxa"/>
            <w:vAlign w:val="bottom"/>
            <w:tcBorders>
              <w:bottom w:val="single" w:sz="8" w:color="auto"/>
            </w:tcBorders>
          </w:tcPr>
          <w:p>
            <w:pPr>
              <w:ind w:left="2380"/>
              <w:spacing w:after="0" w:line="150" w:lineRule="exact"/>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56"/>
              <w:spacing w:after="0" w:line="150" w:lineRule="exact"/>
              <w:rPr>
                <w:sz w:val="20"/>
                <w:szCs w:val="20"/>
                <w:color w:val="auto"/>
              </w:rPr>
            </w:pPr>
            <w:r>
              <w:rPr>
                <w:rFonts w:ascii="Arial" w:cs="Arial" w:eastAsia="Arial" w:hAnsi="Arial"/>
                <w:sz w:val="14"/>
                <w:szCs w:val="14"/>
                <w:b w:val="1"/>
                <w:bCs w:val="1"/>
                <w:color w:val="auto"/>
              </w:rPr>
              <w:t>Capacity</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7"/>
              </w:rPr>
              <w:t>Idled</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0" w:lineRule="exact"/>
              <w:rPr>
                <w:sz w:val="20"/>
                <w:szCs w:val="20"/>
                <w:color w:val="auto"/>
              </w:rPr>
            </w:pPr>
            <w:r>
              <w:rPr>
                <w:rFonts w:ascii="Arial" w:cs="Arial" w:eastAsia="Arial" w:hAnsi="Arial"/>
                <w:sz w:val="14"/>
                <w:szCs w:val="14"/>
                <w:color w:val="auto"/>
                <w:w w:val="96"/>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Prairie Correctional Facility</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1,600</w:t>
            </w:r>
          </w:p>
        </w:tc>
        <w:tc>
          <w:tcPr>
            <w:tcW w:w="1360" w:type="dxa"/>
            <w:vAlign w:val="bottom"/>
            <w:gridSpan w:val="2"/>
            <w:shd w:val="clear" w:color="auto" w:fill="CFF0FC"/>
          </w:tcPr>
          <w:p>
            <w:pPr>
              <w:jc w:val="center"/>
              <w:ind w:left="113"/>
              <w:spacing w:after="0"/>
              <w:rPr>
                <w:sz w:val="20"/>
                <w:szCs w:val="20"/>
                <w:color w:val="auto"/>
              </w:rPr>
            </w:pPr>
            <w:r>
              <w:rPr>
                <w:rFonts w:ascii="Arial" w:cs="Arial" w:eastAsia="Arial" w:hAnsi="Arial"/>
                <w:sz w:val="17"/>
                <w:szCs w:val="17"/>
                <w:color w:val="auto"/>
                <w:w w:val="95"/>
              </w:rPr>
              <w:t>2010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16,118</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7"/>
                <w:szCs w:val="17"/>
                <w:color w:val="auto"/>
              </w:rPr>
              <w:t>Huerfano County Correctional Center</w:t>
            </w:r>
          </w:p>
        </w:tc>
        <w:tc>
          <w:tcPr>
            <w:tcW w:w="1020" w:type="dxa"/>
            <w:vAlign w:val="bottom"/>
          </w:tcPr>
          <w:p>
            <w:pPr>
              <w:jc w:val="right"/>
              <w:spacing w:after="0"/>
              <w:rPr>
                <w:sz w:val="20"/>
                <w:szCs w:val="20"/>
                <w:color w:val="auto"/>
              </w:rPr>
            </w:pPr>
            <w:r>
              <w:rPr>
                <w:rFonts w:ascii="Arial" w:cs="Arial" w:eastAsia="Arial" w:hAnsi="Arial"/>
                <w:sz w:val="17"/>
                <w:szCs w:val="17"/>
                <w:color w:val="auto"/>
              </w:rPr>
              <w:t>752</w:t>
            </w:r>
          </w:p>
        </w:tc>
        <w:tc>
          <w:tcPr>
            <w:tcW w:w="1360" w:type="dxa"/>
            <w:vAlign w:val="bottom"/>
            <w:gridSpan w:val="2"/>
          </w:tcPr>
          <w:p>
            <w:pPr>
              <w:jc w:val="center"/>
              <w:ind w:left="113"/>
              <w:spacing w:after="0"/>
              <w:rPr>
                <w:sz w:val="20"/>
                <w:szCs w:val="20"/>
                <w:color w:val="auto"/>
              </w:rPr>
            </w:pPr>
            <w:r>
              <w:rPr>
                <w:rFonts w:ascii="Arial" w:cs="Arial" w:eastAsia="Arial" w:hAnsi="Arial"/>
                <w:sz w:val="17"/>
                <w:szCs w:val="17"/>
                <w:color w:val="auto"/>
                <w:w w:val="95"/>
              </w:rPr>
              <w:t>2010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16,980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Diamondback Correctional Facility</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1360" w:type="dxa"/>
            <w:vAlign w:val="bottom"/>
            <w:gridSpan w:val="2"/>
            <w:shd w:val="clear" w:color="auto" w:fill="CFF0FC"/>
          </w:tcPr>
          <w:p>
            <w:pPr>
              <w:jc w:val="center"/>
              <w:ind w:left="113"/>
              <w:spacing w:after="0"/>
              <w:rPr>
                <w:sz w:val="20"/>
                <w:szCs w:val="20"/>
                <w:color w:val="auto"/>
              </w:rPr>
            </w:pPr>
            <w:r>
              <w:rPr>
                <w:rFonts w:ascii="Arial" w:cs="Arial" w:eastAsia="Arial" w:hAnsi="Arial"/>
                <w:sz w:val="17"/>
                <w:szCs w:val="17"/>
                <w:color w:val="auto"/>
                <w:w w:val="95"/>
              </w:rPr>
              <w:t>2010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41,370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7"/>
                <w:szCs w:val="17"/>
                <w:color w:val="auto"/>
              </w:rPr>
              <w:t>Southeast Kentucky Correctional Facility</w:t>
            </w:r>
          </w:p>
        </w:tc>
        <w:tc>
          <w:tcPr>
            <w:tcW w:w="1020" w:type="dxa"/>
            <w:vAlign w:val="bottom"/>
          </w:tcPr>
          <w:p>
            <w:pPr>
              <w:jc w:val="right"/>
              <w:spacing w:after="0"/>
              <w:rPr>
                <w:sz w:val="20"/>
                <w:szCs w:val="20"/>
                <w:color w:val="auto"/>
              </w:rPr>
            </w:pPr>
            <w:r>
              <w:rPr>
                <w:rFonts w:ascii="Arial" w:cs="Arial" w:eastAsia="Arial" w:hAnsi="Arial"/>
                <w:sz w:val="17"/>
                <w:szCs w:val="17"/>
                <w:color w:val="auto"/>
              </w:rPr>
              <w:t>656</w:t>
            </w:r>
          </w:p>
        </w:tc>
        <w:tc>
          <w:tcPr>
            <w:tcW w:w="1360" w:type="dxa"/>
            <w:vAlign w:val="bottom"/>
            <w:gridSpan w:val="2"/>
          </w:tcPr>
          <w:p>
            <w:pPr>
              <w:jc w:val="center"/>
              <w:ind w:left="113"/>
              <w:spacing w:after="0"/>
              <w:rPr>
                <w:sz w:val="20"/>
                <w:szCs w:val="20"/>
                <w:color w:val="auto"/>
              </w:rPr>
            </w:pPr>
            <w:r>
              <w:rPr>
                <w:rFonts w:ascii="Arial" w:cs="Arial" w:eastAsia="Arial" w:hAnsi="Arial"/>
                <w:sz w:val="17"/>
                <w:szCs w:val="17"/>
                <w:color w:val="auto"/>
                <w:w w:val="95"/>
              </w:rPr>
              <w:t>2012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21,864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Marion Adjustment Center</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826</w:t>
            </w:r>
          </w:p>
        </w:tc>
        <w:tc>
          <w:tcPr>
            <w:tcW w:w="1360" w:type="dxa"/>
            <w:vAlign w:val="bottom"/>
            <w:gridSpan w:val="2"/>
            <w:shd w:val="clear" w:color="auto" w:fill="CFF0FC"/>
          </w:tcPr>
          <w:p>
            <w:pPr>
              <w:jc w:val="center"/>
              <w:ind w:left="113"/>
              <w:spacing w:after="0"/>
              <w:rPr>
                <w:sz w:val="20"/>
                <w:szCs w:val="20"/>
                <w:color w:val="auto"/>
              </w:rPr>
            </w:pPr>
            <w:r>
              <w:rPr>
                <w:rFonts w:ascii="Arial" w:cs="Arial" w:eastAsia="Arial" w:hAnsi="Arial"/>
                <w:sz w:val="17"/>
                <w:szCs w:val="17"/>
                <w:color w:val="auto"/>
                <w:w w:val="95"/>
              </w:rPr>
              <w:t>2013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12,058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7"/>
                <w:szCs w:val="17"/>
                <w:color w:val="auto"/>
              </w:rPr>
              <w:t>Kit Carson Correctional Center</w:t>
            </w:r>
          </w:p>
        </w:tc>
        <w:tc>
          <w:tcPr>
            <w:tcW w:w="1020" w:type="dxa"/>
            <w:vAlign w:val="bottom"/>
          </w:tcPr>
          <w:p>
            <w:pPr>
              <w:jc w:val="right"/>
              <w:spacing w:after="0"/>
              <w:rPr>
                <w:sz w:val="20"/>
                <w:szCs w:val="20"/>
                <w:color w:val="auto"/>
              </w:rPr>
            </w:pPr>
            <w:r>
              <w:rPr>
                <w:rFonts w:ascii="Arial" w:cs="Arial" w:eastAsia="Arial" w:hAnsi="Arial"/>
                <w:sz w:val="17"/>
                <w:szCs w:val="17"/>
                <w:color w:val="auto"/>
              </w:rPr>
              <w:t>1,488</w:t>
            </w:r>
          </w:p>
        </w:tc>
        <w:tc>
          <w:tcPr>
            <w:tcW w:w="1360" w:type="dxa"/>
            <w:vAlign w:val="bottom"/>
            <w:gridSpan w:val="2"/>
          </w:tcPr>
          <w:p>
            <w:pPr>
              <w:jc w:val="center"/>
              <w:ind w:left="113"/>
              <w:spacing w:after="0"/>
              <w:rPr>
                <w:sz w:val="20"/>
                <w:szCs w:val="20"/>
                <w:color w:val="auto"/>
              </w:rPr>
            </w:pPr>
            <w:r>
              <w:rPr>
                <w:rFonts w:ascii="Arial" w:cs="Arial" w:eastAsia="Arial" w:hAnsi="Arial"/>
                <w:sz w:val="17"/>
                <w:szCs w:val="17"/>
                <w:color w:val="auto"/>
                <w:w w:val="95"/>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57,095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Eden Detention Center</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1,422</w:t>
            </w:r>
          </w:p>
        </w:tc>
        <w:tc>
          <w:tcPr>
            <w:tcW w:w="1360" w:type="dxa"/>
            <w:vAlign w:val="bottom"/>
            <w:gridSpan w:val="2"/>
            <w:shd w:val="clear" w:color="auto" w:fill="CFF0FC"/>
          </w:tcPr>
          <w:p>
            <w:pPr>
              <w:jc w:val="center"/>
              <w:ind w:left="113"/>
              <w:spacing w:after="0"/>
              <w:rPr>
                <w:sz w:val="20"/>
                <w:szCs w:val="20"/>
                <w:color w:val="auto"/>
              </w:rPr>
            </w:pPr>
            <w:r>
              <w:rPr>
                <w:rFonts w:ascii="Arial" w:cs="Arial" w:eastAsia="Arial" w:hAnsi="Arial"/>
                <w:sz w:val="17"/>
                <w:szCs w:val="17"/>
                <w:color w:val="auto"/>
                <w:w w:val="95"/>
              </w:rPr>
              <w:t>2017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39,707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Torrance County Detention Facility</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360" w:type="dxa"/>
            <w:vAlign w:val="bottom"/>
            <w:tcBorders>
              <w:bottom w:val="single" w:sz="8" w:color="CFF0FC"/>
            </w:tcBorders>
            <w:gridSpan w:val="2"/>
          </w:tcPr>
          <w:p>
            <w:pPr>
              <w:jc w:val="center"/>
              <w:ind w:left="113"/>
              <w:spacing w:after="0"/>
              <w:rPr>
                <w:sz w:val="20"/>
                <w:szCs w:val="20"/>
                <w:color w:val="auto"/>
              </w:rPr>
            </w:pPr>
            <w:r>
              <w:rPr>
                <w:rFonts w:ascii="Arial" w:cs="Arial" w:eastAsia="Arial" w:hAnsi="Arial"/>
                <w:sz w:val="17"/>
                <w:szCs w:val="17"/>
                <w:color w:val="auto"/>
                <w:w w:val="95"/>
              </w:rPr>
              <w:t>2017</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36,882</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242,074</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CoreCivic also has two idled non-core facilities containing 440 beds with an aggregate net book value of $4.0 million. CoreCivic incurred approximately $10.8 million, $8.1 million, and $7.2 million in operating expenses at the idled facilities for the years ended December 31, 2017, 2016, and 2015, respectively.</w:t>
      </w:r>
    </w:p>
    <w:p>
      <w:pPr>
        <w:spacing w:after="0" w:line="171" w:lineRule="exact"/>
        <w:rPr>
          <w:sz w:val="20"/>
          <w:szCs w:val="20"/>
          <w:color w:val="auto"/>
        </w:rPr>
      </w:pPr>
    </w:p>
    <w:p>
      <w:pPr>
        <w:jc w:val="both"/>
        <w:ind w:left="20"/>
        <w:spacing w:after="0" w:line="289" w:lineRule="auto"/>
        <w:rPr>
          <w:sz w:val="20"/>
          <w:szCs w:val="20"/>
          <w:color w:val="auto"/>
        </w:rPr>
      </w:pPr>
      <w:r>
        <w:rPr>
          <w:rFonts w:ascii="Arial" w:cs="Arial" w:eastAsia="Arial" w:hAnsi="Arial"/>
          <w:sz w:val="17"/>
          <w:szCs w:val="17"/>
          <w:color w:val="auto"/>
        </w:rPr>
        <w:t>CoreCivic considers the cancellation of a contract as an indicator of impairment and tested each of the idled facilities for impairment when it was notified by the respective customers that they would no longer be</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70485</wp:posOffset>
            </wp:positionV>
            <wp:extent cx="729297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40"/>
          </w:cols>
          <w:pgMar w:left="820" w:top="435" w:right="239" w:bottom="1440" w:gutter="0" w:footer="0" w:header="0"/>
        </w:sectPr>
      </w:pPr>
    </w:p>
    <w:bookmarkStart w:id="110" w:name="page111"/>
    <w:bookmarkEnd w:id="110"/>
    <w:p>
      <w:pPr>
        <w:jc w:val="both"/>
        <w:ind w:left="600"/>
        <w:spacing w:after="0" w:line="267" w:lineRule="auto"/>
        <w:rPr>
          <w:sz w:val="20"/>
          <w:szCs w:val="20"/>
          <w:color w:val="auto"/>
        </w:rPr>
      </w:pPr>
      <w:r>
        <w:rPr>
          <w:rFonts w:ascii="Arial" w:cs="Arial" w:eastAsia="Arial" w:hAnsi="Arial"/>
          <w:sz w:val="17"/>
          <w:szCs w:val="17"/>
          <w:color w:val="auto"/>
        </w:rPr>
        <w:t>utilizing such facility. CoreCivic updates the impairment analyses on an annual basis for each of the idled facilities and evaluates on a quarterly basis market developments for the potential utilization of each of these facilities in order to identify events that may cause CoreCivic to reconsider its most recent assumptions. As a result of CoreCivic's analyses, CoreCivic determined each of the idled facilities to have recoverable values in excess of the corresponding carrying values.</w:t>
      </w:r>
    </w:p>
    <w:p>
      <w:pPr>
        <w:spacing w:after="0" w:line="178"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On November 16, 2017, CoreCivic announced that it had entered into a new contract with the Commonwealth of Kentucky Department of Corrections to house medium and close-security offenders at the Company's previously idled 816-bed Lee Adjustment Center in Beattyville, Kentucky. The new management contract commenced on November 19, 2017, and has an initial term expiring June 30, 2019, with two additional one-year extension options. CoreCivic expects to begin receiving offender populations under the new contract at the Lee facility toward the end of the first quarter of 2018, following a 120-day period to staff and prepare the facility to care for the offender population. The Lee facility had a net carrying value of $10.4 million as of December 31, 2017, and had previously been idle since 2015.</w:t>
      </w:r>
    </w:p>
    <w:p>
      <w:pPr>
        <w:spacing w:after="0" w:line="280" w:lineRule="exact"/>
        <w:rPr>
          <w:sz w:val="20"/>
          <w:szCs w:val="20"/>
          <w:color w:val="auto"/>
        </w:rPr>
      </w:pPr>
    </w:p>
    <w:p>
      <w:pPr>
        <w:ind w:left="600" w:hanging="595"/>
        <w:spacing w:after="0"/>
        <w:tabs>
          <w:tab w:leader="none" w:pos="6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124" w:lineRule="exact"/>
        <w:rPr>
          <w:rFonts w:ascii="Arial" w:cs="Arial" w:eastAsia="Arial" w:hAnsi="Arial"/>
          <w:sz w:val="17"/>
          <w:szCs w:val="17"/>
          <w:b w:val="1"/>
          <w:bCs w:val="1"/>
          <w:color w:val="auto"/>
        </w:rPr>
      </w:pPr>
    </w:p>
    <w:p>
      <w:pPr>
        <w:jc w:val="both"/>
        <w:ind w:left="60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During the fourth quarter of 2015, CoreCivic closed on the acquisition of 100% of the stock of Avalon Correctional Services, Inc. ("Avalon"), along with two additional facilities operated by Avalon. The acquisition included 11 community corrections facilities with approximately 3,000 beds in Oklahoma, Texas, and Wyoming. CoreCivic acquired Avalon, which specializes in community correctional services, drug and alcohol treatment services, and residential reentry services, as a strategic investment that continues to expand the reentry assets CoreCivic owns and the services the Company provides. The aggregate purchase price of $157.5 million, excluding transaction-related expenses, includes two earn-outs. One earn-out for $5.5 million, which was based on the completion of and transition to a newly constructed facility that delivers the contracted services provided at the Dallas Transitional Center, was paid in the second quarter of 2016. The second earn-out for up to $2.0 million was based on the achievement of certain utilization milestones over 12 months following the acquisition. The utilization milestones were not achieved resulting in a $2.0 million gain recognized in the third quarter of 2016. The gain is reported as revenue in the accompanying statement of operations for the year ended December 31, 2016. The acquisition was funded utilizing cash from CoreCivic's $900.0 Million Revolving Credit Facility, as defined hereafter.</w:t>
      </w:r>
    </w:p>
    <w:p>
      <w:pPr>
        <w:spacing w:after="0" w:line="173"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allocating the purchase price for the transaction, CoreCivic recorded the following (in millions):</w:t>
      </w:r>
    </w:p>
    <w:p>
      <w:pPr>
        <w:spacing w:after="0" w:line="236" w:lineRule="exact"/>
        <w:rPr>
          <w:sz w:val="20"/>
          <w:szCs w:val="20"/>
          <w:color w:val="auto"/>
        </w:rPr>
      </w:pPr>
    </w:p>
    <w:tbl>
      <w:tblPr>
        <w:tblLayout w:type="fixed"/>
        <w:tblInd w:w="22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2300" w:type="dxa"/>
            <w:vAlign w:val="bottom"/>
            <w:gridSpan w:val="2"/>
            <w:shd w:val="clear" w:color="auto" w:fill="CFF0FC"/>
          </w:tcPr>
          <w:p>
            <w:pPr>
              <w:jc w:val="right"/>
              <w:ind w:right="284"/>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119.2</w:t>
            </w:r>
          </w:p>
        </w:tc>
        <w:tc>
          <w:tcPr>
            <w:tcW w:w="60" w:type="dxa"/>
            <w:vAlign w:val="bottom"/>
            <w:shd w:val="clear" w:color="auto" w:fill="CFF0FC"/>
          </w:tcPr>
          <w:p>
            <w:pPr>
              <w:spacing w:after="0"/>
              <w:rPr>
                <w:sz w:val="19"/>
                <w:szCs w:val="19"/>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7"/>
                <w:szCs w:val="17"/>
                <w:color w:val="auto"/>
              </w:rPr>
              <w:t>Intangible assets</w:t>
            </w: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identifiable assets</w:t>
            </w:r>
          </w:p>
        </w:tc>
        <w:tc>
          <w:tcPr>
            <w:tcW w:w="18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137.7</w:t>
            </w:r>
          </w:p>
        </w:tc>
        <w:tc>
          <w:tcPr>
            <w:tcW w:w="60" w:type="dxa"/>
            <w:vAlign w:val="bottom"/>
            <w:tcBorders>
              <w:top w:val="single" w:sz="8" w:color="CFF0FC"/>
            </w:tcBorders>
            <w:shd w:val="clear" w:color="auto" w:fill="CFF0FC"/>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consideration</w:t>
            </w:r>
          </w:p>
        </w:tc>
        <w:tc>
          <w:tcPr>
            <w:tcW w:w="186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157.5</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600"/>
        <w:spacing w:after="0" w:line="261" w:lineRule="auto"/>
        <w:rPr>
          <w:sz w:val="20"/>
          <w:szCs w:val="20"/>
          <w:color w:val="auto"/>
        </w:rPr>
      </w:pPr>
      <w:r>
        <w:rPr>
          <w:rFonts w:ascii="Arial" w:cs="Arial" w:eastAsia="Arial" w:hAnsi="Arial"/>
          <w:sz w:val="17"/>
          <w:szCs w:val="17"/>
          <w:color w:val="auto"/>
        </w:rPr>
        <w:t>On April 8, 2016, CoreCivic closed on the acquisition of 100% of the stock of Correctional Management, Inc. ("CMI"), along with the real estate used in the operation of CMI's business from two entities affiliated with CMI. CMI, a privately held community corrections company that operates seven community corrections facilities, including six owned and one leased, with approximately 600 beds in Colorado, specializes in community correctional services, drug and alcohol treatment services, and residential reentry services. CMI provides these services through multiple contracts with three counties in Colorado, as well as the Colorado Department of Corrections, a pre-existing partner of CoreCivic's. CoreCivic acquired CMI as a strategic investment that continues to expand the reentry assets CoreCivic owns and the services the Company provides. The aggregate purchase price of the transaction was $35.0 million, excluding transaction-related expenses. The transaction was funded utilizing cash from CoreCivic's $900.0 Million Revolving Credit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tbl>
      <w:tblPr>
        <w:tblLayout w:type="fixed"/>
        <w:tblInd w:w="60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7"/>
                <w:szCs w:val="17"/>
                <w:color w:val="auto"/>
              </w:rPr>
              <w:t>In allocating the purchase price for the transaction, CoreCivic recorded the following (in millions):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728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Tangible current assets and liabilities, net</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FF0FC"/>
          </w:tcPr>
          <w:p>
            <w:pPr>
              <w:spacing w:after="0"/>
              <w:rPr>
                <w:sz w:val="19"/>
                <w:szCs w:val="19"/>
                <w:color w:val="auto"/>
              </w:rPr>
            </w:pPr>
          </w:p>
        </w:tc>
      </w:tr>
      <w:tr>
        <w:trPr>
          <w:trHeight w:val="222"/>
        </w:trPr>
        <w:tc>
          <w:tcPr>
            <w:tcW w:w="7280" w:type="dxa"/>
            <w:vAlign w:val="bottom"/>
            <w:gridSpan w:val="2"/>
          </w:tcPr>
          <w:p>
            <w:pPr>
              <w:ind w:left="1680"/>
              <w:spacing w:after="0"/>
              <w:rPr>
                <w:sz w:val="20"/>
                <w:szCs w:val="20"/>
                <w:color w:val="auto"/>
              </w:rPr>
            </w:pPr>
            <w:r>
              <w:rPr>
                <w:rFonts w:ascii="Arial" w:cs="Arial" w:eastAsia="Arial" w:hAnsi="Arial"/>
                <w:sz w:val="17"/>
                <w:szCs w:val="17"/>
                <w:color w:val="auto"/>
              </w:rPr>
              <w:t>Property and equipment</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60" w:type="dxa"/>
            <w:vAlign w:val="bottom"/>
            <w:shd w:val="clear" w:color="auto" w:fill="CFF0FC"/>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7"/>
                <w:szCs w:val="17"/>
                <w:color w:val="auto"/>
              </w:rPr>
              <w:t>Total identifiable assets</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31.7</w:t>
            </w:r>
          </w:p>
        </w:tc>
        <w:tc>
          <w:tcPr>
            <w:tcW w:w="6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60" w:type="dxa"/>
            <w:vAlign w:val="bottom"/>
            <w:shd w:val="clear" w:color="auto" w:fill="CFF0FC"/>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7"/>
                <w:szCs w:val="17"/>
                <w:color w:val="auto"/>
              </w:rPr>
              <w:t>Total consideration</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6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600"/>
        <w:spacing w:after="0" w:line="267" w:lineRule="auto"/>
        <w:rPr>
          <w:sz w:val="20"/>
          <w:szCs w:val="20"/>
          <w:color w:val="auto"/>
        </w:rPr>
      </w:pPr>
      <w:r>
        <w:rPr>
          <w:rFonts w:ascii="Arial" w:cs="Arial" w:eastAsia="Arial" w:hAnsi="Arial"/>
          <w:sz w:val="17"/>
          <w:szCs w:val="17"/>
          <w:color w:val="auto"/>
        </w:rPr>
        <w:t>On June 1, 2017, CoreCivic acquired the real estate operated by Center Point, Inc. ("Center Point"), a California-based non-profit organization, for $5.3 million in cash, excluding transaction-related expenses and a potential earn-out of up to $1.7 million. CoreCivic consolidated a portion of Center Point's operations into the Company's preexisting residential reentry center portfolio and assumed ownership and operations of the Oklahoma City Transitional Center, a 200-bed residential reentry center in Oklahoma City, Oklahoma.</w:t>
      </w:r>
    </w:p>
    <w:p>
      <w:pPr>
        <w:spacing w:after="0" w:line="178" w:lineRule="exact"/>
        <w:rPr>
          <w:sz w:val="20"/>
          <w:szCs w:val="20"/>
          <w:color w:val="auto"/>
        </w:rPr>
      </w:pPr>
    </w:p>
    <w:p>
      <w:pPr>
        <w:jc w:val="both"/>
        <w:ind w:left="600"/>
        <w:spacing w:after="0" w:line="265" w:lineRule="auto"/>
        <w:rPr>
          <w:sz w:val="20"/>
          <w:szCs w:val="20"/>
          <w:color w:val="auto"/>
        </w:rPr>
      </w:pPr>
      <w:r>
        <w:rPr>
          <w:rFonts w:ascii="Arial" w:cs="Arial" w:eastAsia="Arial" w:hAnsi="Arial"/>
          <w:sz w:val="17"/>
          <w:szCs w:val="17"/>
          <w:color w:val="auto"/>
        </w:rPr>
        <w:t>On November 1, 2017, CoreCivic completed the acquisition of Time to Change, Inc. ("TTC"), a Colorado-based community corrections company, for an aggregate purchase price of $22.0 million, excluding transaction related expenses, but inclusive of the current estimate of future cash contingent consideration, which is subject to change based upon future financial performance of the acquisition over the two-year period following the acquisition. In connection with the acquisition, CoreCivic assumed contracts with Adams County, Colorado to provide residential reentry services to male and female adults in three facilities located in Colorado containing a total of 422 beds.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allocating the purchase price for the two transactions in 2017, CoreCivic recorded the following (in millions):</w:t>
      </w:r>
    </w:p>
    <w:p>
      <w:pPr>
        <w:spacing w:after="0" w:line="236" w:lineRule="exact"/>
        <w:rPr>
          <w:sz w:val="20"/>
          <w:szCs w:val="20"/>
          <w:color w:val="auto"/>
        </w:rPr>
      </w:pPr>
    </w:p>
    <w:tbl>
      <w:tblPr>
        <w:tblLayout w:type="fixed"/>
        <w:tblInd w:w="22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Tangible current assets and liabilities, net</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w:t>
            </w:r>
          </w:p>
        </w:tc>
        <w:tc>
          <w:tcPr>
            <w:tcW w:w="60" w:type="dxa"/>
            <w:vAlign w:val="bottom"/>
            <w:shd w:val="clear" w:color="auto" w:fill="CFF0FC"/>
          </w:tcPr>
          <w:p>
            <w:pPr>
              <w:spacing w:after="0"/>
              <w:rPr>
                <w:sz w:val="19"/>
                <w:szCs w:val="19"/>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19.7</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6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7"/>
                <w:szCs w:val="17"/>
                <w:color w:val="auto"/>
              </w:rPr>
              <w:t>Total identifiable assets</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6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7"/>
                <w:szCs w:val="17"/>
                <w:color w:val="auto"/>
              </w:rPr>
              <w:t>Total consideration</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267" w:lineRule="auto"/>
        <w:rPr>
          <w:sz w:val="20"/>
          <w:szCs w:val="20"/>
          <w:color w:val="auto"/>
        </w:rPr>
      </w:pPr>
      <w:r>
        <w:rPr>
          <w:rFonts w:ascii="Arial" w:cs="Arial" w:eastAsia="Arial" w:hAnsi="Arial"/>
          <w:sz w:val="17"/>
          <w:szCs w:val="17"/>
          <w:color w:val="auto"/>
        </w:rPr>
        <w:t>Several factors gave rise to the goodwill recorded in the acquisitions of Avalon, CMI, Center Point and TTC, such as the expected benefit from synergies of the business combinations and the long-term contracts for community corrections services that continues to broaden the scope of solutions CoreCivic provides, from incarceration through release. The results of operations for these business combinations have been included in the Company's consolidated financial statements from the dates of the acquisitions.</w:t>
      </w:r>
    </w:p>
    <w:p>
      <w:pPr>
        <w:spacing w:after="0" w:line="276" w:lineRule="exact"/>
        <w:rPr>
          <w:sz w:val="20"/>
          <w:szCs w:val="20"/>
          <w:color w:val="auto"/>
        </w:rPr>
      </w:pPr>
    </w:p>
    <w:p>
      <w:pPr>
        <w:ind w:left="600" w:hanging="595"/>
        <w:spacing w:after="0"/>
        <w:tabs>
          <w:tab w:leader="none" w:pos="6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AFFILIATE</w:t>
      </w:r>
    </w:p>
    <w:p>
      <w:pPr>
        <w:spacing w:after="0" w:line="124" w:lineRule="exact"/>
        <w:rPr>
          <w:rFonts w:ascii="Arial" w:cs="Arial" w:eastAsia="Arial" w:hAnsi="Arial"/>
          <w:sz w:val="17"/>
          <w:szCs w:val="17"/>
          <w:b w:val="1"/>
          <w:bCs w:val="1"/>
          <w:color w:val="auto"/>
        </w:rPr>
      </w:pPr>
    </w:p>
    <w:p>
      <w:pPr>
        <w:jc w:val="both"/>
        <w:ind w:left="60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CoreCivic has a 50% ownership interest in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was previously constructed and owned by a wholly-owned subsidiary of CoreCivic, which was sold in April 2001. All gains and losses under the joint venture are accounted for using the equity method of accounting. During 2000, CoreCivic extended a working capital loan to APM, which has an outstanding balance of $3.1 million as of December 31, 2017.</w:t>
      </w:r>
    </w:p>
    <w:p>
      <w:pPr>
        <w:spacing w:after="0" w:line="165"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For the years ended December 31, 2017, 2016, and 2015, equity in losses of the joint venture was $62,000, $41,000, and $126,000, respectively. The equity in losses and earnings of the joint venture is included in other (income) expense in the consolidated statements of operations. As of December 31, 2017, CoreCivic's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both"/>
        <w:ind w:left="600" w:right="20"/>
        <w:spacing w:after="0" w:line="273" w:lineRule="auto"/>
        <w:rPr>
          <w:sz w:val="20"/>
          <w:szCs w:val="20"/>
          <w:color w:val="auto"/>
        </w:rPr>
      </w:pPr>
      <w:r>
        <w:rPr>
          <w:rFonts w:ascii="Arial" w:cs="Arial" w:eastAsia="Arial" w:hAnsi="Arial"/>
          <w:sz w:val="17"/>
          <w:szCs w:val="17"/>
          <w:color w:val="auto"/>
        </w:rPr>
        <w:t>equity investment in APM was $0.2 million and is reported in other assets in the accompanying consolidated balance sheets. The outstanding working capital loan of $3.1 million, combined with the $0.2 million investment in APM, represents CoreCivic's maximum exposure to loss in connection with APM.</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8.</w:t>
            </w:r>
          </w:p>
        </w:tc>
        <w:tc>
          <w:tcPr>
            <w:tcW w:w="5980" w:type="dxa"/>
            <w:vAlign w:val="bottom"/>
            <w:gridSpan w:val="2"/>
          </w:tcPr>
          <w:p>
            <w:pPr>
              <w:ind w:left="240"/>
              <w:spacing w:after="0"/>
              <w:rPr>
                <w:sz w:val="20"/>
                <w:szCs w:val="20"/>
                <w:color w:val="auto"/>
              </w:rPr>
            </w:pPr>
            <w:r>
              <w:rPr>
                <w:rFonts w:ascii="Arial" w:cs="Arial" w:eastAsia="Arial" w:hAnsi="Arial"/>
                <w:sz w:val="17"/>
                <w:szCs w:val="17"/>
                <w:b w:val="1"/>
                <w:bCs w:val="1"/>
                <w:color w:val="auto"/>
              </w:rPr>
              <w:t>OTHER ASSETS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0" w:type="dxa"/>
            <w:vAlign w:val="bottom"/>
          </w:tcPr>
          <w:p>
            <w:pPr>
              <w:spacing w:after="0"/>
              <w:rPr>
                <w:sz w:val="24"/>
                <w:szCs w:val="24"/>
                <w:color w:val="auto"/>
              </w:rPr>
            </w:pPr>
          </w:p>
        </w:tc>
        <w:tc>
          <w:tcPr>
            <w:tcW w:w="5980" w:type="dxa"/>
            <w:vAlign w:val="bottom"/>
            <w:gridSpan w:val="2"/>
          </w:tcPr>
          <w:p>
            <w:pPr>
              <w:ind w:left="240"/>
              <w:spacing w:after="0"/>
              <w:rPr>
                <w:sz w:val="20"/>
                <w:szCs w:val="20"/>
                <w:color w:val="auto"/>
              </w:rPr>
            </w:pPr>
            <w:r>
              <w:rPr>
                <w:rFonts w:ascii="Arial" w:cs="Arial" w:eastAsia="Arial" w:hAnsi="Arial"/>
                <w:sz w:val="17"/>
                <w:szCs w:val="17"/>
                <w:color w:val="auto"/>
              </w:rPr>
              <w:t>Other assets consist of the following (in thousands):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0"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Debt issuance costs, less accumulated amortization of</w:t>
            </w:r>
          </w:p>
        </w:tc>
        <w:tc>
          <w:tcPr>
            <w:tcW w:w="1080" w:type="dxa"/>
            <w:vAlign w:val="bottom"/>
            <w:gridSpan w:val="2"/>
            <w:vMerge w:val="restart"/>
            <w:shd w:val="clear" w:color="auto" w:fill="CFF0FC"/>
          </w:tcPr>
          <w:p>
            <w:pPr>
              <w:jc w:val="right"/>
              <w:ind w:right="7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2,518</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$2,711 and $1,633, respectively</w:t>
            </w:r>
          </w:p>
        </w:tc>
        <w:tc>
          <w:tcPr>
            <w:tcW w:w="1080" w:type="dxa"/>
            <w:vAlign w:val="bottom"/>
            <w:gridSpan w:val="2"/>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Intangible lease value, less accumulated amortization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34,668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of $6,920 and $4,990, respectively</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36,598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Other intangible assets, less accumulated amortization</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8,585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$2,625 and $1,421, respectively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Deferred leasing costs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6,738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Cash equivalents and cash surrender value of life</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13,537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insurance held in Rabbi trust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Straight-line rent receivable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9,335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13,337</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88,718</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right="20"/>
        <w:spacing w:after="0" w:line="289" w:lineRule="auto"/>
        <w:rPr>
          <w:sz w:val="20"/>
          <w:szCs w:val="20"/>
          <w:color w:val="auto"/>
        </w:rPr>
      </w:pPr>
      <w:r>
        <w:rPr>
          <w:rFonts w:ascii="Arial" w:cs="Arial" w:eastAsia="Arial" w:hAnsi="Arial"/>
          <w:sz w:val="16"/>
          <w:szCs w:val="16"/>
          <w:color w:val="auto"/>
        </w:rPr>
        <w:t>The gross carrying amount of intangible assets amounted to $52.8 million and $47.4 million at December 31, 2017 and 2016, respectively. Of these amounts, $41.6 million was related to intangible lease values at both December 31, 2017 and 2016. Amortization expense related to intangible assets was $3.4 million, $2.9 million, and $1.5 million for 2017, 2016, and 2015, respectively, and depending upon the nature of the asset, was either reported as operating expense or depreciation and amortization in the accompanying statement of operations for the respective periods.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2017, the estimated amortization expense related to intangible assets for each of the next five years is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1800" w:type="dxa"/>
            <w:vAlign w:val="bottom"/>
            <w:shd w:val="clear" w:color="auto" w:fill="CFF0FC"/>
          </w:tcPr>
          <w:p>
            <w:pPr>
              <w:jc w:val="right"/>
              <w:ind w:right="1373"/>
              <w:spacing w:after="0"/>
              <w:rPr>
                <w:sz w:val="20"/>
                <w:szCs w:val="20"/>
                <w:color w:val="auto"/>
              </w:rPr>
            </w:pPr>
            <w:r>
              <w:rPr>
                <w:rFonts w:ascii="Arial" w:cs="Arial" w:eastAsia="Arial" w:hAnsi="Arial"/>
                <w:sz w:val="17"/>
                <w:szCs w:val="17"/>
                <w:color w:val="auto"/>
                <w:w w:val="84"/>
              </w:rPr>
              <w:t>2018</w:t>
            </w:r>
          </w:p>
        </w:tc>
        <w:tc>
          <w:tcPr>
            <w:tcW w:w="422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4,307</w:t>
            </w:r>
          </w:p>
        </w:tc>
        <w:tc>
          <w:tcPr>
            <w:tcW w:w="2300" w:type="dxa"/>
            <w:vAlign w:val="bottom"/>
          </w:tcPr>
          <w:p>
            <w:pPr>
              <w:spacing w:after="0"/>
              <w:rPr>
                <w:sz w:val="19"/>
                <w:szCs w:val="19"/>
                <w:color w:val="auto"/>
              </w:rPr>
            </w:pPr>
          </w:p>
        </w:tc>
      </w:tr>
      <w:tr>
        <w:trPr>
          <w:trHeight w:val="222"/>
        </w:trPr>
        <w:tc>
          <w:tcPr>
            <w:tcW w:w="4100" w:type="dxa"/>
            <w:vAlign w:val="bottom"/>
            <w:gridSpan w:val="2"/>
          </w:tcPr>
          <w:p>
            <w:pPr>
              <w:jc w:val="right"/>
              <w:ind w:right="1373"/>
              <w:spacing w:after="0"/>
              <w:rPr>
                <w:sz w:val="20"/>
                <w:szCs w:val="20"/>
                <w:color w:val="auto"/>
              </w:rPr>
            </w:pPr>
            <w:r>
              <w:rPr>
                <w:rFonts w:ascii="Arial" w:cs="Arial" w:eastAsia="Arial" w:hAnsi="Arial"/>
                <w:sz w:val="17"/>
                <w:szCs w:val="17"/>
                <w:color w:val="auto"/>
              </w:rPr>
              <w:t>2019</w:t>
            </w:r>
          </w:p>
        </w:tc>
        <w:tc>
          <w:tcPr>
            <w:tcW w:w="4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4,014</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1800" w:type="dxa"/>
            <w:vAlign w:val="bottom"/>
            <w:shd w:val="clear" w:color="auto" w:fill="CFF0FC"/>
          </w:tcPr>
          <w:p>
            <w:pPr>
              <w:jc w:val="right"/>
              <w:ind w:right="1373"/>
              <w:spacing w:after="0"/>
              <w:rPr>
                <w:sz w:val="20"/>
                <w:szCs w:val="20"/>
                <w:color w:val="auto"/>
              </w:rPr>
            </w:pPr>
            <w:r>
              <w:rPr>
                <w:rFonts w:ascii="Arial" w:cs="Arial" w:eastAsia="Arial" w:hAnsi="Arial"/>
                <w:sz w:val="17"/>
                <w:szCs w:val="17"/>
                <w:color w:val="auto"/>
                <w:w w:val="84"/>
              </w:rPr>
              <w:t>2020</w:t>
            </w:r>
          </w:p>
        </w:tc>
        <w:tc>
          <w:tcPr>
            <w:tcW w:w="4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3,423</w:t>
            </w:r>
          </w:p>
        </w:tc>
        <w:tc>
          <w:tcPr>
            <w:tcW w:w="2300" w:type="dxa"/>
            <w:vAlign w:val="bottom"/>
          </w:tcPr>
          <w:p>
            <w:pPr>
              <w:spacing w:after="0"/>
              <w:rPr>
                <w:sz w:val="19"/>
                <w:szCs w:val="19"/>
                <w:color w:val="auto"/>
              </w:rPr>
            </w:pPr>
          </w:p>
        </w:tc>
      </w:tr>
      <w:tr>
        <w:trPr>
          <w:trHeight w:val="222"/>
        </w:trPr>
        <w:tc>
          <w:tcPr>
            <w:tcW w:w="4100" w:type="dxa"/>
            <w:vAlign w:val="bottom"/>
            <w:gridSpan w:val="2"/>
          </w:tcPr>
          <w:p>
            <w:pPr>
              <w:jc w:val="right"/>
              <w:ind w:right="1373"/>
              <w:spacing w:after="0"/>
              <w:rPr>
                <w:sz w:val="20"/>
                <w:szCs w:val="20"/>
                <w:color w:val="auto"/>
              </w:rPr>
            </w:pPr>
            <w:r>
              <w:rPr>
                <w:rFonts w:ascii="Arial" w:cs="Arial" w:eastAsia="Arial" w:hAnsi="Arial"/>
                <w:sz w:val="17"/>
                <w:szCs w:val="17"/>
                <w:color w:val="auto"/>
              </w:rPr>
              <w:t>2021</w:t>
            </w:r>
          </w:p>
        </w:tc>
        <w:tc>
          <w:tcPr>
            <w:tcW w:w="4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2,562</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1800" w:type="dxa"/>
            <w:vAlign w:val="bottom"/>
            <w:shd w:val="clear" w:color="auto" w:fill="CFF0FC"/>
          </w:tcPr>
          <w:p>
            <w:pPr>
              <w:jc w:val="right"/>
              <w:ind w:right="1373"/>
              <w:spacing w:after="0"/>
              <w:rPr>
                <w:sz w:val="20"/>
                <w:szCs w:val="20"/>
                <w:color w:val="auto"/>
              </w:rPr>
            </w:pPr>
            <w:r>
              <w:rPr>
                <w:rFonts w:ascii="Arial" w:cs="Arial" w:eastAsia="Arial" w:hAnsi="Arial"/>
                <w:sz w:val="17"/>
                <w:szCs w:val="17"/>
                <w:color w:val="auto"/>
                <w:w w:val="84"/>
              </w:rPr>
              <w:t>2022</w:t>
            </w:r>
          </w:p>
        </w:tc>
        <w:tc>
          <w:tcPr>
            <w:tcW w:w="4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w:t>
            </w:r>
          </w:p>
        </w:tc>
        <w:tc>
          <w:tcPr>
            <w:tcW w:w="2300" w:type="dxa"/>
            <w:vAlign w:val="bottom"/>
          </w:tcPr>
          <w:p>
            <w:pPr>
              <w:spacing w:after="0"/>
              <w:rPr>
                <w:sz w:val="19"/>
                <w:szCs w:val="19"/>
                <w:color w:val="auto"/>
              </w:rPr>
            </w:pPr>
          </w:p>
        </w:tc>
      </w:tr>
      <w:tr>
        <w:trPr>
          <w:trHeight w:val="628"/>
        </w:trPr>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20" w:type="dxa"/>
            <w:vAlign w:val="bottom"/>
          </w:tcPr>
          <w:p>
            <w:pPr>
              <w:jc w:val="right"/>
              <w:ind w:right="2353"/>
              <w:spacing w:after="0"/>
              <w:rPr>
                <w:sz w:val="20"/>
                <w:szCs w:val="20"/>
                <w:color w:val="auto"/>
              </w:rPr>
            </w:pPr>
            <w:r>
              <w:rPr>
                <w:rFonts w:ascii="Arial" w:cs="Arial" w:eastAsia="Arial" w:hAnsi="Arial"/>
                <w:sz w:val="17"/>
                <w:szCs w:val="17"/>
                <w:color w:val="auto"/>
              </w:rPr>
              <w:t>F-22</w:t>
            </w: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1"/>
        </w:trPr>
        <w:tc>
          <w:tcPr>
            <w:tcW w:w="23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3" w:name="page114"/>
    <w:bookmarkEnd w:id="113"/>
    <w:p>
      <w:pPr>
        <w:ind w:left="600" w:right="3780" w:hanging="595"/>
        <w:spacing w:after="0" w:line="425" w:lineRule="auto"/>
        <w:tabs>
          <w:tab w:leader="none" w:pos="591"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ACCRUED EXPENSES AND OTHER LONG-TERM LIABILITIES </w:t>
      </w:r>
      <w:r>
        <w:rPr>
          <w:rFonts w:ascii="Arial" w:cs="Arial" w:eastAsia="Arial" w:hAnsi="Arial"/>
          <w:sz w:val="17"/>
          <w:szCs w:val="17"/>
          <w:color w:val="auto"/>
        </w:rPr>
        <w:t>Accounts payable and accrued expenses consist of the following (in thousands):</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4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Trade accounts payable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53,230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49,866</w:t>
            </w:r>
          </w:p>
        </w:tc>
        <w:tc>
          <w:tcPr>
            <w:tcW w:w="80" w:type="dxa"/>
            <w:vAlign w:val="bottom"/>
            <w:shd w:val="clear" w:color="auto" w:fill="CFF0FC"/>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Accrued salaries and wages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39,411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29,766</w:t>
            </w:r>
          </w:p>
        </w:tc>
        <w:tc>
          <w:tcPr>
            <w:tcW w:w="80" w:type="dxa"/>
            <w:vAlign w:val="bottom"/>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Accrued dividends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51,156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51,496</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Accrued workers' compensation and auto liability</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6,737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6,652</w:t>
            </w:r>
          </w:p>
        </w:tc>
        <w:tc>
          <w:tcPr>
            <w:tcW w:w="80" w:type="dxa"/>
            <w:vAlign w:val="bottom"/>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Accrued litigation</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7,822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9,290</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Accrued employee medical insurance</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6,506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8,413</w:t>
            </w:r>
          </w:p>
        </w:tc>
        <w:tc>
          <w:tcPr>
            <w:tcW w:w="80" w:type="dxa"/>
            <w:vAlign w:val="bottom"/>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Accrued property taxes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28,473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27,707</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Accrued interest</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11,949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9,526</w:t>
            </w:r>
          </w:p>
        </w:tc>
        <w:tc>
          <w:tcPr>
            <w:tcW w:w="80" w:type="dxa"/>
            <w:vAlign w:val="bottom"/>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13,633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14,332</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7"/>
                <w:szCs w:val="17"/>
                <w:color w:val="auto"/>
              </w:rPr>
              <w:t>Construction payable</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3,903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7,845</w:t>
            </w:r>
          </w:p>
        </w:tc>
        <w:tc>
          <w:tcPr>
            <w:tcW w:w="80" w:type="dxa"/>
            <w:vAlign w:val="bottom"/>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Lease financing obligation</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11,612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11,785</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43,372</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33,429</w:t>
            </w:r>
          </w:p>
        </w:tc>
        <w:tc>
          <w:tcPr>
            <w:tcW w:w="80" w:type="dxa"/>
            <w:vAlign w:val="bottom"/>
            <w:tcBorders>
              <w:bottom w:val="single" w:sz="8" w:color="CFF0FC"/>
            </w:tcBorders>
          </w:tcPr>
          <w:p>
            <w:pPr>
              <w:spacing w:after="0"/>
              <w:rPr>
                <w:sz w:val="19"/>
                <w:szCs w:val="19"/>
                <w:color w:val="auto"/>
              </w:rPr>
            </w:pPr>
          </w:p>
        </w:tc>
      </w:tr>
      <w:tr>
        <w:trPr>
          <w:trHeight w:val="216"/>
        </w:trPr>
        <w:tc>
          <w:tcPr>
            <w:tcW w:w="4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277,804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260,107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right="20"/>
        <w:spacing w:after="0" w:line="267" w:lineRule="auto"/>
        <w:rPr>
          <w:sz w:val="20"/>
          <w:szCs w:val="20"/>
          <w:color w:val="auto"/>
        </w:rPr>
      </w:pPr>
      <w:r>
        <w:rPr>
          <w:rFonts w:ascii="Arial" w:cs="Arial" w:eastAsia="Arial" w:hAnsi="Arial"/>
          <w:sz w:val="17"/>
          <w:szCs w:val="17"/>
          <w:color w:val="auto"/>
        </w:rPr>
        <w:t>The total liability for workers' compensation and auto liability was $26.3 million and $21.4 million as of December 31, 2017 and 2016, respectively, with the long-term portion included in other long-term liabilities in the accompanying consolidated balance sheets. These liabilities were discounted to the net present value of the outstanding liabilities using a 3.0% rate in 2017 and 2016. These liabilities amounted to $29.4 million and $23.9 million on an undiscounted basis as of December 31, 2017 and 2016, respectively.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long-term liabilities consist of the following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r>
      <w:tr>
        <w:trPr>
          <w:trHeight w:val="150"/>
        </w:trPr>
        <w:tc>
          <w:tcPr>
            <w:tcW w:w="2300" w:type="dxa"/>
            <w:vAlign w:val="bottom"/>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line="150"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5"/>
              <w:spacing w:after="0" w:line="150" w:lineRule="exact"/>
              <w:rPr>
                <w:sz w:val="20"/>
                <w:szCs w:val="20"/>
                <w:color w:val="auto"/>
              </w:rPr>
            </w:pPr>
            <w:r>
              <w:rPr>
                <w:rFonts w:ascii="Arial" w:cs="Arial" w:eastAsia="Arial" w:hAnsi="Arial"/>
                <w:sz w:val="14"/>
                <w:szCs w:val="14"/>
                <w:b w:val="1"/>
                <w:bCs w:val="1"/>
                <w:color w:val="auto"/>
                <w:w w:val="89"/>
              </w:rPr>
              <w:t>2016</w:t>
            </w:r>
          </w:p>
        </w:tc>
        <w:tc>
          <w:tcPr>
            <w:tcW w:w="2300" w:type="dxa"/>
            <w:vAlign w:val="bottom"/>
          </w:tcPr>
          <w:p>
            <w:pPr>
              <w:spacing w:after="0"/>
              <w:rPr>
                <w:sz w:val="13"/>
                <w:szCs w:val="13"/>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Intangible lease liability</w:t>
            </w: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6,191</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6,578</w:t>
            </w:r>
          </w:p>
        </w:tc>
        <w:tc>
          <w:tcPr>
            <w:tcW w:w="2300" w:type="dxa"/>
            <w:vAlign w:val="bottom"/>
          </w:tcPr>
          <w:p>
            <w:pPr>
              <w:spacing w:after="0"/>
              <w:rPr>
                <w:sz w:val="18"/>
                <w:szCs w:val="18"/>
                <w:color w:val="auto"/>
              </w:rPr>
            </w:pPr>
          </w:p>
        </w:tc>
      </w:tr>
      <w:tr>
        <w:trPr>
          <w:trHeight w:val="223"/>
        </w:trPr>
        <w:tc>
          <w:tcPr>
            <w:tcW w:w="5040" w:type="dxa"/>
            <w:vAlign w:val="bottom"/>
            <w:gridSpan w:val="2"/>
          </w:tcPr>
          <w:p>
            <w:pPr>
              <w:ind w:left="2280"/>
              <w:spacing w:after="0"/>
              <w:rPr>
                <w:sz w:val="20"/>
                <w:szCs w:val="20"/>
                <w:color w:val="auto"/>
              </w:rPr>
            </w:pPr>
            <w:r>
              <w:rPr>
                <w:rFonts w:ascii="Arial" w:cs="Arial" w:eastAsia="Arial" w:hAnsi="Arial"/>
                <w:sz w:val="17"/>
                <w:szCs w:val="17"/>
                <w:color w:val="auto"/>
              </w:rPr>
              <w:t>Accrued workers' compensation</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19,518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14,726</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Accrued deferred compensation</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10,208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9,850</w:t>
            </w:r>
          </w:p>
        </w:tc>
        <w:tc>
          <w:tcPr>
            <w:tcW w:w="2300" w:type="dxa"/>
            <w:vAlign w:val="bottom"/>
          </w:tcPr>
          <w:p>
            <w:pPr>
              <w:spacing w:after="0"/>
              <w:rPr>
                <w:sz w:val="19"/>
                <w:szCs w:val="19"/>
                <w:color w:val="auto"/>
              </w:rPr>
            </w:pPr>
          </w:p>
        </w:tc>
      </w:tr>
      <w:tr>
        <w:trPr>
          <w:trHeight w:val="223"/>
        </w:trPr>
        <w:tc>
          <w:tcPr>
            <w:tcW w:w="5040" w:type="dxa"/>
            <w:vAlign w:val="bottom"/>
            <w:gridSpan w:val="2"/>
          </w:tcPr>
          <w:p>
            <w:pPr>
              <w:ind w:left="2280"/>
              <w:spacing w:after="0"/>
              <w:rPr>
                <w:sz w:val="20"/>
                <w:szCs w:val="20"/>
                <w:color w:val="auto"/>
              </w:rPr>
            </w:pPr>
            <w:r>
              <w:rPr>
                <w:rFonts w:ascii="Arial" w:cs="Arial" w:eastAsia="Arial" w:hAnsi="Arial"/>
                <w:sz w:val="17"/>
                <w:szCs w:val="17"/>
                <w:color w:val="auto"/>
              </w:rPr>
              <w:t>Lease financing obligation</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15,530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18,832</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1,583</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1,856</w:t>
            </w:r>
          </w:p>
        </w:tc>
        <w:tc>
          <w:tcPr>
            <w:tcW w:w="230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53,030</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51,842</w:t>
            </w:r>
          </w:p>
        </w:tc>
        <w:tc>
          <w:tcPr>
            <w:tcW w:w="23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07"/>
        </w:trPr>
        <w:tc>
          <w:tcPr>
            <w:tcW w:w="2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120" w:type="dxa"/>
            <w:vAlign w:val="bottom"/>
            <w:gridSpan w:val="2"/>
          </w:tcPr>
          <w:p>
            <w:pPr>
              <w:jc w:val="right"/>
              <w:ind w:right="1204"/>
              <w:spacing w:after="0"/>
              <w:rPr>
                <w:sz w:val="20"/>
                <w:szCs w:val="20"/>
                <w:color w:val="auto"/>
              </w:rPr>
            </w:pPr>
            <w:r>
              <w:rPr>
                <w:rFonts w:ascii="Arial" w:cs="Arial" w:eastAsia="Arial" w:hAnsi="Arial"/>
                <w:sz w:val="17"/>
                <w:szCs w:val="17"/>
                <w:color w:val="auto"/>
              </w:rPr>
              <w:t>F-23</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1"/>
        </w:trPr>
        <w:tc>
          <w:tcPr>
            <w:tcW w:w="23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10.</w:t>
            </w:r>
          </w:p>
        </w:tc>
        <w:tc>
          <w:tcPr>
            <w:tcW w:w="6840" w:type="dxa"/>
            <w:vAlign w:val="bottom"/>
            <w:gridSpan w:val="2"/>
          </w:tcPr>
          <w:p>
            <w:pPr>
              <w:ind w:left="200"/>
              <w:spacing w:after="0"/>
              <w:rPr>
                <w:sz w:val="20"/>
                <w:szCs w:val="20"/>
                <w:color w:val="auto"/>
              </w:rPr>
            </w:pPr>
            <w:r>
              <w:rPr>
                <w:rFonts w:ascii="Arial" w:cs="Arial" w:eastAsia="Arial" w:hAnsi="Arial"/>
                <w:sz w:val="17"/>
                <w:szCs w:val="17"/>
                <w:b w:val="1"/>
                <w:bCs w:val="1"/>
                <w:color w:val="auto"/>
              </w:rPr>
              <w:t>DEBT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00" w:type="dxa"/>
            <w:vAlign w:val="bottom"/>
          </w:tcPr>
          <w:p>
            <w:pPr>
              <w:spacing w:after="0"/>
              <w:rPr>
                <w:sz w:val="24"/>
                <w:szCs w:val="24"/>
                <w:color w:val="auto"/>
              </w:rPr>
            </w:pPr>
          </w:p>
        </w:tc>
        <w:tc>
          <w:tcPr>
            <w:tcW w:w="6840" w:type="dxa"/>
            <w:vAlign w:val="bottom"/>
            <w:gridSpan w:val="2"/>
          </w:tcPr>
          <w:p>
            <w:pPr>
              <w:ind w:left="200"/>
              <w:spacing w:after="0"/>
              <w:rPr>
                <w:sz w:val="20"/>
                <w:szCs w:val="20"/>
                <w:color w:val="auto"/>
              </w:rPr>
            </w:pPr>
            <w:r>
              <w:rPr>
                <w:rFonts w:ascii="Arial" w:cs="Arial" w:eastAsia="Arial" w:hAnsi="Arial"/>
                <w:sz w:val="17"/>
                <w:szCs w:val="17"/>
                <w:color w:val="auto"/>
              </w:rPr>
              <w:t>Debt outstanding consists of the following (in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5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0"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8"/>
              <w:spacing w:after="0" w:line="150" w:lineRule="exact"/>
              <w:rPr>
                <w:sz w:val="20"/>
                <w:szCs w:val="20"/>
                <w:color w:val="auto"/>
              </w:rPr>
            </w:pPr>
            <w:r>
              <w:rPr>
                <w:rFonts w:ascii="Arial" w:cs="Arial" w:eastAsia="Arial" w:hAnsi="Arial"/>
                <w:sz w:val="14"/>
                <w:szCs w:val="14"/>
                <w:color w:val="auto"/>
                <w:w w:val="96"/>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shd w:val="clear" w:color="auto" w:fill="CFF0FC"/>
          </w:tcPr>
          <w:p>
            <w:pPr>
              <w:spacing w:after="0" w:line="185" w:lineRule="exact"/>
              <w:rPr>
                <w:sz w:val="20"/>
                <w:szCs w:val="20"/>
                <w:color w:val="auto"/>
              </w:rPr>
            </w:pPr>
            <w:r>
              <w:rPr>
                <w:rFonts w:ascii="Arial" w:cs="Arial" w:eastAsia="Arial" w:hAnsi="Arial"/>
                <w:sz w:val="17"/>
                <w:szCs w:val="17"/>
                <w:color w:val="auto"/>
                <w:w w:val="94"/>
              </w:rPr>
              <w:t>$900.0 Million Revolving Credit Facility, principal due at maturity in July 2020;</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3"/>
              </w:rPr>
              <w:t>interest payable periodically at variable interest rates. The weighted average</w:t>
            </w:r>
          </w:p>
        </w:tc>
        <w:tc>
          <w:tcPr>
            <w:tcW w:w="240" w:type="dxa"/>
            <w:vAlign w:val="bottom"/>
            <w:vMerge w:val="restart"/>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199,000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rate at December 31, 2017 and 2016 was 3.1% and 2.2%, respectively.</w:t>
            </w:r>
          </w:p>
        </w:tc>
        <w:tc>
          <w:tcPr>
            <w:tcW w:w="24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tcPr>
          <w:p>
            <w:pPr>
              <w:spacing w:after="0" w:line="192" w:lineRule="exact"/>
              <w:rPr>
                <w:sz w:val="20"/>
                <w:szCs w:val="20"/>
                <w:color w:val="auto"/>
              </w:rPr>
            </w:pPr>
            <w:r>
              <w:rPr>
                <w:rFonts w:ascii="Arial" w:cs="Arial" w:eastAsia="Arial" w:hAnsi="Arial"/>
                <w:sz w:val="17"/>
                <w:szCs w:val="17"/>
                <w:color w:val="auto"/>
                <w:w w:val="91"/>
              </w:rPr>
              <w:t>Term Loan, scheduled principal payments through maturity in July 2020; interest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2"/>
              </w:rPr>
              <w:t>payable periodically at variable interest rates. The rate at December 31, 2017</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1"/>
              </w:rPr>
              <w:t>and 2016 was 3.1% and 2.3%, respectively. Unamortized debt issuance costs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5"/>
              </w:rPr>
              <w:t>amounted to $0.3 million and $0.4 million at December 31, 2017 and 2016,</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85,000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w w:val="95"/>
              </w:rPr>
              <w:t>4.625% Senior Notes, principal due at maturity in May 2023; interest payable</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3"/>
              </w:rPr>
              <w:t>semi-annually in May and November at 4.625%. Unamortized debt issuance</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6"/>
              </w:rPr>
              <w:t>costs amounted to $3.3 million and $3.9 million at December 31, 2017 and</w:t>
            </w:r>
          </w:p>
        </w:tc>
        <w:tc>
          <w:tcPr>
            <w:tcW w:w="2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350,000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2016, respectively.</w:t>
            </w:r>
          </w:p>
        </w:tc>
        <w:tc>
          <w:tcPr>
            <w:tcW w:w="24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tcPr>
          <w:p>
            <w:pPr>
              <w:spacing w:after="0" w:line="192" w:lineRule="exact"/>
              <w:rPr>
                <w:sz w:val="20"/>
                <w:szCs w:val="20"/>
                <w:color w:val="auto"/>
              </w:rPr>
            </w:pPr>
            <w:r>
              <w:rPr>
                <w:rFonts w:ascii="Arial" w:cs="Arial" w:eastAsia="Arial" w:hAnsi="Arial"/>
                <w:sz w:val="17"/>
                <w:szCs w:val="17"/>
                <w:color w:val="auto"/>
                <w:w w:val="94"/>
              </w:rPr>
              <w:t>4.125% Senior Notes, principal due at maturity in April 2020; interest payable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6"/>
              </w:rPr>
              <w:t>semi-annually in April and October at 4.125%. Unamortized debt issuance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6"/>
              </w:rPr>
              <w:t>costs amounted to $1.9 million and $2.7 million at December 31, 2017 and</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325,000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rPr>
              <w:t>2016, respectively.</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w w:val="93"/>
              </w:rPr>
              <w:t>5.0% Senior Notes, principal due at maturity in October 2022; interest payable</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2"/>
              </w:rPr>
              <w:t>semi-annually in April and October at 5.0%. Unamortized debt issuance costs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5"/>
              </w:rPr>
              <w:t>amounted to $2.3 million and $2.8 million at December 31, 2017 and 2016,</w:t>
            </w:r>
          </w:p>
        </w:tc>
        <w:tc>
          <w:tcPr>
            <w:tcW w:w="2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250,000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respectively.</w:t>
            </w:r>
          </w:p>
        </w:tc>
        <w:tc>
          <w:tcPr>
            <w:tcW w:w="24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520" w:type="dxa"/>
            <w:vAlign w:val="bottom"/>
          </w:tcPr>
          <w:p>
            <w:pPr>
              <w:spacing w:after="0" w:line="192" w:lineRule="exact"/>
              <w:rPr>
                <w:sz w:val="20"/>
                <w:szCs w:val="20"/>
                <w:color w:val="auto"/>
              </w:rPr>
            </w:pPr>
            <w:r>
              <w:rPr>
                <w:rFonts w:ascii="Arial" w:cs="Arial" w:eastAsia="Arial" w:hAnsi="Arial"/>
                <w:sz w:val="17"/>
                <w:szCs w:val="17"/>
                <w:color w:val="auto"/>
                <w:w w:val="92"/>
              </w:rPr>
              <w:t>4.75% Senior Notes, principal due at maturity in October 2027; interest payable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w w:val="90"/>
              </w:rPr>
              <w:t>semi-annually in April and October at 4.75%. Unamortized debt issuance costs</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250,000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7"/>
                <w:szCs w:val="17"/>
                <w:color w:val="auto"/>
              </w:rPr>
              <w:t>amounted to $4.0 million at December 31, 2017.</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debt</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1,459,000</w:t>
            </w: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5"/>
              </w:rPr>
              <w:t>1,455,000</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Unamortized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(11,813)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(9,831)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(10,000)</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Long-term debt,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1,437,187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1,435,169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280"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During July 2015, CoreCivic entered into an amended and restated $900.0 million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"$900.0 Million Revolving Credit Facility"). The $900.0 Million Revolving Credit Facility has an aggregate principal capacity of $900.0 million and a maturity of July 2020. The $900.0 Million Revolving Credit Facility also has an "accordion" feature that provides for uncommitted incremental extensions of credit in the form of increases in the revolving commitments or incremental term loans in an aggregate principal amount up to an additional $350.0 million as requested by CoreCivic, subject to bank approval. At CoreCivic's option, interest on outstanding borrowings under the $900.0 Million Revolving Credit Facility is based on either a base rate plus a margin ranging from 0.00% to 0.75% or at the London Interbank Offered Rate ("LIBOR") plus a margin ranging from 1.00% to 1.75% based on CoreCivic's then-current leverage ratio. The $900.0 Million Revolving Credit Facility includes a $30.0 million sublimit for swing line loans that enables CoreCivic to borrow at the base rate from the Administrative Agent without advance notice.</w:t>
      </w:r>
    </w:p>
    <w:p>
      <w:pPr>
        <w:spacing w:after="0" w:line="168" w:lineRule="exact"/>
        <w:rPr>
          <w:sz w:val="20"/>
          <w:szCs w:val="20"/>
          <w:color w:val="auto"/>
        </w:rPr>
      </w:pPr>
    </w:p>
    <w:p>
      <w:pPr>
        <w:jc w:val="both"/>
        <w:ind w:left="600"/>
        <w:spacing w:after="0" w:line="289" w:lineRule="auto"/>
        <w:rPr>
          <w:sz w:val="20"/>
          <w:szCs w:val="20"/>
          <w:color w:val="auto"/>
        </w:rPr>
      </w:pPr>
      <w:r>
        <w:rPr>
          <w:rFonts w:ascii="Arial" w:cs="Arial" w:eastAsia="Arial" w:hAnsi="Arial"/>
          <w:sz w:val="17"/>
          <w:szCs w:val="17"/>
          <w:color w:val="auto"/>
        </w:rPr>
        <w:t>Based on CoreCivic's current total leverage ratio, loans under the $900.0 Million Revolving Credit Facility bear interest at the base rate plus a margin of 0.50% or at LIBOR plus a margin of 1.50%, and a commitment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both"/>
        <w:spacing w:after="0" w:line="297" w:lineRule="auto"/>
        <w:rPr>
          <w:sz w:val="20"/>
          <w:szCs w:val="20"/>
          <w:color w:val="auto"/>
        </w:rPr>
      </w:pPr>
      <w:r>
        <w:rPr>
          <w:rFonts w:ascii="Arial" w:cs="Arial" w:eastAsia="Arial" w:hAnsi="Arial"/>
          <w:sz w:val="16"/>
          <w:szCs w:val="16"/>
          <w:color w:val="auto"/>
        </w:rPr>
        <w:t>fee equal to 0.35% of the unfunded balance. The $900.0 Million Revolving Credit Facility also has a $50.0 million sublimit for the issuance of standby letters of credit. As of December 31, 2017, CoreCivic had $199.0 million in borrowings outstanding under the $900.0 Million Revolving Credit Facility as well as $6.9 million in letters of credit outstanding resulting in $694.1 million available under the $900.0 Million Revolving Credit Facility.</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$900.0 Million Revolving Credit Facility is secured by a pledge of all of the capital stock of CoreCivic's domestic subsidiaries, 65% of the capital stock of CoreCivic's foreign subsidiaries, all of CoreCivic's accounts receivable, and all of CoreCivic's deposit accounts. The $900.0 Million Revolving Credit Facility requires CoreCivic to meet certain financial covenants, including, without limitation, a maximum total leverage ratio, a maximum secured leverage ratio, and a minimum fixed charge coverage ratio. As of December 31, 2017, CoreCivic was in compliance with all such covenants. In addition, the $900.0 Million Revolving Credit Facility contains certain covenants that, among other things, limit the incurrence of additional indebtedness, payment of dividends and other customary restricted payments, transactions with affiliates, asset sales, mergers and consolidations, liquidations, prepayments and modifications of other indebtedness, liens and other encumbrances and other matters customarily restricted in such agreements. In addition, the $900.0 Million Revolving Credit Facility is subject to certain cross-default provisions with terms of CoreCivic's other indebtedness, and is subject to acceleration upon the occurrence of a change of control.</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Incremental Term Loan. </w:t>
      </w:r>
      <w:r>
        <w:rPr>
          <w:rFonts w:ascii="Arial" w:cs="Arial" w:eastAsia="Arial" w:hAnsi="Arial"/>
          <w:sz w:val="17"/>
          <w:szCs w:val="17"/>
          <w:color w:val="auto"/>
        </w:rPr>
        <w:t>On October 6, 2015, CoreCivic obtained a $100.0 million Incremental Term Loan ("Term Loan") under the "accordion" feature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$900.0 Million Revolving Credit Facility. Interest rates under the Term Loan are the same as the interest rates under the $900.0 Million Revolving Credit Facility. The Term Loan also has the same collateral requirements, financial and certain other covenants, and cross-default provisions as the $900.0 Million Revolving Credit Facility. The Term Loan, which is pre-payable, also has a maturity concurrent with the $900.0 Million Revolving Credit Facility due July 2020, with scheduled quarterly principal payments through 2020. As of December 31, 2017, the outstanding balance of the Term Loan was $85.0 million.</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Interest on the $325.0 million aggregate principal amount of CoreCivic's 4.125% senior notes issued in April 2013 (the "4.125%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Notes") accrues at the stated rate and is payable in April and October of each year. The 4.125% Senior Notes are scheduled to mature on April 1, 2020. Interest on the $350.0 million aggregate principal amount of CoreCivic's 4.625% senior notes issued in April 2013 (the "4.625% Senior Notes") accrues at the stated rate and is payable in May and November of each year. The 4.625% Senior Notes are scheduled to mature on May 1, 2023. Interest on the $250.0 million aggregate principal amount of CoreCivic's 5.0% senior notes issued in September 2015 (the "5.0% Senior Notes") accrues at the stated rate and is payable in April and October of each year. The 5.0% Senior Notes are scheduled to mature on October 15, 2022.</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October 13, 2017, CoreCivic completed the offering of $250.0 million aggregate principal amount of 4.75% senior notes due October 15, 2027 (the "4.75% Senior Notes"). Interest on the 4.75% Senior Notes accrues at the stated rate and is payable in April and October of each year. CoreCivic capitalized $4.1 million for costs associated with the new issuance of the 4.75% Senior Notes. CoreCivic used net proceeds from the offering to pay down a portion of the $900.0 Million Revolving Credit Facility and to pay related fees and expenses.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4.125% Senior Notes, the 4.625% Senior Notes, the 5.0% Senior Notes, and the 4.75% Senior Notes, collectively referred to herein as the "Senior Notes", are senior unsecured obligations of the Company and are guaranteed by all of the Company's subsidiaries that guarantee the $900.0 Million Revolving Credit Facility. CoreCivic may redeem all or part of the Senior Notes at any time prior to three months before their respective maturity date at a "make-whole" redemption price, plus accrued and unpaid interest thereon to, but not including, the redemption date. Thereafter, the Senior Notes are redeemable at CoreCivic's option, in whole or in part, at a redemption price equal to 100% of the aggregate principal amount of the notes to be redeemed plus accrued and unpaid interest thereon to, but not including, the redemption date.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CoreCivic may also seek to issue additional debt or equity securities from time to time when the Company determines that market conditions and the opportunity to utilize the proceeds from the issuance of such securities are favorable.</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337" w:right="239" w:bottom="1440" w:gutter="0" w:footer="0" w:header="0"/>
        </w:sectPr>
      </w:pPr>
    </w:p>
    <w:bookmarkStart w:id="116" w:name="page117"/>
    <w:bookmarkEnd w:id="116"/>
    <w:p>
      <w:pPr>
        <w:jc w:val="both"/>
        <w:spacing w:after="0" w:line="278" w:lineRule="auto"/>
        <w:rPr>
          <w:sz w:val="20"/>
          <w:szCs w:val="20"/>
          <w:color w:val="auto"/>
        </w:rPr>
      </w:pPr>
      <w:r>
        <w:rPr>
          <w:rFonts w:ascii="Arial" w:cs="Arial" w:eastAsia="Arial" w:hAnsi="Arial"/>
          <w:sz w:val="16"/>
          <w:szCs w:val="16"/>
          <w:i w:val="1"/>
          <w:iCs w:val="1"/>
          <w:color w:val="auto"/>
        </w:rPr>
        <w:t xml:space="preserve">Guarantees and Covenants. </w:t>
      </w:r>
      <w:r>
        <w:rPr>
          <w:rFonts w:ascii="Arial" w:cs="Arial" w:eastAsia="Arial" w:hAnsi="Arial"/>
          <w:sz w:val="16"/>
          <w:szCs w:val="16"/>
          <w:color w:val="auto"/>
        </w:rPr>
        <w:t>All of the domestic subsidiaries of CoreCivic (as the parent corporation) have provided full and unconditional guarantees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Senior Notes. Each of CoreCivic's subsidiaries guaranteeing the Senior Notes are 100% owned subsidiaries of CoreCivic; the subsidiary guarantees are full and unconditional and are joint and several obligations of the guarantors; and all non-guarantor subsidiaries are minor (as defined in Rule 3-10(h)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 of Regulation S-X).</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of December 31, 2017, neither CoreCivic nor any of its subsidiary guarantors had any material or significant restrictions on CoreCivic's ability to obtain funds from its subsidiaries by dividend or loan or to transfer assets from such subsidiaries.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indentures governing the Senior Notes contain certain customary covenants that, subject to certain exceptions and qualifications, restrict CoreCivic's ability to, among other things, make restricted payments; incur additional debt or issue certain types of preferred stock; create or permit to exist certain liens; consolidate, merge or transfer all or substantially all of CoreCivic's assets; and enter into transactions with affiliates. In addition, if CoreCivic sells certain assets (and generally does not use the proceeds of such sales for certain specified purposes) or experiences specific kinds of changes in control, CoreCivic must offer to repurchase all or a portion of the Senior Notes. The offer price for the Senior Notes in connection with an asset sale would be equal to 100% of the aggregate principal amount of the notes repurchased plus accrued and unpaid interest and liquidated damages, if any, on the notes repurchased to the date of purchase. The offer price for the Senior Notes in connection with a change in control would be 101% of the aggregate principal amount of the notes repurchased plus accrued and unpaid interest and liquidated damages, if any, on the notes repurchased to the date of purchase. The Senior Notes are also subject to certain cross-default provisions with the terms of CoreCivic's $900.0 Million Revolving Credit Facility, as more fully described hereafter.</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Debt Transactions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At December 31, 2017 and 2016, CoreCivic had $6.9 million and $9.1 million, respectively, in outstanding letters of credit. The letters</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were issued to secure CoreCivic's workers' compensation and general liability insurance policies, performance bonds, and utility deposits. The letters of credit outstanding at December 31, 2017 and 2016 were provided by a sub-facility under the $900.0 Million Revolving Credit Facility.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as of December 31, 2017 for the next five years and thereafter were as follows (in thousands):</w:t>
      </w:r>
    </w:p>
    <w:p>
      <w:pPr>
        <w:spacing w:after="0" w:line="236" w:lineRule="exact"/>
        <w:rPr>
          <w:sz w:val="20"/>
          <w:szCs w:val="20"/>
          <w:color w:val="auto"/>
        </w:rPr>
      </w:pPr>
    </w:p>
    <w:tbl>
      <w:tblPr>
        <w:tblLayout w:type="fixed"/>
        <w:tblInd w:w="16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jc w:val="right"/>
              <w:ind w:right="2733"/>
              <w:spacing w:after="0"/>
              <w:rPr>
                <w:sz w:val="20"/>
                <w:szCs w:val="20"/>
                <w:color w:val="auto"/>
              </w:rPr>
            </w:pPr>
            <w:r>
              <w:rPr>
                <w:rFonts w:ascii="Arial" w:cs="Arial" w:eastAsia="Arial" w:hAnsi="Arial"/>
                <w:sz w:val="17"/>
                <w:szCs w:val="17"/>
                <w:color w:val="auto"/>
                <w:w w:val="84"/>
              </w:rPr>
              <w:t>2018</w:t>
            </w:r>
          </w:p>
        </w:tc>
        <w:tc>
          <w:tcPr>
            <w:tcW w:w="27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22"/>
        </w:trPr>
        <w:tc>
          <w:tcPr>
            <w:tcW w:w="3180" w:type="dxa"/>
            <w:vAlign w:val="bottom"/>
            <w:gridSpan w:val="2"/>
          </w:tcPr>
          <w:p>
            <w:pPr>
              <w:jc w:val="right"/>
              <w:ind w:right="2733"/>
              <w:spacing w:after="0"/>
              <w:rPr>
                <w:sz w:val="20"/>
                <w:szCs w:val="20"/>
                <w:color w:val="auto"/>
              </w:rPr>
            </w:pPr>
            <w:r>
              <w:rPr>
                <w:rFonts w:ascii="Arial" w:cs="Arial" w:eastAsia="Arial" w:hAnsi="Arial"/>
                <w:sz w:val="17"/>
                <w:szCs w:val="17"/>
                <w:color w:val="auto"/>
                <w:w w:val="89"/>
              </w:rPr>
              <w:t>2019</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jc w:val="right"/>
              <w:ind w:right="2733"/>
              <w:spacing w:after="0"/>
              <w:rPr>
                <w:sz w:val="20"/>
                <w:szCs w:val="20"/>
                <w:color w:val="auto"/>
              </w:rPr>
            </w:pPr>
            <w:r>
              <w:rPr>
                <w:rFonts w:ascii="Arial" w:cs="Arial" w:eastAsia="Arial" w:hAnsi="Arial"/>
                <w:sz w:val="17"/>
                <w:szCs w:val="17"/>
                <w:color w:val="auto"/>
                <w:w w:val="84"/>
              </w:rPr>
              <w:t>2020</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584,000</w:t>
            </w:r>
          </w:p>
        </w:tc>
        <w:tc>
          <w:tcPr>
            <w:tcW w:w="0" w:type="dxa"/>
            <w:vAlign w:val="bottom"/>
          </w:tcPr>
          <w:p>
            <w:pPr>
              <w:spacing w:after="0"/>
              <w:rPr>
                <w:sz w:val="1"/>
                <w:szCs w:val="1"/>
                <w:color w:val="auto"/>
              </w:rPr>
            </w:pPr>
          </w:p>
        </w:tc>
      </w:tr>
      <w:tr>
        <w:trPr>
          <w:trHeight w:val="222"/>
        </w:trPr>
        <w:tc>
          <w:tcPr>
            <w:tcW w:w="3180" w:type="dxa"/>
            <w:vAlign w:val="bottom"/>
            <w:gridSpan w:val="2"/>
          </w:tcPr>
          <w:p>
            <w:pPr>
              <w:jc w:val="right"/>
              <w:ind w:right="2733"/>
              <w:spacing w:after="0"/>
              <w:rPr>
                <w:sz w:val="20"/>
                <w:szCs w:val="20"/>
                <w:color w:val="auto"/>
              </w:rPr>
            </w:pPr>
            <w:r>
              <w:rPr>
                <w:rFonts w:ascii="Arial" w:cs="Arial" w:eastAsia="Arial" w:hAnsi="Arial"/>
                <w:sz w:val="17"/>
                <w:szCs w:val="17"/>
                <w:color w:val="auto"/>
                <w:w w:val="89"/>
              </w:rPr>
              <w:t>2021</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jc w:val="right"/>
              <w:ind w:right="2733"/>
              <w:spacing w:after="0"/>
              <w:rPr>
                <w:sz w:val="20"/>
                <w:szCs w:val="20"/>
                <w:color w:val="auto"/>
              </w:rPr>
            </w:pPr>
            <w:r>
              <w:rPr>
                <w:rFonts w:ascii="Arial" w:cs="Arial" w:eastAsia="Arial" w:hAnsi="Arial"/>
                <w:sz w:val="17"/>
                <w:szCs w:val="17"/>
                <w:color w:val="auto"/>
                <w:w w:val="84"/>
              </w:rPr>
              <w:t>2022</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222"/>
        </w:trPr>
        <w:tc>
          <w:tcPr>
            <w:tcW w:w="3180" w:type="dxa"/>
            <w:vAlign w:val="bottom"/>
            <w:gridSpan w:val="2"/>
          </w:tcPr>
          <w:p>
            <w:pPr>
              <w:jc w:val="right"/>
              <w:ind w:right="2353"/>
              <w:spacing w:after="0"/>
              <w:rPr>
                <w:sz w:val="20"/>
                <w:szCs w:val="20"/>
                <w:color w:val="auto"/>
              </w:rPr>
            </w:pPr>
            <w:r>
              <w:rPr>
                <w:rFonts w:ascii="Arial" w:cs="Arial" w:eastAsia="Arial" w:hAnsi="Arial"/>
                <w:sz w:val="17"/>
                <w:szCs w:val="17"/>
                <w:color w:val="auto"/>
                <w:w w:val="91"/>
              </w:rPr>
              <w:t>Thereafter</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shd w:val="clear" w:color="auto" w:fill="CFF0FC"/>
          </w:tcPr>
          <w:p>
            <w:pPr>
              <w:jc w:val="right"/>
              <w:ind w:right="2373"/>
              <w:spacing w:after="0"/>
              <w:rPr>
                <w:sz w:val="20"/>
                <w:szCs w:val="20"/>
                <w:color w:val="auto"/>
              </w:rPr>
            </w:pPr>
            <w:r>
              <w:rPr>
                <w:rFonts w:ascii="Arial" w:cs="Arial" w:eastAsia="Arial" w:hAnsi="Arial"/>
                <w:sz w:val="17"/>
                <w:szCs w:val="17"/>
                <w:color w:val="auto"/>
                <w:w w:val="89"/>
              </w:rPr>
              <w:t>Total debt</w:t>
            </w:r>
          </w:p>
        </w:tc>
        <w:tc>
          <w:tcPr>
            <w:tcW w:w="2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vMerge w:val="continue"/>
            <w:shd w:val="clear" w:color="auto" w:fill="CFF0FC"/>
          </w:tcPr>
          <w:p>
            <w:pPr>
              <w:spacing w:after="0"/>
              <w:rPr>
                <w:sz w:val="18"/>
                <w:szCs w:val="18"/>
                <w:color w:val="auto"/>
              </w:rPr>
            </w:pPr>
          </w:p>
        </w:tc>
        <w:tc>
          <w:tcPr>
            <w:tcW w:w="27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1,459,000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Cross-Default Provisions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provisions of CoreCivic's debt agreements relating to the $900.0 Million Revolving Credit Facility and the Senior Notes contain certain cross-default provisions. Any events of default under the $900.0 Million Revolving Credit Facility that results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$900.0 Million Revolving Credit Facility.</w:t>
      </w:r>
    </w:p>
    <w:p>
      <w:pPr>
        <w:spacing w:after="0" w:line="17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337" w:right="239" w:bottom="1440" w:gutter="0" w:footer="0" w:header="0"/>
        </w:sectPr>
      </w:pPr>
    </w:p>
    <w:bookmarkStart w:id="117" w:name="page118"/>
    <w:bookmarkEnd w:id="117"/>
    <w:p>
      <w:pPr>
        <w:jc w:val="both"/>
        <w:ind w:left="600"/>
        <w:spacing w:after="0" w:line="265" w:lineRule="auto"/>
        <w:rPr>
          <w:sz w:val="20"/>
          <w:szCs w:val="20"/>
          <w:color w:val="auto"/>
        </w:rPr>
      </w:pPr>
      <w:r>
        <w:rPr>
          <w:rFonts w:ascii="Arial" w:cs="Arial" w:eastAsia="Arial" w:hAnsi="Arial"/>
          <w:sz w:val="17"/>
          <w:szCs w:val="17"/>
          <w:color w:val="auto"/>
        </w:rPr>
        <w:t>If CoreCivic were to be in default under the $900.0 Million Revolving Credit Facility, and if the lenders under the $900.0 Million Revolving Credit Facility elected to exercise their rights to accelerate CoreCivic's obligations under the $900.0 Million Revolving Credit Facility, such events could result in the acceleration of all or a portion of CoreCivic's Senior Notes, which would have a material adverse effect on CoreCivic's liquidity and financial position. CoreCivic does not have sufficient working capital to satisfy its debt obligations in the event of an acceleration of all or a substantial portion of CoreCivic's outstanding indebtedness.</w:t>
      </w:r>
    </w:p>
    <w:p>
      <w:pPr>
        <w:spacing w:after="0" w:line="277" w:lineRule="exact"/>
        <w:rPr>
          <w:sz w:val="20"/>
          <w:szCs w:val="20"/>
          <w:color w:val="auto"/>
        </w:rPr>
      </w:pPr>
    </w:p>
    <w:p>
      <w:pPr>
        <w:ind w:left="600" w:hanging="595"/>
        <w:spacing w:after="0"/>
        <w:tabs>
          <w:tab w:leader="none" w:pos="6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4" w:lineRule="exact"/>
        <w:rPr>
          <w:rFonts w:ascii="Arial" w:cs="Arial" w:eastAsia="Arial" w:hAnsi="Arial"/>
          <w:sz w:val="17"/>
          <w:szCs w:val="17"/>
          <w:b w:val="1"/>
          <w:bCs w:val="1"/>
          <w:color w:val="auto"/>
        </w:rPr>
      </w:pP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September 2014, CoreCivic announced that it had agreed under an expansion of an existing IGSA between the city of Eloy, Arizona and ICE to house up to 2,400 individuals at the South Texas Family Residential Center, a facility leased by CoreCivic in Dilley, Texas. Services provided under the original amended IGSA commenced in the fourth quarter of 2014 and had an original term of up to four years. The agreement provided for a fixed monthly payment in accordance with a graduated schedule. In October 2016, CoreCivic entered into an amended IGSA that provided for a new, lower fixed monthly payment commencing in November 2016, and extended the term of the contract through September 2021. The agreement can be further extended by bi-lateral modification. However, ICE can also terminate the agreement for convenience or non-appropriation of funds, without penalty, by providing CoreCivic with at least a 60-day notice. ICE began housing the first residents at the facility in December 2014, and the site was completed during the second quarter of 2015.</w:t>
      </w:r>
    </w:p>
    <w:p>
      <w:pPr>
        <w:spacing w:after="0" w:line="185" w:lineRule="exact"/>
        <w:rPr>
          <w:rFonts w:ascii="Arial" w:cs="Arial" w:eastAsia="Arial" w:hAnsi="Arial"/>
          <w:sz w:val="17"/>
          <w:szCs w:val="17"/>
          <w:b w:val="1"/>
          <w:bCs w:val="1"/>
          <w:color w:val="auto"/>
        </w:rPr>
      </w:pPr>
    </w:p>
    <w:p>
      <w:pPr>
        <w:jc w:val="both"/>
        <w:ind w:left="600"/>
        <w:spacing w:after="0" w:line="276" w:lineRule="auto"/>
        <w:rPr>
          <w:rFonts w:ascii="Arial" w:cs="Arial" w:eastAsia="Arial" w:hAnsi="Arial"/>
          <w:sz w:val="17"/>
          <w:szCs w:val="17"/>
          <w:b w:val="1"/>
          <w:bCs w:val="1"/>
          <w:color w:val="auto"/>
        </w:rPr>
      </w:pPr>
      <w:r>
        <w:rPr>
          <w:rFonts w:ascii="Arial" w:cs="Arial" w:eastAsia="Arial" w:hAnsi="Arial"/>
          <w:sz w:val="16"/>
          <w:szCs w:val="16"/>
          <w:color w:val="auto"/>
        </w:rPr>
        <w:t>Under the fixed monthly payment schedule of the original amended IGSA, ICE agreed to pay CoreCivic $70.0 million in two $35.0 million installments during the fourth quarter of 2014 and graduated fixed monthly payments over the remaining months of the contract. As described in Note 2, CoreCivic used the multiple-element arrangement guidance prescribed in ASC 605, "Revenue Recognition" in determining the total revenue to be recognized over the term of the amended IGSA. CoreCivic determined that there were five distinct elements related to the amended IGSA with ICE. The lease revenue element, representing the operating lease of the site and constructed assets, was valued based on the estimated selling price of the land and building improvements provided to ICE and is recognized proportionately based on the number of beds available. The correctional services revenue element, representing the correctional management services provided to ICE, was valued based on the estimated selling price of similar services CoreCivic provides and is recognized based on labor efforts expended over the contract. The food services revenue element was valued based on the third-party evidence ("TPE") of the contracted outsourced service and is recognized proportionately based on the number of beds available. CoreCivic established TPE of selling price by evaluating similar products or services in standalone sales to similarly situated customers. The educational services revenue element, representing the grade-level appropriate juvenile educational program prescribed under the IGSA, was based on the TPE of the contracted outsourced service and is recognized on a straight-line basis over the period educational services are required to be performed. The construction management services revenue element, representing CoreCivic's site development and construction management services, was valued based on the estimated selling price of similar services CoreCivic provides and was recognized on a straight-line basis during the first seven months of the IGSA representing the period over which the construction activity was ongoing. During the years ended December 31, 2017, 2016, and 2015, CoreCivic recognized $170.1 million, $266.8 million, and $244.2 million, respectively, in revenue associated with the amended IGSA with the unrecognized balance of the fixed monthly payments reported in deferred revenue. The current portion of deferred revenue is reflected within accounts payable and accrued expenses while the long-term portion is reflected in deferred revenue in the accompanying consolidated balance sheets. As of December 31, 2017 and 2016, total deferred revenue associated with this agreement amounted to $53.4 million and $67.0 million, respectively.</w:t>
      </w:r>
    </w:p>
    <w:p>
      <w:pPr>
        <w:spacing w:after="0" w:line="268" w:lineRule="exact"/>
        <w:rPr>
          <w:rFonts w:ascii="Arial" w:cs="Arial" w:eastAsia="Arial" w:hAnsi="Arial"/>
          <w:sz w:val="17"/>
          <w:szCs w:val="17"/>
          <w:b w:val="1"/>
          <w:bCs w:val="1"/>
          <w:color w:val="auto"/>
        </w:rPr>
      </w:pPr>
    </w:p>
    <w:p>
      <w:pPr>
        <w:ind w:left="600" w:hanging="595"/>
        <w:spacing w:after="0"/>
        <w:tabs>
          <w:tab w:leader="none" w:pos="6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4"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As discussed in Note 1, the Company began operating in compliance with REIT requirements for federal income tax purposes effective January 1, 2013. As a REIT, the Company must distribute at least 90 percent of its taxable income (including dividends paid to it by its TRSs) and will not pay federal income taxes on the amount distributed to its stockholders. In addition, the Company must meet a number of other organizational and operational requirements. It is management's intention to adhere to these requirements and maintain the Company's REIT status. Most states where CoreCivic holds investments in real estate conform to the federal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jc w:val="both"/>
        <w:ind w:left="600" w:right="20"/>
        <w:spacing w:after="0" w:line="267" w:lineRule="auto"/>
        <w:rPr>
          <w:sz w:val="20"/>
          <w:szCs w:val="20"/>
          <w:color w:val="auto"/>
        </w:rPr>
      </w:pPr>
      <w:r>
        <w:rPr>
          <w:rFonts w:ascii="Arial" w:cs="Arial" w:eastAsia="Arial" w:hAnsi="Arial"/>
          <w:sz w:val="17"/>
          <w:szCs w:val="17"/>
          <w:color w:val="auto"/>
        </w:rPr>
        <w:t>rules recognizing REITs. Certain subsidiaries have made an election with the Company to be treated as TRSs in conjunction with the Company's REIT election; the TRS elections permit CoreCivic to engage in certain business activities in which the REIT may not engage directly. A TRS is subject to federal and state income taxes on the income from these activities and therefore, CoreCivic includes a provision for taxes in its consolidated financial statements.</w:t>
      </w:r>
    </w:p>
    <w:p>
      <w:pPr>
        <w:spacing w:after="0" w:line="178" w:lineRule="exact"/>
        <w:rPr>
          <w:sz w:val="20"/>
          <w:szCs w:val="20"/>
          <w:color w:val="auto"/>
        </w:rPr>
      </w:pPr>
    </w:p>
    <w:p>
      <w:pPr>
        <w:jc w:val="both"/>
        <w:ind w:left="600" w:right="20"/>
        <w:spacing w:after="0" w:line="278" w:lineRule="auto"/>
        <w:rPr>
          <w:sz w:val="20"/>
          <w:szCs w:val="20"/>
          <w:color w:val="auto"/>
        </w:rPr>
      </w:pPr>
      <w:r>
        <w:rPr>
          <w:rFonts w:ascii="Arial" w:cs="Arial" w:eastAsia="Arial" w:hAnsi="Arial"/>
          <w:sz w:val="16"/>
          <w:szCs w:val="16"/>
          <w:color w:val="auto"/>
        </w:rPr>
        <w:t>The TCJA was enacted on December 22, 2017. The TCJA reduces the U.S. federal corporate tax rate from 35% to 21%, requires companies to pay a one-time transition tax on earnings of certain foreign subsidiaries that were previously tax deferred, and creates new taxes on certain foreign-sourced earnings. However, the TCJA does not change the dividends paid deduction applicable to REITs and, therefore, CoreCivic generally will not be subject to federal income taxes on the Company's REIT taxable income and gains that it distributes to its stockholders. At December 31, 2017, the Company has recorded, in accordance with ASC 740, the tax effects of enactment of the TCJA on existing deferred tax balances and the Company estimates there is no one-time transition tax on foreign earnings. The Company re-measured certain deferred tax assets and liabilities based on the rates at which they are expected to reverse in the future, which is generally 21%. The Company recognized a charge of $4.5 million, which is included as a component of income tax expense, for the revaluation of deferred tax assets and liabilities and other taxes associated with the TCJA. However, the Company is still analyzing certain aspects of the TCJA, including research on historical earnings of certain foreign subsidiaries among others, and refining its calculations which could potentially affect the measurement of these balances or potentially give rise to new deferred tax amounts.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Income tax expense is comprised of the following components (in thousands):</w:t>
      </w:r>
    </w:p>
    <w:p>
      <w:pPr>
        <w:spacing w:after="0" w:line="318"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08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0"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5"/>
              <w:spacing w:after="0" w:line="150"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 income tax expense</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7"/>
                <w:szCs w:val="17"/>
                <w:color w:val="auto"/>
              </w:rPr>
              <w:t>Federal</w:t>
            </w:r>
          </w:p>
        </w:tc>
        <w:tc>
          <w:tcPr>
            <w:tcW w:w="1520" w:type="dxa"/>
            <w:vAlign w:val="bottom"/>
            <w:gridSpan w:val="2"/>
          </w:tcPr>
          <w:p>
            <w:pPr>
              <w:jc w:val="right"/>
              <w:ind w:right="8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10,202</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10,181</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1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12,990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income tax expense (benefit)</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7"/>
                <w:szCs w:val="17"/>
                <w:color w:val="auto"/>
              </w:rPr>
              <w:t>Federal</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1,088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(167)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(511)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921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Income tax expense</w:t>
            </w:r>
          </w:p>
        </w:tc>
        <w:tc>
          <w:tcPr>
            <w:tcW w:w="1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13,911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8,253</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Significant components of CoreCivic's deferred tax assets and liabilities as of December 31, 2017 and 2016, are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1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line="150"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Noncurrent deferred tax assets:</w:t>
            </w:r>
          </w:p>
        </w:tc>
        <w:tc>
          <w:tcPr>
            <w:tcW w:w="19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7"/>
                <w:szCs w:val="17"/>
                <w:color w:val="auto"/>
                <w:w w:val="99"/>
              </w:rPr>
              <w:t>Asset reserves and liabilities not yet deductible for tax</w:t>
            </w:r>
          </w:p>
        </w:tc>
        <w:tc>
          <w:tcPr>
            <w:tcW w:w="2740" w:type="dxa"/>
            <w:vAlign w:val="bottom"/>
            <w:gridSpan w:val="2"/>
          </w:tcPr>
          <w:p>
            <w:pPr>
              <w:jc w:val="right"/>
              <w:ind w:right="667"/>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88"/>
              </w:rPr>
              <w:t>19,045</w:t>
            </w:r>
          </w:p>
        </w:tc>
        <w:tc>
          <w:tcPr>
            <w:tcW w:w="180" w:type="dxa"/>
            <w:vAlign w:val="bottom"/>
          </w:tcPr>
          <w:p>
            <w:pPr>
              <w:spacing w:after="0"/>
              <w:rPr>
                <w:sz w:val="19"/>
                <w:szCs w:val="19"/>
                <w:color w:val="auto"/>
              </w:rPr>
            </w:pPr>
          </w:p>
        </w:tc>
        <w:tc>
          <w:tcPr>
            <w:tcW w:w="5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29,198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Tax over book basis of certain assets</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7"/>
                <w:szCs w:val="17"/>
                <w:color w:val="auto"/>
              </w:rPr>
              <w:t>Net operating loss and tax credit carryforwards</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5,040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5,487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Intangible contract value</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Other</w:t>
            </w:r>
          </w:p>
        </w:tc>
        <w:tc>
          <w:tcPr>
            <w:tcW w:w="19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noncurrent deferred tax assets</w:t>
            </w:r>
          </w:p>
        </w:tc>
        <w:tc>
          <w:tcPr>
            <w:tcW w:w="19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8"/>
              </w:rPr>
              <w:t>24,297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38,467</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Less valuation allowance</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(3,308)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(3,436)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noncurrent deferred tax assets</w:t>
            </w:r>
          </w:p>
        </w:tc>
        <w:tc>
          <w:tcPr>
            <w:tcW w:w="19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8"/>
              </w:rPr>
              <w:t>20,989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35,031</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1160"/>
              <w:spacing w:after="0"/>
              <w:rPr>
                <w:sz w:val="20"/>
                <w:szCs w:val="20"/>
                <w:color w:val="auto"/>
              </w:rPr>
            </w:pPr>
            <w:r>
              <w:rPr>
                <w:rFonts w:ascii="Arial" w:cs="Arial" w:eastAsia="Arial" w:hAnsi="Arial"/>
                <w:sz w:val="17"/>
                <w:szCs w:val="17"/>
                <w:b w:val="1"/>
                <w:bCs w:val="1"/>
                <w:color w:val="auto"/>
              </w:rPr>
              <w:t>Noncurrent deferred tax liabilities:</w:t>
            </w: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Book over tax basis of certain assets</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(5,959)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(9,386)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7"/>
                <w:szCs w:val="17"/>
                <w:color w:val="auto"/>
              </w:rPr>
              <w:t>Intangible lease value</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(8,368)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(2,216)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(3,542)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vMerge w:val="restart"/>
          </w:tcPr>
          <w:p>
            <w:pPr>
              <w:ind w:left="220"/>
              <w:spacing w:after="0"/>
              <w:rPr>
                <w:sz w:val="20"/>
                <w:szCs w:val="20"/>
                <w:color w:val="auto"/>
              </w:rPr>
            </w:pPr>
            <w:r>
              <w:rPr>
                <w:rFonts w:ascii="Arial" w:cs="Arial" w:eastAsia="Arial" w:hAnsi="Arial"/>
                <w:sz w:val="17"/>
                <w:szCs w:val="17"/>
                <w:color w:val="auto"/>
              </w:rPr>
              <w:t>Total noncurrent deferred tax liabilities</w:t>
            </w:r>
          </w:p>
        </w:tc>
        <w:tc>
          <w:tcPr>
            <w:tcW w:w="1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89"/>
              </w:rPr>
              <w:t>(8,175)</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(21,296)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Borders>
              <w:top w:val="single" w:sz="8" w:color="CFF0FC"/>
              <w:bottom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Net total noncurrent deferred tax assets</w:t>
            </w:r>
          </w:p>
        </w:tc>
        <w:tc>
          <w:tcPr>
            <w:tcW w:w="19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8"/>
              </w:rPr>
              <w:t>12,814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13,735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gridSpan w:val="2"/>
          </w:tcPr>
          <w:p>
            <w:pPr>
              <w:jc w:val="right"/>
              <w:ind w:right="2107"/>
              <w:spacing w:after="0"/>
              <w:rPr>
                <w:sz w:val="20"/>
                <w:szCs w:val="20"/>
                <w:color w:val="auto"/>
              </w:rPr>
            </w:pPr>
            <w:r>
              <w:rPr>
                <w:rFonts w:ascii="Arial" w:cs="Arial" w:eastAsia="Arial" w:hAnsi="Arial"/>
                <w:sz w:val="17"/>
                <w:szCs w:val="17"/>
                <w:color w:val="auto"/>
              </w:rPr>
              <w:t>F-28</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32" w:right="219" w:bottom="1440" w:gutter="0" w:footer="0" w:header="0"/>
        </w:sectPr>
      </w:pPr>
    </w:p>
    <w:bookmarkStart w:id="119" w:name="page120"/>
    <w:bookmarkEnd w:id="119"/>
    <w:p>
      <w:pPr>
        <w:jc w:val="both"/>
        <w:spacing w:after="0" w:line="267" w:lineRule="auto"/>
        <w:rPr>
          <w:sz w:val="20"/>
          <w:szCs w:val="20"/>
          <w:color w:val="auto"/>
        </w:rPr>
      </w:pPr>
      <w:r>
        <w:rPr>
          <w:rFonts w:ascii="Arial" w:cs="Arial" w:eastAsia="Arial" w:hAnsi="Arial"/>
          <w:sz w:val="17"/>
          <w:szCs w:val="17"/>
          <w:color w:val="auto"/>
        </w:rPr>
        <w:t>The tax benefits associated with equity-based compensation reduced income taxes payable by $1.0 million with a corresponding income tax benefit recognized in the accompanying statement of operations for the year ended December 31, 2017, consistent with the newly-adopted ASU 2016-09. The tax benefits associated with equity-based compensation reduced income taxes payable by $1.5 million and $0.5 million during 2016 and 2015, respectively, with benefits recorded as increases to stockholders' equity.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 reconciliation of the income tax provision at the statutory income tax rate and the effective tax rate as a percentage of income from continuing operations before income taxes for the years ended December 31, 2017, 2016, and 2015 is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Statutory federal rate</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35.0%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35.0%</w:t>
            </w: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Dividends paid deduction</w:t>
            </w:r>
          </w:p>
        </w:tc>
        <w:tc>
          <w:tcPr>
            <w:tcW w:w="13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(31.3)</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(32.5)</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(31.9)</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State taxes, net of federal tax benefit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Permanent differences</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Charges associated with adoption of tax reform</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Tax benefit of equity-based compensation</w:t>
            </w:r>
          </w:p>
        </w:tc>
        <w:tc>
          <w:tcPr>
            <w:tcW w:w="13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(0.5)</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Other items, net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b w:val="1"/>
                <w:bCs w:val="1"/>
                <w:color w:val="auto"/>
              </w:rPr>
              <w:t>(0.2)</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(0.3)</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(0.8)</w:t>
            </w:r>
          </w:p>
        </w:tc>
      </w:tr>
      <w:tr>
        <w:trPr>
          <w:trHeight w:val="20"/>
        </w:trPr>
        <w:tc>
          <w:tcPr>
            <w:tcW w:w="5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7.2%</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CoreCivic's effective tax rate was 7.2%, 3.6%, and 3.6% during 2017, 2016, and 2015, respectively. As a REIT, CoreCivic is entitled to a deduction for dividends paid, resulting in a substantial reduction in the amount of federal income tax expense it recognizes. Substantially all of CoreCivic's income tax expense is incurred based on the earnings generated by its TRSs. CoreCivic's overall effective tax rate is estimated based on its current projection of taxable income primarily generated by its TRSs. The Company's consolidated effective tax rate could fluctuate in the future based on changes in estimates of taxable income, the relative amounts of taxable income generated by the TRSs and the REIT, the implementation of additional tax planning strategies, changes in federal or state tax rates or laws affecting tax credits available to the Company, changes in other tax laws, changes in estimates related to uncertain tax positions, or changes in state apportionment factors, as well as changes in the valuation allowance applied to the Company's deferred tax assets that are based primarily on the amount of state net operating losses and tax credits that could expire unused.</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CoreCivic had no liabilities for uncertain tax positions as of December 31, 2017 and 2016.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CoreCivic's U.S. federal income tax returns for tax years 2014 through 2016 remain subject to examination by the IRS. All states in which CoreCivic files income tax returns follow the same statute of limitations as federal, with the exception of the following states whose open tax years include 2013 through 2016: Arizona, California, Colorado, Kentucky, Minnesota, New Jersey, Texas, and Wisconsin.</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402" w:right="239" w:bottom="1440" w:gutter="0" w:footer="0" w:header="0"/>
        </w:sectPr>
      </w:pPr>
    </w:p>
    <w:bookmarkStart w:id="120" w:name="page121"/>
    <w:bookmarkEnd w:id="120"/>
    <w:p>
      <w:pPr>
        <w:ind w:left="600" w:right="8580" w:hanging="595"/>
        <w:spacing w:after="0" w:line="413" w:lineRule="auto"/>
        <w:tabs>
          <w:tab w:leader="none" w:pos="591"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Dividends on Common Stock</w:t>
      </w:r>
    </w:p>
    <w:p>
      <w:pPr>
        <w:spacing w:after="0" w:line="1" w:lineRule="exact"/>
        <w:rPr>
          <w:rFonts w:ascii="Arial" w:cs="Arial" w:eastAsia="Arial" w:hAnsi="Arial"/>
          <w:sz w:val="16"/>
          <w:szCs w:val="16"/>
          <w:b w:val="1"/>
          <w:bCs w:val="1"/>
          <w:color w:val="auto"/>
        </w:rPr>
      </w:pPr>
    </w:p>
    <w:p>
      <w:pPr>
        <w:ind w:left="600"/>
        <w:spacing w:after="0" w:line="289" w:lineRule="auto"/>
        <w:rPr>
          <w:rFonts w:ascii="Arial" w:cs="Arial" w:eastAsia="Arial" w:hAnsi="Arial"/>
          <w:sz w:val="16"/>
          <w:szCs w:val="16"/>
          <w:b w:val="1"/>
          <w:bCs w:val="1"/>
          <w:color w:val="auto"/>
        </w:rPr>
      </w:pPr>
      <w:r>
        <w:rPr>
          <w:rFonts w:ascii="Arial" w:cs="Arial" w:eastAsia="Arial" w:hAnsi="Arial"/>
          <w:sz w:val="17"/>
          <w:szCs w:val="17"/>
          <w:color w:val="auto"/>
        </w:rPr>
        <w:t>The tax characterization of dividends per share on common shares as reported to stockholders was as follows for the years ended December 31, 2017, 2016, and 2015: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auto"/>
              </w:rPr>
              <w:t>Ordinary</w:t>
            </w:r>
          </w:p>
        </w:tc>
        <w:tc>
          <w:tcPr>
            <w:tcW w:w="46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Return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67"/>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140" w:type="dxa"/>
            <w:vAlign w:val="bottom"/>
            <w:tcBorders>
              <w:bottom w:val="single" w:sz="8" w:color="CFF0FC"/>
            </w:tcBorders>
          </w:tcPr>
          <w:p>
            <w:pPr>
              <w:spacing w:after="0"/>
              <w:rPr>
                <w:sz w:val="14"/>
                <w:szCs w:val="1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Record Date</w:t>
            </w:r>
          </w:p>
        </w:tc>
        <w:tc>
          <w:tcPr>
            <w:tcW w:w="140" w:type="dxa"/>
            <w:vAlign w:val="bottom"/>
            <w:tcBorders>
              <w:bottom w:val="single" w:sz="8" w:color="CFF0FC"/>
            </w:tcBorders>
          </w:tcPr>
          <w:p>
            <w:pPr>
              <w:spacing w:after="0"/>
              <w:rPr>
                <w:sz w:val="14"/>
                <w:szCs w:val="1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Payable Date</w:t>
            </w:r>
          </w:p>
        </w:tc>
        <w:tc>
          <w:tcPr>
            <w:tcW w:w="1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Income</w:t>
            </w:r>
          </w:p>
        </w:tc>
        <w:tc>
          <w:tcPr>
            <w:tcW w:w="4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Capital</w:t>
            </w:r>
          </w:p>
        </w:tc>
        <w:tc>
          <w:tcPr>
            <w:tcW w:w="3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7"/>
              </w:rPr>
              <w:t>Per Share</w:t>
            </w:r>
          </w:p>
        </w:tc>
        <w:tc>
          <w:tcPr>
            <w:tcW w:w="100" w:type="dxa"/>
            <w:vAlign w:val="bottom"/>
            <w:tcBorders>
              <w:bottom w:val="single" w:sz="8" w:color="CFF0FC"/>
            </w:tcBorders>
          </w:tcPr>
          <w:p>
            <w:pPr>
              <w:spacing w:after="0"/>
              <w:rPr>
                <w:sz w:val="14"/>
                <w:szCs w:val="14"/>
                <w:color w:val="auto"/>
              </w:rPr>
            </w:pPr>
          </w:p>
        </w:tc>
      </w:tr>
      <w:tr>
        <w:trPr>
          <w:trHeight w:val="216"/>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February 20, 2015</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April 2, 2015</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15, 2015</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0.405355</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(1)</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0.134645</w:t>
            </w:r>
          </w:p>
        </w:tc>
        <w:tc>
          <w:tcPr>
            <w:tcW w:w="3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FF0FC"/>
          </w:tcPr>
          <w:p>
            <w:pPr>
              <w:spacing w:after="0"/>
              <w:rPr>
                <w:sz w:val="18"/>
                <w:szCs w:val="18"/>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May 14, 2015</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July 2, 2015</w:t>
            </w:r>
          </w:p>
        </w:tc>
        <w:tc>
          <w:tcPr>
            <w:tcW w:w="2400" w:type="dxa"/>
            <w:vAlign w:val="bottom"/>
            <w:gridSpan w:val="2"/>
          </w:tcPr>
          <w:p>
            <w:pPr>
              <w:spacing w:after="0"/>
              <w:rPr>
                <w:sz w:val="20"/>
                <w:szCs w:val="20"/>
                <w:color w:val="auto"/>
              </w:rPr>
            </w:pPr>
            <w:r>
              <w:rPr>
                <w:rFonts w:ascii="Arial" w:cs="Arial" w:eastAsia="Arial" w:hAnsi="Arial"/>
                <w:sz w:val="17"/>
                <w:szCs w:val="17"/>
                <w:color w:val="auto"/>
              </w:rPr>
              <w:t>July 15, 2015</w:t>
            </w:r>
          </w:p>
        </w:tc>
        <w:tc>
          <w:tcPr>
            <w:tcW w:w="1060" w:type="dxa"/>
            <w:vAlign w:val="bottom"/>
          </w:tcPr>
          <w:p>
            <w:pPr>
              <w:jc w:val="right"/>
              <w:spacing w:after="0"/>
              <w:rPr>
                <w:sz w:val="20"/>
                <w:szCs w:val="20"/>
                <w:color w:val="auto"/>
              </w:rPr>
            </w:pPr>
            <w:r>
              <w:rPr>
                <w:rFonts w:ascii="Arial" w:cs="Arial" w:eastAsia="Arial" w:hAnsi="Arial"/>
                <w:sz w:val="17"/>
                <w:szCs w:val="17"/>
                <w:color w:val="auto"/>
              </w:rPr>
              <w:t>0.405355</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7"/>
                <w:szCs w:val="17"/>
                <w:color w:val="auto"/>
              </w:rPr>
              <w:t>0.134645</w:t>
            </w:r>
          </w:p>
        </w:tc>
        <w:tc>
          <w:tcPr>
            <w:tcW w:w="3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August 13, 2015</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October 2, 2015</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15, 2015</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0.405355</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(1)</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0.134645</w:t>
            </w:r>
          </w:p>
        </w:tc>
        <w:tc>
          <w:tcPr>
            <w:tcW w:w="3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December 10, 2015</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January 4, 2016</w:t>
            </w:r>
          </w:p>
        </w:tc>
        <w:tc>
          <w:tcPr>
            <w:tcW w:w="2400" w:type="dxa"/>
            <w:vAlign w:val="bottom"/>
            <w:gridSpan w:val="2"/>
          </w:tcPr>
          <w:p>
            <w:pPr>
              <w:spacing w:after="0"/>
              <w:rPr>
                <w:sz w:val="20"/>
                <w:szCs w:val="20"/>
                <w:color w:val="auto"/>
              </w:rPr>
            </w:pPr>
            <w:r>
              <w:rPr>
                <w:rFonts w:ascii="Arial" w:cs="Arial" w:eastAsia="Arial" w:hAnsi="Arial"/>
                <w:sz w:val="17"/>
                <w:szCs w:val="17"/>
                <w:color w:val="auto"/>
              </w:rPr>
              <w:t>January 15, 2016</w:t>
            </w:r>
          </w:p>
        </w:tc>
        <w:tc>
          <w:tcPr>
            <w:tcW w:w="1060" w:type="dxa"/>
            <w:vAlign w:val="bottom"/>
          </w:tcPr>
          <w:p>
            <w:pPr>
              <w:jc w:val="right"/>
              <w:spacing w:after="0"/>
              <w:rPr>
                <w:sz w:val="20"/>
                <w:szCs w:val="20"/>
                <w:color w:val="auto"/>
              </w:rPr>
            </w:pPr>
            <w:r>
              <w:rPr>
                <w:rFonts w:ascii="Arial" w:cs="Arial" w:eastAsia="Arial" w:hAnsi="Arial"/>
                <w:sz w:val="17"/>
                <w:szCs w:val="17"/>
                <w:color w:val="auto"/>
              </w:rPr>
              <w:t>0.487167</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(2)</w:t>
            </w:r>
          </w:p>
        </w:tc>
        <w:tc>
          <w:tcPr>
            <w:tcW w:w="1060" w:type="dxa"/>
            <w:vAlign w:val="bottom"/>
          </w:tcPr>
          <w:p>
            <w:pPr>
              <w:jc w:val="right"/>
              <w:spacing w:after="0"/>
              <w:rPr>
                <w:sz w:val="20"/>
                <w:szCs w:val="20"/>
                <w:color w:val="auto"/>
              </w:rPr>
            </w:pPr>
            <w:r>
              <w:rPr>
                <w:rFonts w:ascii="Arial" w:cs="Arial" w:eastAsia="Arial" w:hAnsi="Arial"/>
                <w:sz w:val="17"/>
                <w:szCs w:val="17"/>
                <w:color w:val="auto"/>
              </w:rPr>
              <w:t>0.052833</w:t>
            </w:r>
          </w:p>
        </w:tc>
        <w:tc>
          <w:tcPr>
            <w:tcW w:w="3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February 19, 2016</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April 1, 2016</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15, 2016</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0.487167</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(2)</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0.052833</w:t>
            </w:r>
          </w:p>
        </w:tc>
        <w:tc>
          <w:tcPr>
            <w:tcW w:w="3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May 12, 2016</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July 1, 2016</w:t>
            </w:r>
          </w:p>
        </w:tc>
        <w:tc>
          <w:tcPr>
            <w:tcW w:w="2400" w:type="dxa"/>
            <w:vAlign w:val="bottom"/>
            <w:gridSpan w:val="2"/>
          </w:tcPr>
          <w:p>
            <w:pPr>
              <w:spacing w:after="0"/>
              <w:rPr>
                <w:sz w:val="20"/>
                <w:szCs w:val="20"/>
                <w:color w:val="auto"/>
              </w:rPr>
            </w:pPr>
            <w:r>
              <w:rPr>
                <w:rFonts w:ascii="Arial" w:cs="Arial" w:eastAsia="Arial" w:hAnsi="Arial"/>
                <w:sz w:val="17"/>
                <w:szCs w:val="17"/>
                <w:color w:val="auto"/>
              </w:rPr>
              <w:t>July 15, 2016</w:t>
            </w:r>
          </w:p>
        </w:tc>
        <w:tc>
          <w:tcPr>
            <w:tcW w:w="1060" w:type="dxa"/>
            <w:vAlign w:val="bottom"/>
          </w:tcPr>
          <w:p>
            <w:pPr>
              <w:jc w:val="right"/>
              <w:spacing w:after="0"/>
              <w:rPr>
                <w:sz w:val="20"/>
                <w:szCs w:val="20"/>
                <w:color w:val="auto"/>
              </w:rPr>
            </w:pPr>
            <w:r>
              <w:rPr>
                <w:rFonts w:ascii="Arial" w:cs="Arial" w:eastAsia="Arial" w:hAnsi="Arial"/>
                <w:sz w:val="17"/>
                <w:szCs w:val="17"/>
                <w:color w:val="auto"/>
              </w:rPr>
              <w:t>0.487167</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(2)</w:t>
            </w:r>
          </w:p>
        </w:tc>
        <w:tc>
          <w:tcPr>
            <w:tcW w:w="1060" w:type="dxa"/>
            <w:vAlign w:val="bottom"/>
          </w:tcPr>
          <w:p>
            <w:pPr>
              <w:jc w:val="right"/>
              <w:spacing w:after="0"/>
              <w:rPr>
                <w:sz w:val="20"/>
                <w:szCs w:val="20"/>
                <w:color w:val="auto"/>
              </w:rPr>
            </w:pPr>
            <w:r>
              <w:rPr>
                <w:rFonts w:ascii="Arial" w:cs="Arial" w:eastAsia="Arial" w:hAnsi="Arial"/>
                <w:sz w:val="17"/>
                <w:szCs w:val="17"/>
                <w:color w:val="auto"/>
              </w:rPr>
              <w:t>0.052833</w:t>
            </w:r>
          </w:p>
        </w:tc>
        <w:tc>
          <w:tcPr>
            <w:tcW w:w="3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August 11, 2016</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October 3, 2016</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17, 2016</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0.487167</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(2)</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0.052833</w:t>
            </w:r>
          </w:p>
        </w:tc>
        <w:tc>
          <w:tcPr>
            <w:tcW w:w="3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December 8, 2016</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January 3, 2017</w:t>
            </w:r>
          </w:p>
        </w:tc>
        <w:tc>
          <w:tcPr>
            <w:tcW w:w="2400" w:type="dxa"/>
            <w:vAlign w:val="bottom"/>
            <w:gridSpan w:val="2"/>
          </w:tcPr>
          <w:p>
            <w:pPr>
              <w:spacing w:after="0"/>
              <w:rPr>
                <w:sz w:val="20"/>
                <w:szCs w:val="20"/>
                <w:color w:val="auto"/>
              </w:rPr>
            </w:pPr>
            <w:r>
              <w:rPr>
                <w:rFonts w:ascii="Arial" w:cs="Arial" w:eastAsia="Arial" w:hAnsi="Arial"/>
                <w:sz w:val="17"/>
                <w:szCs w:val="17"/>
                <w:color w:val="auto"/>
              </w:rPr>
              <w:t>January 13, 2017</w:t>
            </w:r>
          </w:p>
        </w:tc>
        <w:tc>
          <w:tcPr>
            <w:tcW w:w="1060" w:type="dxa"/>
            <w:vAlign w:val="bottom"/>
          </w:tcPr>
          <w:p>
            <w:pPr>
              <w:jc w:val="right"/>
              <w:spacing w:after="0"/>
              <w:rPr>
                <w:sz w:val="20"/>
                <w:szCs w:val="20"/>
                <w:color w:val="auto"/>
              </w:rPr>
            </w:pPr>
            <w:r>
              <w:rPr>
                <w:rFonts w:ascii="Arial" w:cs="Arial" w:eastAsia="Arial" w:hAnsi="Arial"/>
                <w:sz w:val="17"/>
                <w:szCs w:val="17"/>
                <w:color w:val="auto"/>
              </w:rPr>
              <w:t>0.363660</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7"/>
                <w:szCs w:val="17"/>
                <w:color w:val="auto"/>
              </w:rPr>
              <w:t>0.056340</w:t>
            </w:r>
          </w:p>
        </w:tc>
        <w:tc>
          <w:tcPr>
            <w:tcW w:w="3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February 17, 2017</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April 3, 2017</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17, 2017</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0.363660</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(3)</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0.056340</w:t>
            </w:r>
          </w:p>
        </w:tc>
        <w:tc>
          <w:tcPr>
            <w:tcW w:w="3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May 11, 2017</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July 3, 2017</w:t>
            </w:r>
          </w:p>
        </w:tc>
        <w:tc>
          <w:tcPr>
            <w:tcW w:w="2400" w:type="dxa"/>
            <w:vAlign w:val="bottom"/>
            <w:gridSpan w:val="2"/>
          </w:tcPr>
          <w:p>
            <w:pPr>
              <w:spacing w:after="0"/>
              <w:rPr>
                <w:sz w:val="20"/>
                <w:szCs w:val="20"/>
                <w:color w:val="auto"/>
              </w:rPr>
            </w:pPr>
            <w:r>
              <w:rPr>
                <w:rFonts w:ascii="Arial" w:cs="Arial" w:eastAsia="Arial" w:hAnsi="Arial"/>
                <w:sz w:val="17"/>
                <w:szCs w:val="17"/>
                <w:color w:val="auto"/>
              </w:rPr>
              <w:t>July 17, 2017</w:t>
            </w:r>
          </w:p>
        </w:tc>
        <w:tc>
          <w:tcPr>
            <w:tcW w:w="1060" w:type="dxa"/>
            <w:vAlign w:val="bottom"/>
          </w:tcPr>
          <w:p>
            <w:pPr>
              <w:jc w:val="right"/>
              <w:spacing w:after="0"/>
              <w:rPr>
                <w:sz w:val="20"/>
                <w:szCs w:val="20"/>
                <w:color w:val="auto"/>
              </w:rPr>
            </w:pPr>
            <w:r>
              <w:rPr>
                <w:rFonts w:ascii="Arial" w:cs="Arial" w:eastAsia="Arial" w:hAnsi="Arial"/>
                <w:sz w:val="17"/>
                <w:szCs w:val="17"/>
                <w:color w:val="auto"/>
              </w:rPr>
              <w:t>0.363660</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7"/>
                <w:szCs w:val="17"/>
                <w:color w:val="auto"/>
              </w:rPr>
              <w:t>0.056340</w:t>
            </w:r>
          </w:p>
        </w:tc>
        <w:tc>
          <w:tcPr>
            <w:tcW w:w="3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r>
      <w:tr>
        <w:trPr>
          <w:trHeight w:val="223"/>
        </w:trPr>
        <w:tc>
          <w:tcPr>
            <w:tcW w:w="2260" w:type="dxa"/>
            <w:vAlign w:val="bottom"/>
            <w:shd w:val="clear" w:color="auto" w:fill="CFF0FC"/>
          </w:tcPr>
          <w:p>
            <w:pPr>
              <w:spacing w:after="0"/>
              <w:rPr>
                <w:sz w:val="20"/>
                <w:szCs w:val="20"/>
                <w:color w:val="auto"/>
              </w:rPr>
            </w:pPr>
            <w:r>
              <w:rPr>
                <w:rFonts w:ascii="Arial" w:cs="Arial" w:eastAsia="Arial" w:hAnsi="Arial"/>
                <w:sz w:val="17"/>
                <w:szCs w:val="17"/>
                <w:color w:val="auto"/>
              </w:rPr>
              <w:t>August 10, 2017</w:t>
            </w:r>
          </w:p>
        </w:tc>
        <w:tc>
          <w:tcPr>
            <w:tcW w:w="254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October 2, 2017</w:t>
            </w:r>
          </w:p>
        </w:tc>
        <w:tc>
          <w:tcPr>
            <w:tcW w:w="2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16, 2017</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0.363660</w:t>
            </w:r>
          </w:p>
        </w:tc>
        <w:tc>
          <w:tcPr>
            <w:tcW w:w="4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(3)</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0.056340</w:t>
            </w:r>
          </w:p>
        </w:tc>
        <w:tc>
          <w:tcPr>
            <w:tcW w:w="3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CFF0FC"/>
          </w:tcPr>
          <w:p>
            <w:pPr>
              <w:spacing w:after="0"/>
              <w:rPr>
                <w:sz w:val="19"/>
                <w:szCs w:val="19"/>
                <w:color w:val="auto"/>
              </w:rPr>
            </w:pPr>
          </w:p>
        </w:tc>
      </w:tr>
      <w:tr>
        <w:trPr>
          <w:trHeight w:val="240"/>
        </w:trPr>
        <w:tc>
          <w:tcPr>
            <w:tcW w:w="2260" w:type="dxa"/>
            <w:vAlign w:val="bottom"/>
          </w:tcPr>
          <w:p>
            <w:pPr>
              <w:spacing w:after="0"/>
              <w:rPr>
                <w:sz w:val="20"/>
                <w:szCs w:val="20"/>
                <w:color w:val="auto"/>
              </w:rPr>
            </w:pPr>
            <w:r>
              <w:rPr>
                <w:rFonts w:ascii="Arial" w:cs="Arial" w:eastAsia="Arial" w:hAnsi="Arial"/>
                <w:sz w:val="17"/>
                <w:szCs w:val="17"/>
                <w:color w:val="auto"/>
              </w:rPr>
              <w:t>December 7, 2017</w:t>
            </w:r>
          </w:p>
        </w:tc>
        <w:tc>
          <w:tcPr>
            <w:tcW w:w="2540" w:type="dxa"/>
            <w:vAlign w:val="bottom"/>
            <w:gridSpan w:val="3"/>
          </w:tcPr>
          <w:p>
            <w:pPr>
              <w:ind w:left="140"/>
              <w:spacing w:after="0"/>
              <w:rPr>
                <w:sz w:val="20"/>
                <w:szCs w:val="20"/>
                <w:color w:val="auto"/>
              </w:rPr>
            </w:pPr>
            <w:r>
              <w:rPr>
                <w:rFonts w:ascii="Arial" w:cs="Arial" w:eastAsia="Arial" w:hAnsi="Arial"/>
                <w:sz w:val="17"/>
                <w:szCs w:val="17"/>
                <w:color w:val="auto"/>
              </w:rPr>
              <w:t>January 2, 2018</w:t>
            </w:r>
          </w:p>
        </w:tc>
        <w:tc>
          <w:tcPr>
            <w:tcW w:w="2400" w:type="dxa"/>
            <w:vAlign w:val="bottom"/>
            <w:gridSpan w:val="2"/>
          </w:tcPr>
          <w:p>
            <w:pPr>
              <w:spacing w:after="0"/>
              <w:rPr>
                <w:sz w:val="20"/>
                <w:szCs w:val="20"/>
                <w:color w:val="auto"/>
              </w:rPr>
            </w:pPr>
            <w:r>
              <w:rPr>
                <w:rFonts w:ascii="Arial" w:cs="Arial" w:eastAsia="Arial" w:hAnsi="Arial"/>
                <w:sz w:val="17"/>
                <w:szCs w:val="17"/>
                <w:color w:val="auto"/>
              </w:rPr>
              <w:t>January 15, 2018</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(4)</w:t>
            </w:r>
          </w:p>
        </w:tc>
        <w:tc>
          <w:tcPr>
            <w:tcW w:w="1420" w:type="dxa"/>
            <w:vAlign w:val="bottom"/>
            <w:gridSpan w:val="2"/>
          </w:tcPr>
          <w:p>
            <w:pPr>
              <w:ind w:left="8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4"/>
                <w:szCs w:val="14"/>
                <w:color w:val="auto"/>
              </w:rPr>
              <w:t>(4)</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20"/>
                <w:szCs w:val="20"/>
                <w:color w:val="auto"/>
              </w:rPr>
            </w:pPr>
          </w:p>
        </w:tc>
      </w:tr>
    </w:tbl>
    <w:p>
      <w:pPr>
        <w:spacing w:after="0" w:line="219" w:lineRule="exact"/>
        <w:rPr>
          <w:sz w:val="20"/>
          <w:szCs w:val="20"/>
          <w:color w:val="auto"/>
        </w:rPr>
      </w:pPr>
    </w:p>
    <w:p>
      <w:pPr>
        <w:ind w:left="820" w:hanging="217"/>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7"/>
          <w:szCs w:val="17"/>
          <w:color w:val="auto"/>
        </w:rPr>
        <w:t>$0.051202 of this amount constitutes a "Qualified Dividend", as defined by the IRS.</w:t>
      </w:r>
    </w:p>
    <w:p>
      <w:pPr>
        <w:spacing w:after="0" w:line="26" w:lineRule="exact"/>
        <w:rPr>
          <w:rFonts w:ascii="Arial" w:cs="Arial" w:eastAsia="Arial" w:hAnsi="Arial"/>
          <w:sz w:val="15"/>
          <w:szCs w:val="15"/>
          <w:color w:val="auto"/>
        </w:rPr>
      </w:pPr>
    </w:p>
    <w:p>
      <w:pPr>
        <w:ind w:left="820" w:hanging="217"/>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7"/>
          <w:szCs w:val="17"/>
          <w:color w:val="auto"/>
        </w:rPr>
        <w:t>$0.030979 of this amount constitutes a "Qualified Dividend", as defined by the IRS.</w:t>
      </w:r>
    </w:p>
    <w:p>
      <w:pPr>
        <w:spacing w:after="0" w:line="14" w:lineRule="exact"/>
        <w:rPr>
          <w:rFonts w:ascii="Arial" w:cs="Arial" w:eastAsia="Arial" w:hAnsi="Arial"/>
          <w:sz w:val="15"/>
          <w:szCs w:val="15"/>
          <w:color w:val="auto"/>
        </w:rPr>
      </w:pPr>
    </w:p>
    <w:p>
      <w:pPr>
        <w:ind w:left="820" w:hanging="217"/>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7"/>
          <w:szCs w:val="17"/>
          <w:color w:val="auto"/>
        </w:rPr>
        <w:t>$0.000000 of this amount constitutes a "Qualified Dividend", as defined by the IRS.</w:t>
      </w:r>
    </w:p>
    <w:p>
      <w:pPr>
        <w:spacing w:after="0" w:line="14" w:lineRule="exact"/>
        <w:rPr>
          <w:rFonts w:ascii="Arial" w:cs="Arial" w:eastAsia="Arial" w:hAnsi="Arial"/>
          <w:sz w:val="15"/>
          <w:szCs w:val="15"/>
          <w:color w:val="auto"/>
        </w:rPr>
      </w:pPr>
    </w:p>
    <w:p>
      <w:pPr>
        <w:ind w:left="820" w:hanging="217"/>
        <w:spacing w:after="0"/>
        <w:tabs>
          <w:tab w:leader="none" w:pos="820" w:val="left"/>
        </w:tabs>
        <w:numPr>
          <w:ilvl w:val="0"/>
          <w:numId w:val="28"/>
        </w:numPr>
        <w:rPr>
          <w:rFonts w:ascii="Arial" w:cs="Arial" w:eastAsia="Arial" w:hAnsi="Arial"/>
          <w:sz w:val="15"/>
          <w:szCs w:val="15"/>
          <w:color w:val="auto"/>
        </w:rPr>
      </w:pPr>
      <w:r>
        <w:rPr>
          <w:rFonts w:ascii="Arial" w:cs="Arial" w:eastAsia="Arial" w:hAnsi="Arial"/>
          <w:sz w:val="17"/>
          <w:szCs w:val="17"/>
          <w:color w:val="auto"/>
        </w:rPr>
        <w:t>Taxable in 2018.</w:t>
      </w:r>
    </w:p>
    <w:p>
      <w:pPr>
        <w:spacing w:after="0" w:line="212" w:lineRule="exact"/>
        <w:rPr>
          <w:sz w:val="20"/>
          <w:szCs w:val="20"/>
          <w:color w:val="auto"/>
        </w:rPr>
      </w:pPr>
    </w:p>
    <w:p>
      <w:pPr>
        <w:jc w:val="both"/>
        <w:ind w:left="600"/>
        <w:spacing w:after="0" w:line="359" w:lineRule="auto"/>
        <w:rPr>
          <w:sz w:val="20"/>
          <w:szCs w:val="20"/>
          <w:color w:val="auto"/>
        </w:rPr>
      </w:pPr>
      <w:r>
        <w:rPr>
          <w:rFonts w:ascii="Arial" w:cs="Arial" w:eastAsia="Arial" w:hAnsi="Arial"/>
          <w:sz w:val="15"/>
          <w:szCs w:val="15"/>
          <w:color w:val="auto"/>
        </w:rPr>
        <w:t>Future dividends will depend on CoreCivic's distribution requirements as a REIT, future earnings, capital requirements, financial condition, limitations under debt covenants, opportunities for alternative uses of capital, and on such other factors as the Board of Directors of CoreCivic may consider relevant.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During 2017, CoreCivic issued approximately 554,000 shares of restricted common stock units ("RSUs") to certain of its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with an aggregate value of $18.1 million, including 487,000 RSUs to employees and non-employee directors whose compensation is charged to general and administrative expense and 67,000 RSUs to employees whose compensation is charged to operating expense. During 2016, CoreCivic issued approximately 635,000 RSUs to certain of its employees and non-employee directors, with an aggregate value of $18.5 million, including 562,000 RSUs to employees and non-employee directors whose compensation is charged to general and administrative expense and 73,000 RSUs to employees whose compensation is charged to operating expense.</w:t>
      </w:r>
    </w:p>
    <w:p>
      <w:pPr>
        <w:spacing w:after="0" w:line="181" w:lineRule="exact"/>
        <w:rPr>
          <w:sz w:val="20"/>
          <w:szCs w:val="20"/>
          <w:color w:val="auto"/>
        </w:rPr>
      </w:pPr>
    </w:p>
    <w:p>
      <w:pPr>
        <w:jc w:val="both"/>
        <w:ind w:left="600"/>
        <w:spacing w:after="0" w:line="262" w:lineRule="auto"/>
        <w:rPr>
          <w:sz w:val="20"/>
          <w:szCs w:val="20"/>
          <w:color w:val="auto"/>
        </w:rPr>
      </w:pPr>
      <w:r>
        <w:rPr>
          <w:rFonts w:ascii="Arial" w:cs="Arial" w:eastAsia="Arial" w:hAnsi="Arial"/>
          <w:sz w:val="17"/>
          <w:szCs w:val="17"/>
          <w:color w:val="auto"/>
        </w:rPr>
        <w:t>CoreCivic established performance-based vesting conditions on the RSUs awarded to its officers and executive officers in years 2015 through 2017. Unless earlier vested under the terms of the agreements, performance-based RSUs issued to officers and executive officers in those years are subject to vesting over a three-year period based upon the satisfaction of certain annual performance criteria, and no more than one-third of the RSUs may vest in any one performance period. Time-based RSUs issued to other employees in 2016 and 2017, unless earlier vested under the terms of the agreements, generally vest equally on the first, second, and third anniversary of the award. Time-based RSUs issued to other employees in 2015, unless earlier vested under the terms of the agreements, "cliff" vest on the third anniversary of the award. RSUs issued to non-employee directors vest one year from the date of award.</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Nonvested RSU transactions as of December 31, 2017 and for the year then ended are summarized below (in thousands, except per share amounts).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tbl>
      <w:tblPr>
        <w:tblLayout w:type="fixed"/>
        <w:tblInd w:w="11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16"/>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Nonvested at December 31, 2016</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554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Cancelled</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(131)</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37.71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Arial" w:cs="Arial" w:eastAsia="Arial" w:hAnsi="Arial"/>
                <w:sz w:val="17"/>
                <w:szCs w:val="17"/>
                <w:color w:val="auto"/>
              </w:rPr>
              <w:t>Vested</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(513)</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Nonvested at December 31,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954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32.26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2017, 2016, and 2015, CoreCivic expensed $13.3 million ($1.9 million of which was recorded in operating expenses and $11.4 million of which was recorded in general and administrative expenses), $17.8 million ($1.7 million of which was recorded in operating expenses and $14.4 million of which was recorded in general and administrative expenses, and $1.7 million of which was recorded in restructuring charges), and $14.7 million ($1.5 million of which was recorded in operating expenses and $13.2 million of which was recorded in general and administrative expenses), net of forfeitures, relating to the restricted common stock and RSUs, respectively. As of December 31, 2017, CoreCivic had $16.8 million of total unrecognized compensation cost related to RSUs that is expected to be recognized over a remaining weighted-average period of 1.8 years</w:t>
      </w:r>
      <w:r>
        <w:rPr>
          <w:rFonts w:ascii="Arial" w:cs="Arial" w:eastAsia="Arial" w:hAnsi="Arial"/>
          <w:sz w:val="16"/>
          <w:szCs w:val="16"/>
          <w:b w:val="1"/>
          <w:bCs w:val="1"/>
          <w:color w:val="auto"/>
        </w:rPr>
        <w:t>.</w:t>
      </w:r>
      <w:r>
        <w:rPr>
          <w:rFonts w:ascii="Arial" w:cs="Arial" w:eastAsia="Arial" w:hAnsi="Arial"/>
          <w:sz w:val="16"/>
          <w:szCs w:val="16"/>
          <w:color w:val="auto"/>
        </w:rPr>
        <w:t xml:space="preserve"> The total fair value of restricted common stock and RSUs that vested during 2017, 2016, and 2015 was $16.6 million, $15.1 million, and $13.9 million, respectively.</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Restricted stock-based compensation expense of $1.7 million for the year ended December 31, 2016 included in restructuring charges in the consolidated statement of operations reflects the voluntary forfeiture of RSUs awarded in February 2016 to CoreCivic's chief executive officer, in connection with a restructuring and cost reduction plan implemented during the third quarter of 2016.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CoreCivic has the authority to issue 50.0 million shares of $0.01 par value per share preferred stock (the "Preferred Stock"). The Preferred Stock may be issued from time to time upon authorization by the Board of Directors, in such series and with such preferences, conversion or other rights, voting powers, restrictions, limitations as to dividends, qualifications or other provisions as may be fixed by CoreCivic's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Plans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CoreCivic has equity incentive plans under which, among other things, incentive and non-qualified stock options are granted to certain employees and non-employee directors of CoreCivic by the compensation committee of CoreCivic's Board of Directors. The options are granted with exercise prices equal to the fair market value on the date of grant. Vesting periods for options granted to employees generally range from three to four years. Options granted to non-employee directors vest on a date approximately following the first anniversary of the grant date. The term of such options is ten years from the date of grant.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2012, CoreCivic has elected not to issue stock options to its non-employee directors, officers, and executive officers as it had in prior years, and instead elected to issue all of its equity compensation in the form of restricted common stock and RSUs as previously described herein. However, CoreCivic continued to recognize stock option expense during the vesting period of stock options awarded in prior years. All outstanding stock options were fully vested as of December 31, 2016. During 2016 and 2015, CoreCivic expensed $0.1 million and $0.7 million, respectively, net of estimated forfeitures, relating to its outstanding stock options, all of which was charged to general and administrative expenses. As of December 31, 2017, CoreCivic had no unrecognized compensation cost related to stock options.</w:t>
      </w:r>
    </w:p>
    <w:p>
      <w:pPr>
        <w:spacing w:after="0" w:line="17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323" w:right="239" w:bottom="1440" w:gutter="0" w:footer="0" w:header="0"/>
        </w:sectPr>
      </w:pPr>
    </w:p>
    <w:bookmarkStart w:id="122" w:name="page123"/>
    <w:bookmarkEnd w:id="122"/>
    <w:p>
      <w:pPr>
        <w:ind w:left="600"/>
        <w:spacing w:after="0"/>
        <w:rPr>
          <w:sz w:val="20"/>
          <w:szCs w:val="20"/>
          <w:color w:val="auto"/>
        </w:rPr>
      </w:pPr>
      <w:r>
        <w:rPr>
          <w:rFonts w:ascii="Arial" w:cs="Arial" w:eastAsia="Arial" w:hAnsi="Arial"/>
          <w:sz w:val="17"/>
          <w:szCs w:val="17"/>
          <w:color w:val="auto"/>
        </w:rPr>
        <w:t>Stock option transactions relating to CoreCivic's non-qualified stock option plans are summarized below (in thousands, except exercise prices):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1"/>
              <w:spacing w:after="0" w:line="144"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 of</w:t>
            </w:r>
          </w:p>
        </w:tc>
        <w:tc>
          <w:tcPr>
            <w:tcW w:w="160" w:type="dxa"/>
            <w:vAlign w:val="bottom"/>
          </w:tcPr>
          <w:p>
            <w:pPr>
              <w:spacing w:after="0"/>
              <w:rPr>
                <w:sz w:val="12"/>
                <w:szCs w:val="12"/>
                <w:color w:val="auto"/>
              </w:rPr>
            </w:pPr>
          </w:p>
        </w:tc>
        <w:tc>
          <w:tcPr>
            <w:tcW w:w="88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w w:val="89"/>
              </w:rPr>
              <w:t>Price of</w:t>
            </w:r>
          </w:p>
        </w:tc>
        <w:tc>
          <w:tcPr>
            <w:tcW w:w="240" w:type="dxa"/>
            <w:vAlign w:val="bottom"/>
          </w:tcPr>
          <w:p>
            <w:pPr>
              <w:spacing w:after="0"/>
              <w:rPr>
                <w:sz w:val="12"/>
                <w:szCs w:val="12"/>
                <w:color w:val="auto"/>
              </w:rPr>
            </w:pPr>
          </w:p>
        </w:tc>
        <w:tc>
          <w:tcPr>
            <w:tcW w:w="128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1,327</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20.53</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7"/>
                <w:szCs w:val="17"/>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(313)</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22.18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7"/>
                <w:szCs w:val="17"/>
                <w:color w:val="auto"/>
              </w:rPr>
              <w:t>Cancelled</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20.03</w:t>
            </w:r>
          </w:p>
        </w:tc>
        <w:tc>
          <w:tcPr>
            <w:tcW w:w="1380" w:type="dxa"/>
            <w:vAlign w:val="bottom"/>
            <w:tcBorders>
              <w:top w:val="single" w:sz="8" w:color="CFF0FC"/>
              <w:bottom w:val="single" w:sz="8" w:color="CFF0FC"/>
            </w:tcBorders>
            <w:gridSpan w:val="2"/>
            <w:shd w:val="clear" w:color="auto" w:fill="CFF0FC"/>
          </w:tcPr>
          <w:p>
            <w:pPr>
              <w:jc w:val="center"/>
              <w:ind w:left="153"/>
              <w:spacing w:after="0"/>
              <w:rPr>
                <w:sz w:val="20"/>
                <w:szCs w:val="20"/>
                <w:color w:val="auto"/>
              </w:rPr>
            </w:pPr>
            <w:r>
              <w:rPr>
                <w:rFonts w:ascii="Arial" w:cs="Arial" w:eastAsia="Arial" w:hAnsi="Arial"/>
                <w:sz w:val="17"/>
                <w:szCs w:val="17"/>
                <w:b w:val="1"/>
                <w:bCs w:val="1"/>
                <w:color w:val="auto"/>
                <w:w w:val="92"/>
              </w:rPr>
              <w:t>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CFF0FC"/>
              <w:bottom w:val="single" w:sz="8" w:color="CFF0FC"/>
            </w:tcBorders>
            <w:shd w:val="clear" w:color="auto" w:fill="CFF0FC"/>
          </w:tcPr>
          <w:p>
            <w:pPr>
              <w:jc w:val="right"/>
              <w:ind w:right="203"/>
              <w:spacing w:after="0"/>
              <w:rPr>
                <w:sz w:val="20"/>
                <w:szCs w:val="20"/>
                <w:color w:val="auto"/>
              </w:rPr>
            </w:pPr>
            <w:r>
              <w:rPr>
                <w:rFonts w:ascii="Arial" w:cs="Arial" w:eastAsia="Arial" w:hAnsi="Arial"/>
                <w:sz w:val="17"/>
                <w:szCs w:val="17"/>
                <w:b w:val="1"/>
                <w:bCs w:val="1"/>
                <w:color w:val="auto"/>
              </w:rPr>
              <w:t>2,669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7"/>
                <w:szCs w:val="17"/>
                <w:color w:val="auto"/>
              </w:rPr>
              <w:t>Exercisable at December 31, 2017</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b w:val="1"/>
                <w:bCs w:val="1"/>
                <w:color w:val="auto"/>
                <w:w w:val="92"/>
              </w:rPr>
              <w:t>2.6</w:t>
            </w:r>
          </w:p>
        </w:tc>
        <w:tc>
          <w:tcPr>
            <w:tcW w:w="1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ind w:right="203"/>
              <w:spacing w:after="0"/>
              <w:rPr>
                <w:sz w:val="20"/>
                <w:szCs w:val="20"/>
                <w:color w:val="auto"/>
              </w:rPr>
            </w:pPr>
            <w:r>
              <w:rPr>
                <w:rFonts w:ascii="Arial" w:cs="Arial" w:eastAsia="Arial" w:hAnsi="Arial"/>
                <w:sz w:val="17"/>
                <w:szCs w:val="17"/>
                <w:b w:val="1"/>
                <w:bCs w:val="1"/>
                <w:color w:val="auto"/>
              </w:rPr>
              <w:t>2,669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2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20.03</w:t>
            </w: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314" w:lineRule="auto"/>
        <w:rPr>
          <w:sz w:val="20"/>
          <w:szCs w:val="20"/>
          <w:color w:val="auto"/>
        </w:rPr>
      </w:pPr>
      <w:r>
        <w:rPr>
          <w:rFonts w:ascii="Arial" w:cs="Arial" w:eastAsia="Arial" w:hAnsi="Arial"/>
          <w:sz w:val="15"/>
          <w:szCs w:val="15"/>
          <w:color w:val="auto"/>
        </w:rPr>
        <w:t>The aggregate intrinsic value in the table above represents the total pre-tax intrinsic value (the difference between CoreCivic's stock price as of December 31, 2017 and the exercise price, multiplied by the number of in-the-money options) that would have been received by the option holders had all option holders exercised their options on December 31, 2017. This amount changes based on the fair market value of CoreCivic's stock. The total intrinsic value of options exercised during the years ended December 31, 2017, 2016, and 2015 was $2.9 million, $1.7 million, and $7.3 million, respectively.</w:t>
      </w:r>
    </w:p>
    <w:p>
      <w:pPr>
        <w:spacing w:after="0" w:line="145" w:lineRule="exact"/>
        <w:rPr>
          <w:sz w:val="20"/>
          <w:szCs w:val="20"/>
          <w:color w:val="auto"/>
        </w:rPr>
      </w:pPr>
    </w:p>
    <w:p>
      <w:pPr>
        <w:jc w:val="both"/>
        <w:ind w:left="600"/>
        <w:spacing w:after="0" w:line="285" w:lineRule="auto"/>
        <w:rPr>
          <w:sz w:val="20"/>
          <w:szCs w:val="20"/>
          <w:color w:val="auto"/>
        </w:rPr>
      </w:pPr>
      <w:r>
        <w:rPr>
          <w:rFonts w:ascii="Arial" w:cs="Arial" w:eastAsia="Arial" w:hAnsi="Arial"/>
          <w:sz w:val="16"/>
          <w:szCs w:val="16"/>
          <w:color w:val="auto"/>
        </w:rPr>
        <w:t>At CoreCivic's 2011 annual meeting of stockholders held in May 2011, CoreCivic's stockholders approved an amendment to the 2008 Stock Incentive Plan that increased the authorized limit on issuance of new awards to an aggregate of up to 18.0 million shares. In addition, during the 2003 annual meeting the stockholders approved the adoption of CoreCivic's Non-Employee Directors' Compensation Plan, authorizing CoreCivic to issue up to 225,000 shares of common stock pursuant to the plan. As of December 31, 2017, CoreCivic had 8.2 million shares available for issuance under the Amended and Restated 2008 Stock Incentive Plan and 0.2 million shares available for issuance under the Non-Employee Directors' Compensation Plan.</w:t>
      </w:r>
    </w:p>
    <w:p>
      <w:pPr>
        <w:spacing w:after="0" w:line="263" w:lineRule="exact"/>
        <w:rPr>
          <w:sz w:val="20"/>
          <w:szCs w:val="20"/>
          <w:color w:val="auto"/>
        </w:rPr>
      </w:pPr>
    </w:p>
    <w:p>
      <w:pPr>
        <w:ind w:left="600" w:hanging="595"/>
        <w:spacing w:after="0"/>
        <w:tabs>
          <w:tab w:leader="none" w:pos="6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4"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share grants and stock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ind w:left="600"/>
        <w:spacing w:after="0" w:line="289" w:lineRule="auto"/>
        <w:rPr>
          <w:sz w:val="20"/>
          <w:szCs w:val="20"/>
          <w:color w:val="auto"/>
        </w:rPr>
      </w:pPr>
      <w:r>
        <w:rPr>
          <w:rFonts w:ascii="Arial" w:cs="Arial" w:eastAsia="Arial" w:hAnsi="Arial"/>
          <w:sz w:val="17"/>
          <w:szCs w:val="17"/>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163"/>
        </w:trPr>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4"/>
                <w:szCs w:val="14"/>
                <w:color w:val="auto"/>
              </w:rPr>
              <w:t>For the Years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7"/>
                <w:szCs w:val="17"/>
                <w:b w:val="1"/>
                <w:bCs w:val="1"/>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income</w:t>
            </w:r>
          </w:p>
        </w:tc>
        <w:tc>
          <w:tcPr>
            <w:tcW w:w="1200" w:type="dxa"/>
            <w:vAlign w:val="bottom"/>
            <w:gridSpan w:val="2"/>
            <w:shd w:val="clear" w:color="auto" w:fill="CFF0FC"/>
          </w:tcPr>
          <w:p>
            <w:pPr>
              <w:jc w:val="right"/>
              <w:ind w:right="8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221,854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Diluted:</w:t>
            </w: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income</w:t>
            </w:r>
          </w:p>
        </w:tc>
        <w:tc>
          <w:tcPr>
            <w:tcW w:w="1200" w:type="dxa"/>
            <w:vAlign w:val="bottom"/>
            <w:gridSpan w:val="2"/>
            <w:shd w:val="clear" w:color="auto" w:fill="CFF0FC"/>
          </w:tcPr>
          <w:p>
            <w:pPr>
              <w:jc w:val="right"/>
              <w:ind w:right="8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221,854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Basic:</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Weighted average common shares outstanding</w:t>
            </w:r>
          </w:p>
        </w:tc>
        <w:tc>
          <w:tcPr>
            <w:tcW w:w="9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118,084</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117,384</w:t>
            </w:r>
          </w:p>
        </w:tc>
        <w:tc>
          <w:tcPr>
            <w:tcW w:w="2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116,949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7"/>
                <w:szCs w:val="17"/>
                <w:color w:val="auto"/>
              </w:rPr>
              <w:t>Weighted average common shares outstanding</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118,084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117,384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Effect of dilutive securities: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460"/>
              <w:spacing w:after="0"/>
              <w:rPr>
                <w:sz w:val="20"/>
                <w:szCs w:val="20"/>
                <w:color w:val="auto"/>
              </w:rPr>
            </w:pPr>
            <w:r>
              <w:rPr>
                <w:rFonts w:ascii="Arial" w:cs="Arial" w:eastAsia="Arial" w:hAnsi="Arial"/>
                <w:sz w:val="17"/>
                <w:szCs w:val="17"/>
                <w:color w:val="auto"/>
              </w:rPr>
              <w:t>Stock options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Restricted stock-based awards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7"/>
                <w:szCs w:val="17"/>
                <w:color w:val="auto"/>
              </w:rPr>
              <w:t>Weighted average shares and assumed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118,465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44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conversions</w:t>
            </w:r>
          </w:p>
        </w:tc>
        <w:tc>
          <w:tcPr>
            <w:tcW w:w="9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117,791</w:t>
            </w:r>
          </w:p>
        </w:tc>
        <w:tc>
          <w:tcPr>
            <w:tcW w:w="2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117,785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BASIC EARNINGS PER SHARE</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DILUTED EARNINGS PER SHARE</w:t>
            </w: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1.50</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1.87</w:t>
            </w:r>
          </w:p>
        </w:tc>
        <w:tc>
          <w:tcPr>
            <w:tcW w:w="2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line="289" w:lineRule="auto"/>
        <w:rPr>
          <w:sz w:val="20"/>
          <w:szCs w:val="20"/>
          <w:color w:val="auto"/>
        </w:rPr>
      </w:pPr>
      <w:r>
        <w:rPr>
          <w:rFonts w:ascii="Arial" w:cs="Arial" w:eastAsia="Arial" w:hAnsi="Arial"/>
          <w:sz w:val="17"/>
          <w:szCs w:val="17"/>
          <w:color w:val="auto"/>
        </w:rPr>
        <w:t>Approximately 8,000, 268,000, and 8,000 stock options were excluded from the computations of diluted earnings per share for the years ended December 31, 2017, 2016, and 2015, respectively, because they were anti-dilutive.</w:t>
      </w:r>
    </w:p>
    <w:p>
      <w:pPr>
        <w:spacing w:after="0" w:line="257" w:lineRule="exact"/>
        <w:rPr>
          <w:sz w:val="20"/>
          <w:szCs w:val="20"/>
          <w:color w:val="auto"/>
        </w:rPr>
      </w:pPr>
    </w:p>
    <w:p>
      <w:pPr>
        <w:ind w:left="600" w:right="7480" w:hanging="595"/>
        <w:spacing w:after="0" w:line="389" w:lineRule="auto"/>
        <w:tabs>
          <w:tab w:leader="none" w:pos="591"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nature of CoreCivic's business results in claims and litigation alleging that it is liable for damages arising from the conduct of its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185" w:lineRule="exact"/>
        <w:rPr>
          <w:sz w:val="20"/>
          <w:szCs w:val="20"/>
          <w:color w:val="auto"/>
        </w:rPr>
      </w:pPr>
    </w:p>
    <w:p>
      <w:pPr>
        <w:jc w:val="both"/>
        <w:ind w:left="600"/>
        <w:spacing w:after="0" w:line="261" w:lineRule="auto"/>
        <w:rPr>
          <w:sz w:val="20"/>
          <w:szCs w:val="20"/>
          <w:color w:val="auto"/>
        </w:rPr>
      </w:pPr>
      <w:r>
        <w:rPr>
          <w:rFonts w:ascii="Arial" w:cs="Arial" w:eastAsia="Arial" w:hAnsi="Arial"/>
          <w:sz w:val="17"/>
          <w:szCs w:val="17"/>
          <w:color w:val="auto"/>
        </w:rPr>
        <w:t>CoreCivic records litigation reserves related to certain matters for which it is probable that a loss has been incurred and the range of such loss can be estimated. 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In the opinion of management, there are no pending legal proceedings that would have a material effect on CoreCivic's consolidated financial position, results of operations, or cash flows. Any receivable for insurance recoveries is recorded separately from the corresponding litigation reserve, and only if recovery is determined to be probable. Adversarial proceedings and litigation are, however, subject to inherent uncertainties, and unfavorable decisions and rulings resulting from legal proceedings could occur which could have a material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both"/>
        <w:spacing w:after="0" w:line="273" w:lineRule="auto"/>
        <w:rPr>
          <w:sz w:val="20"/>
          <w:szCs w:val="20"/>
          <w:color w:val="auto"/>
        </w:rPr>
      </w:pPr>
      <w:r>
        <w:rPr>
          <w:rFonts w:ascii="Arial" w:cs="Arial" w:eastAsia="Arial" w:hAnsi="Arial"/>
          <w:sz w:val="17"/>
          <w:szCs w:val="17"/>
          <w:color w:val="auto"/>
        </w:rPr>
        <w:t>adverse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Contingencies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w:t>
      </w:r>
    </w:p>
    <w:p>
      <w:pPr>
        <w:spacing w:after="0" w:line="12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All employees of CoreCivic are eligible to participate in the Corrections Corporation of America 401(k) Savings and Retirement Plan (the "Plan") upon reaching age 18 and completing one year of qualified service. Eligible employees may contribute up to 90% of their eligible compensation, subject to IRS limitations. For the years ended December 31, 2017, 2016, and 2015, CoreCivic provided a discretionary matching contribution equal to 100% of the employee's contributions up to 5% of the employee's eligible compensation to employees with at least one thousand hours of employment in the plan year.</w:t>
      </w:r>
    </w:p>
    <w:p>
      <w:pPr>
        <w:spacing w:after="0" w:line="2" w:lineRule="exact"/>
        <w:rPr>
          <w:sz w:val="20"/>
          <w:szCs w:val="20"/>
          <w:color w:val="auto"/>
        </w:rPr>
      </w:pPr>
    </w:p>
    <w:p>
      <w:pPr>
        <w:jc w:val="both"/>
        <w:ind w:firstLine="223"/>
        <w:spacing w:after="0" w:line="289" w:lineRule="auto"/>
        <w:rPr>
          <w:sz w:val="20"/>
          <w:szCs w:val="20"/>
          <w:color w:val="auto"/>
        </w:rPr>
      </w:pPr>
      <w:r>
        <w:rPr>
          <w:rFonts w:ascii="Arial" w:cs="Arial" w:eastAsia="Arial" w:hAnsi="Arial"/>
          <w:sz w:val="17"/>
          <w:szCs w:val="17"/>
          <w:color w:val="auto"/>
        </w:rPr>
        <w:t>Effective January 1, 2012, the Plan adopted a safe harbor provision that provides, among other changes, future employer matching contributions to be paid into the Plan each pay period and vest immediately.</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During 2017, 2016, and 2015, CoreCivic's discretionary contributions to the Plan, net of forfeitures, were $12.3 million, $12.0 million, and $12.0 million,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Plans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2002, the compensation committee of the board of directors approved CoreCivic's adoption of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2017, 2016, and 2015,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2017, 2016, and 2015, CoreCivic provided a fixed return of 5.0%, 5.45%, and 5.6%, respectively,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2017, 2016, and 2015, CoreCivic recorded $0.1 million, $0.2 million, and $0.3 million, respectively, of matching contributions as general and administrative expense associated with the Deferred Compensation Plans. Assets</w:t>
      </w:r>
    </w:p>
    <w:p>
      <w:pPr>
        <w:spacing w:after="0" w:line="165"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70485</wp:posOffset>
            </wp:positionV>
            <wp:extent cx="729297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0820"/>
          </w:cols>
          <w:pgMar w:left="840" w:top="337" w:right="239" w:bottom="1440" w:gutter="0" w:footer="0" w:header="0"/>
        </w:sectPr>
      </w:pPr>
    </w:p>
    <w:bookmarkStart w:id="125" w:name="page126"/>
    <w:bookmarkEnd w:id="125"/>
    <w:p>
      <w:pPr>
        <w:jc w:val="both"/>
        <w:ind w:left="600"/>
        <w:spacing w:after="0" w:line="273" w:lineRule="auto"/>
        <w:rPr>
          <w:sz w:val="20"/>
          <w:szCs w:val="20"/>
          <w:color w:val="auto"/>
        </w:rPr>
      </w:pPr>
      <w:r>
        <w:rPr>
          <w:rFonts w:ascii="Arial" w:cs="Arial" w:eastAsia="Arial" w:hAnsi="Arial"/>
          <w:sz w:val="17"/>
          <w:szCs w:val="17"/>
          <w:color w:val="auto"/>
        </w:rPr>
        <w:t>in the Rabbi Trust were $13.5 million and $13.1 million as of December 31, 2017 and 2016, respectively. As of December 31, 2017 and 2016, CoreCivic's liability related to the Deferred Compensation Plans was $11.0 million and $10.6 million, respectively, which was reflected in accounts payable and accrued expenses and other liabilities in the accompanying balance sheets.</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Employment and Severance Agreements</w:t>
      </w:r>
    </w:p>
    <w:p>
      <w:pPr>
        <w:spacing w:after="0" w:line="125" w:lineRule="exact"/>
        <w:rPr>
          <w:sz w:val="20"/>
          <w:szCs w:val="20"/>
          <w:color w:val="auto"/>
        </w:rPr>
      </w:pPr>
    </w:p>
    <w:p>
      <w:pPr>
        <w:jc w:val="both"/>
        <w:ind w:left="600"/>
        <w:spacing w:after="0" w:line="289" w:lineRule="auto"/>
        <w:rPr>
          <w:sz w:val="20"/>
          <w:szCs w:val="20"/>
          <w:color w:val="auto"/>
        </w:rPr>
      </w:pPr>
      <w:r>
        <w:rPr>
          <w:rFonts w:ascii="Arial" w:cs="Arial" w:eastAsia="Arial" w:hAnsi="Arial"/>
          <w:sz w:val="17"/>
          <w:szCs w:val="17"/>
          <w:color w:val="auto"/>
        </w:rPr>
        <w:t>CoreCivic currently has employment agreements with several of its executive officers, which provide for the payment of certain severance amounts upon termination of employment under certain circumstances or a change of control, as defined in the agreements.</w:t>
      </w:r>
    </w:p>
    <w:p>
      <w:pPr>
        <w:spacing w:after="0" w:line="257" w:lineRule="exact"/>
        <w:rPr>
          <w:sz w:val="20"/>
          <w:szCs w:val="20"/>
          <w:color w:val="auto"/>
        </w:rPr>
      </w:pPr>
    </w:p>
    <w:p>
      <w:pPr>
        <w:ind w:left="600" w:hanging="595"/>
        <w:spacing w:after="0"/>
        <w:tabs>
          <w:tab w:leader="none" w:pos="6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50" w:lineRule="exact"/>
        <w:rPr>
          <w:rFonts w:ascii="Arial" w:cs="Arial" w:eastAsia="Arial" w:hAnsi="Arial"/>
          <w:sz w:val="17"/>
          <w:szCs w:val="17"/>
          <w:b w:val="1"/>
          <w:bCs w:val="1"/>
          <w:color w:val="auto"/>
        </w:rPr>
      </w:pP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CoreCivic owned and managed 70 facilities, and managed seven facilities it did not own. In addition, CoreCivic owned 12 properties that it leased to third parties. Management views CoreCivic's operating results in one operating segment. However, the Company has chosen to report financial performance segregated for (1) owned and managed facilities and (2) managed-only facilities as the Company believes this information is useful to users of the financial statements. Owned and managed facilities include the operating results of those facilities placed into service that were owned or controlled via a long-term lease and managed by CoreCivic. Managed-only facilities include the operating results of those facilities owned by a third party and managed by CoreCivic. The operating performance of the owned and managed and the managed-only facilities can be measured based on their net operating income. CoreCivic defines facility net operating income as a facility's operating income or loss from operations before interest, taxes, asset impairments, depreciation, and amortization.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ind w:left="600" w:right="20"/>
        <w:spacing w:after="0" w:line="289" w:lineRule="auto"/>
        <w:rPr>
          <w:sz w:val="20"/>
          <w:szCs w:val="20"/>
          <w:color w:val="auto"/>
        </w:rPr>
      </w:pPr>
      <w:r>
        <w:rPr>
          <w:rFonts w:ascii="Arial" w:cs="Arial" w:eastAsia="Arial" w:hAnsi="Arial"/>
          <w:sz w:val="17"/>
          <w:szCs w:val="17"/>
          <w:color w:val="auto"/>
        </w:rPr>
        <w:t>The revenue and net operating income for the owned and managed and the managed-only facilities and a reconciliation to CoreCivic's operating income is as follows for the three years ended December 31, 2017, 2016, and 2015 (in thousands):</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4"/>
              <w:spacing w:after="0"/>
              <w:rPr>
                <w:sz w:val="20"/>
                <w:szCs w:val="20"/>
                <w:color w:val="auto"/>
              </w:rPr>
            </w:pPr>
            <w:r>
              <w:rPr>
                <w:rFonts w:ascii="Arial" w:cs="Arial" w:eastAsia="Arial" w:hAnsi="Arial"/>
                <w:sz w:val="14"/>
                <w:szCs w:val="14"/>
                <w:color w:val="auto"/>
              </w:rPr>
              <w:t>For the Years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0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Owned and managed</w:t>
            </w:r>
          </w:p>
        </w:tc>
        <w:tc>
          <w:tcPr>
            <w:tcW w:w="1720" w:type="dxa"/>
            <w:vAlign w:val="bottom"/>
            <w:gridSpan w:val="2"/>
          </w:tcPr>
          <w:p>
            <w:pPr>
              <w:jc w:val="right"/>
              <w:ind w:right="6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1,529,987</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1,603,671</w:t>
            </w:r>
          </w:p>
        </w:tc>
        <w:tc>
          <w:tcPr>
            <w:tcW w:w="20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1,543,750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Managed-only</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190,246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205,420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211,995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management revenue</w:t>
            </w:r>
          </w:p>
        </w:tc>
        <w:tc>
          <w:tcPr>
            <w:tcW w:w="1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1,720,233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1,809,091</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1,755,745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Owned and managed</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1,048,219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1,068,031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1,038,070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Managed-only</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173,237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183,643</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190,010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1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1,221,456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1,251,674</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1,228,080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Facility net operating income: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Owned and managed</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481,768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535,640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Managed-only</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17,009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21,777</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facility net operating income</w:t>
            </w:r>
          </w:p>
        </w:tc>
        <w:tc>
          <w:tcPr>
            <w:tcW w:w="1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498,777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557,417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527,665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Other revenue (expense):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Rental and other revenue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45,265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40,694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operating expense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(28,081)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(23,912)</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(28,048)</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(107,822)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(107,027)</w:t>
            </w: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(103,936)</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 and amortization</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(147,129)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(166,746)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(151,514)</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7"/>
                <w:szCs w:val="17"/>
                <w:color w:val="auto"/>
              </w:rPr>
              <w:t>Restructuring charges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(4,010)</w:t>
            </w:r>
          </w:p>
        </w:tc>
        <w:tc>
          <w:tcPr>
            <w:tcW w:w="3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Asset impairments</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(614)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15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260,396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296,416</w:t>
            </w:r>
          </w:p>
        </w:tc>
        <w:tc>
          <w:tcPr>
            <w:tcW w:w="2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280,554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capital expenditures including accrued amounts for the years ended December 31, 2017, 2016, and 2015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color w:val="auto"/>
                <w:w w:val="89"/>
              </w:rPr>
              <w:t>For the 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44"/>
              <w:spacing w:after="0" w:line="150"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1280" w:type="dxa"/>
            <w:vAlign w:val="bottom"/>
            <w:gridSpan w:val="4"/>
          </w:tcPr>
          <w:p>
            <w:pPr>
              <w:jc w:val="right"/>
              <w:ind w:right="420"/>
              <w:spacing w:after="0" w:line="150" w:lineRule="exact"/>
              <w:rPr>
                <w:sz w:val="20"/>
                <w:szCs w:val="20"/>
                <w:color w:val="auto"/>
              </w:rPr>
            </w:pPr>
            <w:r>
              <w:rPr>
                <w:rFonts w:ascii="Arial" w:cs="Arial" w:eastAsia="Arial" w:hAnsi="Arial"/>
                <w:sz w:val="14"/>
                <w:szCs w:val="14"/>
                <w:color w:val="auto"/>
              </w:rPr>
              <w:t>2016</w:t>
            </w:r>
          </w:p>
        </w:tc>
        <w:tc>
          <w:tcPr>
            <w:tcW w:w="1280" w:type="dxa"/>
            <w:vAlign w:val="bottom"/>
            <w:gridSpan w:val="4"/>
          </w:tcPr>
          <w:p>
            <w:pPr>
              <w:jc w:val="right"/>
              <w:ind w:right="420"/>
              <w:spacing w:after="0" w:line="150"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19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gridSpan w:val="2"/>
          </w:tcPr>
          <w:p>
            <w:pPr>
              <w:ind w:left="220"/>
              <w:spacing w:after="0"/>
              <w:rPr>
                <w:sz w:val="20"/>
                <w:szCs w:val="20"/>
                <w:color w:val="auto"/>
              </w:rPr>
            </w:pPr>
            <w:r>
              <w:rPr>
                <w:rFonts w:ascii="Arial" w:cs="Arial" w:eastAsia="Arial" w:hAnsi="Arial"/>
                <w:sz w:val="17"/>
                <w:szCs w:val="17"/>
                <w:color w:val="auto"/>
              </w:rPr>
              <w:t>Owned and managed</w:t>
            </w:r>
          </w:p>
        </w:tc>
        <w:tc>
          <w:tcPr>
            <w:tcW w:w="2140" w:type="dxa"/>
            <w:vAlign w:val="bottom"/>
            <w:gridSpan w:val="2"/>
          </w:tcPr>
          <w:p>
            <w:pPr>
              <w:jc w:val="right"/>
              <w:ind w:right="84"/>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83,757</w:t>
            </w:r>
          </w:p>
        </w:tc>
        <w:tc>
          <w:tcPr>
            <w:tcW w:w="660" w:type="dxa"/>
            <w:vAlign w:val="bottom"/>
            <w:gridSpan w:val="2"/>
          </w:tcPr>
          <w:p>
            <w:pPr>
              <w:jc w:val="right"/>
              <w:ind w:right="31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108,241</w:t>
            </w: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382,781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Managed-only</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5,238</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5,749</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4,049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00" w:type="dxa"/>
            <w:vAlign w:val="bottom"/>
            <w:tcBorders>
              <w:bottom w:val="single" w:sz="8" w:color="CFF0FC"/>
            </w:tcBorders>
            <w:gridSpan w:val="2"/>
          </w:tcPr>
          <w:p>
            <w:pPr>
              <w:ind w:left="220"/>
              <w:spacing w:after="0"/>
              <w:rPr>
                <w:sz w:val="20"/>
                <w:szCs w:val="20"/>
                <w:color w:val="auto"/>
              </w:rPr>
            </w:pPr>
            <w:r>
              <w:rPr>
                <w:rFonts w:ascii="Arial" w:cs="Arial" w:eastAsia="Arial" w:hAnsi="Arial"/>
                <w:sz w:val="17"/>
                <w:szCs w:val="17"/>
                <w:color w:val="auto"/>
              </w:rPr>
              <w:t>Corporate and other</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25,752</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20,541</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28,611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capital expenditures</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114,747</w:t>
            </w:r>
          </w:p>
        </w:tc>
        <w:tc>
          <w:tcPr>
            <w:tcW w:w="660" w:type="dxa"/>
            <w:vAlign w:val="bottom"/>
            <w:gridSpan w:val="2"/>
            <w:shd w:val="clear" w:color="auto" w:fill="CFF0FC"/>
          </w:tcPr>
          <w:p>
            <w:pPr>
              <w:jc w:val="right"/>
              <w:ind w:right="31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4"/>
              </w:rPr>
              <w:t>134,531</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87"/>
              </w:rPr>
              <w:t>415,441</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9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3"/>
            <w:vMerge w:val="restart"/>
          </w:tcPr>
          <w:p>
            <w:pPr>
              <w:ind w:left="600"/>
              <w:spacing w:after="0"/>
              <w:rPr>
                <w:sz w:val="20"/>
                <w:szCs w:val="20"/>
                <w:color w:val="auto"/>
              </w:rPr>
            </w:pPr>
            <w:r>
              <w:rPr>
                <w:rFonts w:ascii="Arial" w:cs="Arial" w:eastAsia="Arial" w:hAnsi="Arial"/>
                <w:sz w:val="17"/>
                <w:szCs w:val="17"/>
                <w:color w:val="auto"/>
              </w:rPr>
              <w:t>The total assets are as follows (in thousands):</w:t>
            </w: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66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50"/>
              <w:spacing w:after="0" w:line="150"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20"/>
              <w:spacing w:after="0" w:line="150" w:lineRule="exact"/>
              <w:rPr>
                <w:sz w:val="20"/>
                <w:szCs w:val="20"/>
                <w:color w:val="auto"/>
              </w:rPr>
            </w:pPr>
            <w:r>
              <w:rPr>
                <w:rFonts w:ascii="Arial" w:cs="Arial" w:eastAsia="Arial" w:hAnsi="Arial"/>
                <w:sz w:val="14"/>
                <w:szCs w:val="14"/>
                <w:color w:val="auto"/>
                <w:w w:val="83"/>
              </w:rPr>
              <w:t>2016</w:t>
            </w:r>
          </w:p>
        </w:tc>
        <w:tc>
          <w:tcPr>
            <w:tcW w:w="80" w:type="dxa"/>
            <w:vAlign w:val="bottom"/>
            <w:tcBorders>
              <w:bottom w:val="single" w:sz="8" w:color="CFF0FC"/>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40" w:type="dxa"/>
            <w:vAlign w:val="bottom"/>
          </w:tcPr>
          <w:p>
            <w:pPr>
              <w:ind w:left="240"/>
              <w:spacing w:after="0"/>
              <w:rPr>
                <w:sz w:val="20"/>
                <w:szCs w:val="20"/>
                <w:color w:val="auto"/>
              </w:rPr>
            </w:pPr>
            <w:r>
              <w:rPr>
                <w:rFonts w:ascii="Arial" w:cs="Arial" w:eastAsia="Arial" w:hAnsi="Arial"/>
                <w:sz w:val="17"/>
                <w:szCs w:val="17"/>
                <w:color w:val="auto"/>
              </w:rPr>
              <w:t>Owned and managed</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2,827,928</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2,841,799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Managed-only</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59,805</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62,292</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Corporate and other</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384,665</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367,513</w:t>
            </w:r>
          </w:p>
        </w:tc>
        <w:tc>
          <w:tcPr>
            <w:tcW w:w="80" w:type="dxa"/>
            <w:vAlign w:val="bottom"/>
            <w:tcBorders>
              <w:bottom w:val="single" w:sz="8" w:color="CFF0FC"/>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3,272,398</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9"/>
              </w:rPr>
              <w:t>3,271,604</w:t>
            </w:r>
          </w:p>
        </w:tc>
        <w:tc>
          <w:tcPr>
            <w:tcW w:w="8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bottom w:val="single" w:sz="8" w:color="CFF0FC"/>
            </w:tcBorders>
            <w:gridSpan w:val="2"/>
            <w:vMerge w:val="restart"/>
          </w:tcPr>
          <w:p>
            <w:pPr>
              <w:jc w:val="right"/>
              <w:ind w:right="844"/>
              <w:spacing w:after="0"/>
              <w:rPr>
                <w:sz w:val="20"/>
                <w:szCs w:val="20"/>
                <w:color w:val="auto"/>
              </w:rPr>
            </w:pPr>
            <w:r>
              <w:rPr>
                <w:rFonts w:ascii="Arial" w:cs="Arial" w:eastAsia="Arial" w:hAnsi="Arial"/>
                <w:sz w:val="17"/>
                <w:szCs w:val="17"/>
                <w:color w:val="auto"/>
              </w:rPr>
              <w:t>F-36</w:t>
            </w: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51" w:right="219" w:bottom="1440" w:gutter="0" w:footer="0" w:header="0"/>
        </w:sectPr>
      </w:pPr>
    </w:p>
    <w:bookmarkStart w:id="127" w:name="page128"/>
    <w:bookmarkEnd w:id="127"/>
    <w:p>
      <w:pPr>
        <w:ind w:left="600" w:hanging="595"/>
        <w:spacing w:after="0"/>
        <w:tabs>
          <w:tab w:leader="none" w:pos="6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Effective January 1, 2018, CoreCivic closed on the acquisition of Rocky Mountain Offender Management Systems, LLC, which provides non-residential correctional alternatives, including electronic monitoring and case management services, to municipal, county, and state governments in eight states. The aggregate purchase price was $7.0 million, excluding transaction-related expenses.</w:t>
      </w:r>
    </w:p>
    <w:p>
      <w:pPr>
        <w:spacing w:after="0" w:line="170"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On January 19, 2018, CoreCivic acquired the 261,000 square-foot Capital Commerce Center, located in Tallahassee, Florida for a purchase price of $44.7 million, excluding transaction-related costs and certain closing credits. Capital Commerce Center is 98% leased, and 87% leased to the state of Florida on behalf of the Florida Department of Business and Professional Regulation. The acquisition was financed with a $24.5 million non-recourse mortgage note, which is fully-secured by the Capital Commerce Center property, with an interest rate of 4.5%, maturing in 2033, and cash from CoreCivic's $900.0 Million Revolving Credit Facility.</w:t>
      </w:r>
    </w:p>
    <w:p>
      <w:pPr>
        <w:spacing w:after="0" w:line="177"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On January 24, 2018, CoreCivic entered into a 20-year lease agreement with the Kansas Department of Corrections for a 2,432-bed correctional facility the Company will construct in Lansing, Kansas. The new facility will replace the Lansing Correctional Facility, the State's largest correctional complex for adult male inmates, originally constructed in 1863. CoreCivic will be responsible for facility maintenance throughout the 20-year term of the lease, at which time ownership will revert to the State. Construction of the new facility is expected to commence in the first quarter of 2018 with a timeline for completion of approximately 24 months.</w:t>
      </w:r>
    </w:p>
    <w:p>
      <w:pPr>
        <w:spacing w:after="0" w:line="177" w:lineRule="exact"/>
        <w:rPr>
          <w:rFonts w:ascii="Arial" w:cs="Arial" w:eastAsia="Arial" w:hAnsi="Arial"/>
          <w:sz w:val="17"/>
          <w:szCs w:val="17"/>
          <w:b w:val="1"/>
          <w:bCs w:val="1"/>
          <w:color w:val="auto"/>
        </w:rPr>
      </w:pPr>
    </w:p>
    <w:p>
      <w:pPr>
        <w:jc w:val="both"/>
        <w:ind w:left="60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During February 2018, CoreCivic issued approximately 0.9 million RSUs to certain of CoreCivic's employees and non-employee directors, with an aggregate value of $19.8 million. Unless earlier vested under the terms of the RSU agreement, approximately 0.6 million RSUs were issued to officers and executive officers and are subject to vesting over a three-year period based upon satisfaction of certain annual performance criteria for the fiscal years ending December 31, 2018, 2019, and 2020. Approximately 0.3 million RSUs issued to other employees vest evenly on the first, second, and third anniversary of the award. Shares of RSUs issued to non-employee directors vest on the first anniversary of the award. Any RSUs that become vested will be settled in shares of CoreCivic's common stock.</w:t>
      </w:r>
    </w:p>
    <w:p>
      <w:pPr>
        <w:spacing w:after="0" w:line="181" w:lineRule="exact"/>
        <w:rPr>
          <w:rFonts w:ascii="Arial" w:cs="Arial" w:eastAsia="Arial" w:hAnsi="Arial"/>
          <w:sz w:val="17"/>
          <w:szCs w:val="17"/>
          <w:b w:val="1"/>
          <w:bCs w:val="1"/>
          <w:color w:val="auto"/>
        </w:rPr>
      </w:pPr>
    </w:p>
    <w:p>
      <w:pPr>
        <w:ind w:left="60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On February 22, 2018, the Company's Board of Directors declared a quarterly dividend of $0.43 per common share payable April 16, 2018 to stockholders of record on April 2, 2018.</w:t>
      </w:r>
    </w:p>
    <w:p>
      <w:pPr>
        <w:spacing w:after="0" w:line="256" w:lineRule="exact"/>
        <w:rPr>
          <w:rFonts w:ascii="Arial" w:cs="Arial" w:eastAsia="Arial" w:hAnsi="Arial"/>
          <w:sz w:val="17"/>
          <w:szCs w:val="17"/>
          <w:b w:val="1"/>
          <w:bCs w:val="1"/>
          <w:color w:val="auto"/>
        </w:rPr>
      </w:pPr>
    </w:p>
    <w:p>
      <w:pPr>
        <w:ind w:left="600" w:hanging="595"/>
        <w:spacing w:after="0"/>
        <w:tabs>
          <w:tab w:leader="none" w:pos="6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CONDENSED CONSOLIDATING FINANCIAL STATEMENTS OF CORECIVIC AND SUBSIDIARIES</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following condensed consolidating financial statements of CoreCivic and subsidiaries have been prepared pursuant to Rule 3-10 of Regulation S-X. These condensed consolidating financial statements have been prepared from the Company's financial information on the same basis of accounting as the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As of 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Combined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vMerge w:val="restart"/>
          </w:tcPr>
          <w:p>
            <w:pPr>
              <w:jc w:val="center"/>
              <w:ind w:left="713"/>
              <w:spacing w:after="0"/>
              <w:rPr>
                <w:sz w:val="20"/>
                <w:szCs w:val="20"/>
                <w:color w:val="auto"/>
              </w:rPr>
            </w:pPr>
            <w:r>
              <w:rPr>
                <w:rFonts w:ascii="Arial" w:cs="Arial" w:eastAsia="Arial" w:hAnsi="Arial"/>
                <w:sz w:val="14"/>
                <w:szCs w:val="14"/>
                <w:b w:val="1"/>
                <w:bCs w:val="1"/>
                <w:color w:val="auto"/>
                <w:w w:val="92"/>
              </w:rPr>
              <w:t>ASSETS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1000" w:type="dxa"/>
            <w:vAlign w:val="bottom"/>
          </w:tcPr>
          <w:p>
            <w:pPr>
              <w:jc w:val="center"/>
              <w:ind w:right="75"/>
              <w:spacing w:after="0" w:line="144" w:lineRule="exact"/>
              <w:rPr>
                <w:sz w:val="20"/>
                <w:szCs w:val="20"/>
                <w:color w:val="auto"/>
              </w:rPr>
            </w:pPr>
            <w:r>
              <w:rPr>
                <w:rFonts w:ascii="Arial" w:cs="Arial" w:eastAsia="Arial" w:hAnsi="Arial"/>
                <w:sz w:val="14"/>
                <w:szCs w:val="14"/>
                <w:b w:val="1"/>
                <w:bCs w:val="1"/>
                <w:color w:val="auto"/>
                <w:w w:val="89"/>
              </w:rPr>
              <w:t>Subsidiary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Guarantors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Amounts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25,745</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26,438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52,183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Accounts receivable, net of allowance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211,673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372,755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(330,240)</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254,188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24,986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(5,702)</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21,119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7"/>
                <w:szCs w:val="17"/>
                <w:color w:val="auto"/>
              </w:rPr>
              <w:t>Total current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239,253</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424,179</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(335,942)</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327,490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2,467,166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335,283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2,802,449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Goodwill</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26,031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14,896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Non-current deferred tax assets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13,193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(379)</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12,814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Other assets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421,474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69,117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(401,873)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88,718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assets</w:t>
            </w:r>
          </w:p>
        </w:tc>
        <w:tc>
          <w:tcPr>
            <w:tcW w:w="9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3,153,924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856,668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(738,194)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3,272,398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jc w:val="center"/>
              <w:ind w:left="733"/>
              <w:spacing w:after="0"/>
              <w:rPr>
                <w:sz w:val="20"/>
                <w:szCs w:val="20"/>
                <w:color w:val="auto"/>
              </w:rPr>
            </w:pPr>
            <w:r>
              <w:rPr>
                <w:rFonts w:ascii="Arial" w:cs="Arial" w:eastAsia="Arial" w:hAnsi="Arial"/>
                <w:sz w:val="17"/>
                <w:szCs w:val="17"/>
                <w:b w:val="1"/>
                <w:bCs w:val="1"/>
                <w:color w:val="auto"/>
              </w:rPr>
              <w:t>LIABILITIES AND STOCKHOLDERS'</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jc w:val="center"/>
              <w:ind w:left="713"/>
              <w:spacing w:after="0"/>
              <w:rPr>
                <w:sz w:val="20"/>
                <w:szCs w:val="20"/>
                <w:color w:val="auto"/>
              </w:rPr>
            </w:pPr>
            <w:r>
              <w:rPr>
                <w:rFonts w:ascii="Arial" w:cs="Arial" w:eastAsia="Arial" w:hAnsi="Arial"/>
                <w:sz w:val="17"/>
                <w:szCs w:val="17"/>
                <w:b w:val="1"/>
                <w:bCs w:val="1"/>
                <w:color w:val="auto"/>
              </w:rPr>
              <w:t>EQUITY</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accrued expenses</w:t>
            </w:r>
          </w:p>
        </w:tc>
        <w:tc>
          <w:tcPr>
            <w:tcW w:w="8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251,011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362,701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(335,908)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277,804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Income taxes payable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1,443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7"/>
                <w:szCs w:val="17"/>
                <w:color w:val="auto"/>
              </w:rPr>
              <w:t>Total current liabilities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262,454</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364,292</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(335,908)</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290,838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1,437,982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114,205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(115,000)</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1,437,187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(379)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39,735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7"/>
                <w:szCs w:val="17"/>
                <w:color w:val="auto"/>
              </w:rPr>
              <w:t>Other liabilities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1,501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51,529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53,030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1,702,316</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569,761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(451,287)</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1,820,790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stockholders' equity</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1,451,608</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286,907</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(286,907)</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1,451,608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7"/>
                <w:szCs w:val="17"/>
                <w:color w:val="auto"/>
              </w:rPr>
              <w:t>Total liabilities and stockholders' equity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3,153,924</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856,668</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(738,194)</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3,272,398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5000" w:type="dxa"/>
            <w:vAlign w:val="bottom"/>
          </w:tcPr>
          <w:p>
            <w:pPr>
              <w:spacing w:after="0"/>
              <w:rPr>
                <w:sz w:val="24"/>
                <w:szCs w:val="24"/>
                <w:color w:val="auto"/>
              </w:rPr>
            </w:pPr>
          </w:p>
        </w:tc>
        <w:tc>
          <w:tcPr>
            <w:tcW w:w="1180" w:type="dxa"/>
            <w:vAlign w:val="bottom"/>
            <w:gridSpan w:val="3"/>
          </w:tcPr>
          <w:p>
            <w:pPr>
              <w:jc w:val="right"/>
              <w:ind w:right="213"/>
              <w:spacing w:after="0"/>
              <w:rPr>
                <w:sz w:val="20"/>
                <w:szCs w:val="20"/>
                <w:color w:val="auto"/>
              </w:rPr>
            </w:pPr>
            <w:r>
              <w:rPr>
                <w:rFonts w:ascii="Arial" w:cs="Arial" w:eastAsia="Arial" w:hAnsi="Arial"/>
                <w:sz w:val="17"/>
                <w:szCs w:val="17"/>
                <w:color w:val="auto"/>
              </w:rPr>
              <w:t>F-38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As of December 31, 2016</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Combined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0" w:type="dxa"/>
            <w:vAlign w:val="bottom"/>
            <w:vMerge w:val="restart"/>
          </w:tcPr>
          <w:p>
            <w:pPr>
              <w:jc w:val="center"/>
              <w:ind w:left="713"/>
              <w:spacing w:after="0"/>
              <w:rPr>
                <w:sz w:val="20"/>
                <w:szCs w:val="20"/>
                <w:color w:val="auto"/>
              </w:rPr>
            </w:pPr>
            <w:r>
              <w:rPr>
                <w:rFonts w:ascii="Arial" w:cs="Arial" w:eastAsia="Arial" w:hAnsi="Arial"/>
                <w:sz w:val="14"/>
                <w:szCs w:val="14"/>
                <w:b w:val="1"/>
                <w:bCs w:val="1"/>
                <w:color w:val="auto"/>
                <w:w w:val="92"/>
              </w:rPr>
              <w:t>ASSETS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Parent</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5"/>
              <w:spacing w:after="0" w:line="144" w:lineRule="exact"/>
              <w:rPr>
                <w:sz w:val="20"/>
                <w:szCs w:val="20"/>
                <w:color w:val="auto"/>
              </w:rPr>
            </w:pPr>
            <w:r>
              <w:rPr>
                <w:rFonts w:ascii="Arial" w:cs="Arial" w:eastAsia="Arial" w:hAnsi="Arial"/>
                <w:sz w:val="14"/>
                <w:szCs w:val="14"/>
                <w:b w:val="1"/>
                <w:bCs w:val="1"/>
                <w:color w:val="auto"/>
                <w:w w:val="89"/>
              </w:rPr>
              <w:t>Subsidiary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Guarantors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Amounts</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18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26,333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37,711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7"/>
                <w:szCs w:val="17"/>
                <w:color w:val="auto"/>
              </w:rPr>
              <w:t>Accounts receivable, net of allowance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237,495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270,952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(278,562)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229,885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(6,477)</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240"/>
              <w:spacing w:after="0"/>
              <w:rPr>
                <w:sz w:val="20"/>
                <w:szCs w:val="20"/>
                <w:color w:val="auto"/>
              </w:rPr>
            </w:pPr>
            <w:r>
              <w:rPr>
                <w:rFonts w:ascii="Arial" w:cs="Arial" w:eastAsia="Arial" w:hAnsi="Arial"/>
                <w:sz w:val="17"/>
                <w:szCs w:val="17"/>
                <w:color w:val="auto"/>
              </w:rPr>
              <w:t>Total current assets</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256,455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(285,039)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298,824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2,493,025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344,632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2,837,657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7"/>
                <w:szCs w:val="17"/>
                <w:color w:val="auto"/>
              </w:rPr>
              <w:t>Goodwill</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38,386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Non-current deferred tax assets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7"/>
                <w:szCs w:val="17"/>
                <w:color w:val="auto"/>
              </w:rPr>
              <w:t>Other assets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339,391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57,873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(314,262)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 assets</w:t>
            </w:r>
          </w:p>
        </w:tc>
        <w:tc>
          <w:tcPr>
            <w:tcW w:w="940" w:type="dxa"/>
            <w:vAlign w:val="bottom"/>
            <w:gridSpan w:val="2"/>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3,112,102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759,124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(599,622)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3,271,604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jc w:val="center"/>
              <w:ind w:left="733"/>
              <w:spacing w:after="0"/>
              <w:rPr>
                <w:sz w:val="20"/>
                <w:szCs w:val="20"/>
                <w:color w:val="auto"/>
              </w:rPr>
            </w:pPr>
            <w:r>
              <w:rPr>
                <w:rFonts w:ascii="Arial" w:cs="Arial" w:eastAsia="Arial" w:hAnsi="Arial"/>
                <w:sz w:val="17"/>
                <w:szCs w:val="17"/>
                <w:b w:val="1"/>
                <w:bCs w:val="1"/>
                <w:color w:val="auto"/>
              </w:rPr>
              <w:t>LIABILITIES AND STOCKHOLDERS'</w:t>
            </w: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jc w:val="center"/>
              <w:ind w:left="713"/>
              <w:spacing w:after="0"/>
              <w:rPr>
                <w:sz w:val="20"/>
                <w:szCs w:val="20"/>
                <w:color w:val="auto"/>
              </w:rPr>
            </w:pPr>
            <w:r>
              <w:rPr>
                <w:rFonts w:ascii="Arial" w:cs="Arial" w:eastAsia="Arial" w:hAnsi="Arial"/>
                <w:sz w:val="17"/>
                <w:szCs w:val="17"/>
                <w:b w:val="1"/>
                <w:bCs w:val="1"/>
                <w:color w:val="auto"/>
              </w:rPr>
              <w:t>EQUITY</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accrued expenses</w:t>
            </w:r>
          </w:p>
        </w:tc>
        <w:tc>
          <w:tcPr>
            <w:tcW w:w="118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203,074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342,072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(285,039)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260,107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7"/>
                <w:szCs w:val="17"/>
                <w:color w:val="auto"/>
              </w:rPr>
              <w:t>Income taxes payable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7"/>
                <w:szCs w:val="17"/>
                <w:color w:val="auto"/>
              </w:rPr>
              <w:t>Total current liabilities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214,924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342,308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(285,039)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272,193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1,436,186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113,983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(115,000)</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1,435,169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53,437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53,437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liabilities</w:t>
            </w: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50,134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51,842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1,653,139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559,862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(400,360)</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1,812,641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stockholders' equity</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1,458,963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199,262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(199,262)</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1,458,963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240"/>
              <w:spacing w:after="0"/>
              <w:rPr>
                <w:sz w:val="20"/>
                <w:szCs w:val="20"/>
                <w:color w:val="auto"/>
              </w:rPr>
            </w:pPr>
            <w:r>
              <w:rPr>
                <w:rFonts w:ascii="Arial" w:cs="Arial" w:eastAsia="Arial" w:hAnsi="Arial"/>
                <w:sz w:val="17"/>
                <w:szCs w:val="17"/>
                <w:color w:val="auto"/>
              </w:rPr>
              <w:t>Total liabilities and stockholders' equity</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3,112,102</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759,124</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(599,622)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3,271,604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00" w:type="dxa"/>
            <w:vAlign w:val="bottom"/>
          </w:tcPr>
          <w:p>
            <w:pPr>
              <w:spacing w:after="0"/>
              <w:rPr>
                <w:sz w:val="24"/>
                <w:szCs w:val="24"/>
                <w:color w:val="auto"/>
              </w:rPr>
            </w:pPr>
          </w:p>
        </w:tc>
        <w:tc>
          <w:tcPr>
            <w:tcW w:w="1180" w:type="dxa"/>
            <w:vAlign w:val="bottom"/>
            <w:gridSpan w:val="3"/>
          </w:tcPr>
          <w:p>
            <w:pPr>
              <w:jc w:val="right"/>
              <w:ind w:right="213"/>
              <w:spacing w:after="0"/>
              <w:rPr>
                <w:sz w:val="20"/>
                <w:szCs w:val="20"/>
                <w:color w:val="auto"/>
              </w:rPr>
            </w:pPr>
            <w:r>
              <w:rPr>
                <w:rFonts w:ascii="Arial" w:cs="Arial" w:eastAsia="Arial" w:hAnsi="Arial"/>
                <w:sz w:val="17"/>
                <w:szCs w:val="17"/>
                <w:color w:val="auto"/>
              </w:rPr>
              <w:t>F-39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7"/>
          <w:szCs w:val="17"/>
          <w:b w:val="1"/>
          <w:bCs w:val="1"/>
          <w:color w:val="auto"/>
        </w:rPr>
        <w:t>CONDENSED CONSOLIDATING STATEMENT OF OPERATIONS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Amounts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1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1,194,690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1,454,194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(883,386)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1,765,498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914,443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1,218,480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(883,386)</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1,249,537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36,964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70,858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107,822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87,694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59,435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147,129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7"/>
                <w:szCs w:val="17"/>
                <w:color w:val="auto"/>
              </w:rPr>
              <w:t>Asset impairments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1,039,401</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1,349,087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(883,386)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1,505,102</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OPERATING INCOME</w:t>
            </w:r>
          </w:p>
        </w:tc>
        <w:tc>
          <w:tcPr>
            <w:tcW w:w="1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155,289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105,107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260,396</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(INCOME) EXPENSE:</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7"/>
                <w:szCs w:val="17"/>
                <w:color w:val="auto"/>
              </w:rPr>
              <w:t>Interest expense,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56,712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11,823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68,535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(255)</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56,457</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11,926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68,445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BEFORE INCOME TAXES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98,832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93,181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191,951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7"/>
                <w:szCs w:val="17"/>
                <w:color w:val="auto"/>
              </w:rPr>
              <w:t>Income tax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(1,765)</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(12,146)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(13,911)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INCOME BEFORE EQUITY IN SUBSIDIARIES</w:t>
            </w:r>
          </w:p>
        </w:tc>
        <w:tc>
          <w:tcPr>
            <w:tcW w:w="1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97,067</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81,035</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7"/>
                <w:szCs w:val="17"/>
                <w:color w:val="auto"/>
              </w:rPr>
              <w:t>Income from equity in subsidiaries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80,973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(80,973)</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81,035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(81,035)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178,040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4640" w:type="dxa"/>
            <w:vAlign w:val="bottom"/>
          </w:tcPr>
          <w:p>
            <w:pPr>
              <w:spacing w:after="0"/>
              <w:rPr>
                <w:sz w:val="24"/>
                <w:szCs w:val="24"/>
                <w:color w:val="auto"/>
              </w:rPr>
            </w:pPr>
          </w:p>
        </w:tc>
        <w:tc>
          <w:tcPr>
            <w:tcW w:w="1540" w:type="dxa"/>
            <w:vAlign w:val="bottom"/>
            <w:gridSpan w:val="2"/>
          </w:tcPr>
          <w:p>
            <w:pPr>
              <w:jc w:val="right"/>
              <w:ind w:right="213"/>
              <w:spacing w:after="0"/>
              <w:rPr>
                <w:sz w:val="20"/>
                <w:szCs w:val="20"/>
                <w:color w:val="auto"/>
              </w:rPr>
            </w:pPr>
            <w:r>
              <w:rPr>
                <w:rFonts w:ascii="Arial" w:cs="Arial" w:eastAsia="Arial" w:hAnsi="Arial"/>
                <w:sz w:val="17"/>
                <w:szCs w:val="17"/>
                <w:color w:val="auto"/>
              </w:rPr>
              <w:t>F-40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7"/>
          <w:szCs w:val="17"/>
          <w:b w:val="1"/>
          <w:bCs w:val="1"/>
          <w:color w:val="auto"/>
        </w:rPr>
        <w:t>CONDENSED CONSOLIDATING STATEMENT OF OPERATIONS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2016</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Parent</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4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Amounts</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154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1,182,765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1,542,231</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(875,211)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1,849,785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904,750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1,246,047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(875,211)</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1,275,586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35,440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71,587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84,842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81,904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166,746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Restructuring charges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1,025,229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1,403,351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(875,211)</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1,553,369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OPERATING INCOME</w:t>
            </w:r>
          </w:p>
        </w:tc>
        <w:tc>
          <w:tcPr>
            <w:tcW w:w="13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157,536</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138,880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296,416</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(INCOME) EXPENSE:</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Interest expense,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51,928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52,923</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15,279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68,244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BEFORE INCOME TAXES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104,613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123,601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228,172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Income tax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(1,896)</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(6,357)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INCOME BEFORE EQUITY IN SUBSIDIARIES</w:t>
            </w:r>
          </w:p>
        </w:tc>
        <w:tc>
          <w:tcPr>
            <w:tcW w:w="1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vMerge w:val="continue"/>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102,717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Income from equity in subsidiaries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117,202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(117,202)</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INCOME</w:t>
            </w:r>
          </w:p>
        </w:tc>
        <w:tc>
          <w:tcPr>
            <w:tcW w:w="1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vMerge w:val="continue"/>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117,244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(117,244)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219,919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4640" w:type="dxa"/>
            <w:vAlign w:val="bottom"/>
          </w:tcPr>
          <w:p>
            <w:pPr>
              <w:spacing w:after="0"/>
              <w:rPr>
                <w:sz w:val="24"/>
                <w:szCs w:val="24"/>
                <w:color w:val="auto"/>
              </w:rPr>
            </w:pPr>
          </w:p>
        </w:tc>
        <w:tc>
          <w:tcPr>
            <w:tcW w:w="1540" w:type="dxa"/>
            <w:vAlign w:val="bottom"/>
            <w:gridSpan w:val="2"/>
          </w:tcPr>
          <w:p>
            <w:pPr>
              <w:jc w:val="right"/>
              <w:ind w:right="213"/>
              <w:spacing w:after="0"/>
              <w:rPr>
                <w:sz w:val="20"/>
                <w:szCs w:val="20"/>
                <w:color w:val="auto"/>
              </w:rPr>
            </w:pPr>
            <w:r>
              <w:rPr>
                <w:rFonts w:ascii="Arial" w:cs="Arial" w:eastAsia="Arial" w:hAnsi="Arial"/>
                <w:sz w:val="17"/>
                <w:szCs w:val="17"/>
                <w:color w:val="auto"/>
              </w:rPr>
              <w:t>F-41</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7"/>
          <w:szCs w:val="17"/>
          <w:b w:val="1"/>
          <w:bCs w:val="1"/>
          <w:color w:val="auto"/>
        </w:rPr>
        <w:t>CONDENSED CONSOLIDATING STATEMENT OF OPERATIONS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2015</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Parent</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4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8"/>
              </w:rPr>
              <w:t>Amounts</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154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1,184,878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1,469,105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(860,896)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1,793,087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889,203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1,227,821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(860,896)</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1,256,128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33,248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70,688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82,745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151,514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Asset impairments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1,005,196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1,368,233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(860,896)</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1,512,533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OPERATING INCOME</w:t>
            </w:r>
          </w:p>
        </w:tc>
        <w:tc>
          <w:tcPr>
            <w:tcW w:w="13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179,682</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100,872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280,554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(INCOME) EXPENSE:</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Interest expense,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35,919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Expenses associated with debt refinancing</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transactions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7"/>
                <w:szCs w:val="17"/>
                <w:color w:val="auto"/>
              </w:rPr>
              <w:t>Other (income)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36,852</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13,363</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50,339</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b w:val="1"/>
                <w:bCs w:val="1"/>
                <w:color w:val="auto"/>
              </w:rPr>
              <w:t>INCOME BEFORE INCOME TAXES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142,830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87,509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tax expense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(1,541)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(6,820)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rPr>
              <w:t>INCOME BEFORE EQUITY IN SUBSIDIARIES</w:t>
            </w: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141,289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80,689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221,854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from equity in subsidiaries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80,565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(80,565)</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rPr>
              <w:t>NET INCOME</w:t>
            </w: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221,854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80,689</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(80,689)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221,854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4640" w:type="dxa"/>
            <w:vAlign w:val="bottom"/>
          </w:tcPr>
          <w:p>
            <w:pPr>
              <w:spacing w:after="0"/>
              <w:rPr>
                <w:sz w:val="24"/>
                <w:szCs w:val="24"/>
                <w:color w:val="auto"/>
              </w:rPr>
            </w:pPr>
          </w:p>
        </w:tc>
        <w:tc>
          <w:tcPr>
            <w:tcW w:w="1540" w:type="dxa"/>
            <w:vAlign w:val="bottom"/>
            <w:gridSpan w:val="2"/>
          </w:tcPr>
          <w:p>
            <w:pPr>
              <w:jc w:val="right"/>
              <w:ind w:right="213"/>
              <w:spacing w:after="0"/>
              <w:rPr>
                <w:sz w:val="20"/>
                <w:szCs w:val="20"/>
                <w:color w:val="auto"/>
              </w:rPr>
            </w:pPr>
            <w:r>
              <w:rPr>
                <w:rFonts w:ascii="Arial" w:cs="Arial" w:eastAsia="Arial" w:hAnsi="Arial"/>
                <w:sz w:val="17"/>
                <w:szCs w:val="17"/>
                <w:color w:val="auto"/>
              </w:rPr>
              <w:t>F-42</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7"/>
          <w:szCs w:val="17"/>
          <w:b w:val="1"/>
          <w:bCs w:val="1"/>
          <w:color w:val="auto"/>
        </w:rPr>
        <w:t>CONDENSED CONSOLIDATING STATEMENT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444"/>
              <w:spacing w:after="0"/>
              <w:rPr>
                <w:sz w:val="20"/>
                <w:szCs w:val="20"/>
                <w:color w:val="auto"/>
              </w:rPr>
            </w:pPr>
            <w:r>
              <w:rPr>
                <w:rFonts w:ascii="Arial" w:cs="Arial" w:eastAsia="Arial" w:hAnsi="Arial"/>
                <w:sz w:val="14"/>
                <w:szCs w:val="14"/>
                <w:b w:val="1"/>
                <w:bCs w:val="1"/>
                <w:color w:val="auto"/>
                <w:w w:val="87"/>
              </w:rPr>
              <w:t>Consolidating</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424"/>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Guarantors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424"/>
              <w:spacing w:after="0"/>
              <w:rPr>
                <w:sz w:val="20"/>
                <w:szCs w:val="20"/>
                <w:color w:val="auto"/>
              </w:rPr>
            </w:pPr>
            <w:r>
              <w:rPr>
                <w:rFonts w:ascii="Arial" w:cs="Arial" w:eastAsia="Arial" w:hAnsi="Arial"/>
                <w:sz w:val="14"/>
                <w:szCs w:val="14"/>
                <w:b w:val="1"/>
                <w:bCs w:val="1"/>
                <w:color w:val="auto"/>
                <w:w w:val="93"/>
              </w:rPr>
              <w:t>And Other</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Amounts</w:t>
            </w:r>
          </w:p>
        </w:tc>
        <w:tc>
          <w:tcPr>
            <w:tcW w:w="0" w:type="dxa"/>
            <w:vAlign w:val="bottom"/>
          </w:tcPr>
          <w:p>
            <w:pPr>
              <w:spacing w:after="0"/>
              <w:rPr>
                <w:sz w:val="1"/>
                <w:szCs w:val="1"/>
                <w:color w:val="auto"/>
              </w:rPr>
            </w:pPr>
          </w:p>
        </w:tc>
      </w:tr>
      <w:tr>
        <w:trPr>
          <w:trHeight w:val="216"/>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276,055</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65,270</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7"/>
                <w:szCs w:val="17"/>
                <w:b w:val="1"/>
                <w:bCs w:val="1"/>
                <w:color w:val="auto"/>
                <w:w w:val="93"/>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341,325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(55,242)</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(69,320)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ind w:left="8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(124,562)</w:t>
            </w: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(206,446)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4,155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ind w:left="8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(202,291)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14,367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860"/>
              <w:spacing w:after="0"/>
              <w:rPr>
                <w:sz w:val="20"/>
                <w:szCs w:val="20"/>
                <w:color w:val="auto"/>
              </w:rPr>
            </w:pPr>
            <w:r>
              <w:rPr>
                <w:rFonts w:ascii="Arial" w:cs="Arial" w:eastAsia="Arial" w:hAnsi="Arial"/>
                <w:sz w:val="17"/>
                <w:szCs w:val="17"/>
                <w:b w:val="1"/>
                <w:bCs w:val="1"/>
                <w:color w:val="auto"/>
                <w:w w:val="93"/>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beginning</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11,378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26,333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3"/>
            <w:vMerge w:val="restart"/>
            <w:shd w:val="clear" w:color="auto" w:fill="CFF0FC"/>
          </w:tcPr>
          <w:p>
            <w:pPr>
              <w:ind w:left="860"/>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37,711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year</w:t>
            </w:r>
          </w:p>
        </w:tc>
        <w:tc>
          <w:tcPr>
            <w:tcW w:w="24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3"/>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25,745</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b w:val="1"/>
                <w:bCs w:val="1"/>
                <w:color w:val="auto"/>
                <w:w w:val="93"/>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CONSOLIDATING STATEMENT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2016</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Parent</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67"/>
        </w:trPr>
        <w:tc>
          <w:tcPr>
            <w:tcW w:w="59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Amounts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295,366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80,007</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(19,317)</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(69,571)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(33,300)</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(122,188)</w:t>
            </w: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(280,337)</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(33,728)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(280,765)</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7"/>
                <w:szCs w:val="17"/>
                <w:color w:val="auto"/>
              </w:rPr>
              <w:t>Net decrease in cash and cash equivalents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(4,288)</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(23,292)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(27,580)</w:t>
            </w: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beginning</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year</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15,666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11,378</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26,333</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CONSOLIDATING STATEMENT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year ended December 31, 2015</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Combined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Consolidating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Parent</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9"/>
              </w:rPr>
              <w:t>Subsidiary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0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And Other</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Amounts</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102,371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297,427</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399,798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(93,891)</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(212,215)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(103,175)</w:t>
            </w: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(409,281)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financing activities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(5,151)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(97,643)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103,175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7"/>
                <w:szCs w:val="17"/>
                <w:color w:val="auto"/>
              </w:rPr>
              <w:t>Net (decrease) increase in cash and cash equivalents</w:t>
            </w:r>
          </w:p>
        </w:tc>
        <w:tc>
          <w:tcPr>
            <w:tcW w:w="1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(12,431)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beginning</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year</w:t>
            </w:r>
          </w:p>
        </w:tc>
        <w:tc>
          <w:tcPr>
            <w:tcW w:w="1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12,337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62,056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74,393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15,666</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49,625</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65,291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0"/>
        </w:trPr>
        <w:tc>
          <w:tcPr>
            <w:tcW w:w="4600" w:type="dxa"/>
            <w:vAlign w:val="bottom"/>
          </w:tcPr>
          <w:p>
            <w:pPr>
              <w:spacing w:after="0"/>
              <w:rPr>
                <w:sz w:val="24"/>
                <w:szCs w:val="2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7"/>
                <w:szCs w:val="17"/>
                <w:color w:val="auto"/>
              </w:rPr>
              <w:t>F-43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134" w:name="page135"/>
    <w:bookmarkEnd w:id="134"/>
    <w:p>
      <w:pPr>
        <w:ind w:left="595" w:hanging="595"/>
        <w:spacing w:after="0"/>
        <w:tabs>
          <w:tab w:leader="none" w:pos="59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SELECTED QUARTERLY FINANCIAL INFORMATION (UNAUDITED)</w:t>
      </w:r>
    </w:p>
    <w:p>
      <w:pPr>
        <w:spacing w:after="0" w:line="124" w:lineRule="exact"/>
        <w:rPr>
          <w:rFonts w:ascii="Arial" w:cs="Arial" w:eastAsia="Arial" w:hAnsi="Arial"/>
          <w:sz w:val="17"/>
          <w:szCs w:val="17"/>
          <w:b w:val="1"/>
          <w:bCs w:val="1"/>
          <w:color w:val="auto"/>
        </w:rPr>
      </w:pPr>
    </w:p>
    <w:p>
      <w:pPr>
        <w:ind w:left="595"/>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Selected quarterly financial information for each of the quarters in the years ended December 31, 2017 and 2016 is as follows (in thousands, except per share data):</w:t>
      </w:r>
    </w:p>
    <w:p>
      <w:pPr>
        <w:spacing w:after="0" w:line="144" w:lineRule="exact"/>
        <w:rPr>
          <w:sz w:val="20"/>
          <w:szCs w:val="20"/>
          <w:color w:val="auto"/>
        </w:rPr>
      </w:pPr>
    </w:p>
    <w:tbl>
      <w:tblPr>
        <w:tblLayout w:type="fixed"/>
        <w:tblInd w:w="575"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7"/>
        </w:trPr>
        <w:tc>
          <w:tcPr>
            <w:tcW w:w="53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445,684</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436,393</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442,845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440,576</w:t>
            </w:r>
          </w:p>
        </w:tc>
        <w:tc>
          <w:tcPr>
            <w:tcW w:w="80" w:type="dxa"/>
            <w:vAlign w:val="bottom"/>
            <w:shd w:val="clear" w:color="auto" w:fill="CFF0FC"/>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Operating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69,039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65,279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60,815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65,263</w:t>
            </w: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50,047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45,475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41,178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41,340</w:t>
            </w:r>
          </w:p>
        </w:tc>
        <w:tc>
          <w:tcPr>
            <w:tcW w:w="80" w:type="dxa"/>
            <w:vAlign w:val="bottom"/>
            <w:shd w:val="clear" w:color="auto" w:fill="CFF0FC"/>
          </w:tcPr>
          <w:p>
            <w:pPr>
              <w:spacing w:after="0"/>
              <w:rPr>
                <w:sz w:val="19"/>
                <w:szCs w:val="19"/>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0.42</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0.38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0.35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0.35</w:t>
            </w:r>
          </w:p>
        </w:tc>
        <w:tc>
          <w:tcPr>
            <w:tcW w:w="80" w:type="dxa"/>
            <w:vAlign w:val="bottom"/>
            <w:shd w:val="clear" w:color="auto" w:fill="CFF0FC"/>
          </w:tcPr>
          <w:p>
            <w:pPr>
              <w:spacing w:after="0"/>
              <w:rPr>
                <w:sz w:val="19"/>
                <w:szCs w:val="19"/>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0.42</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0.38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0.35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0.35</w:t>
            </w:r>
          </w:p>
        </w:tc>
        <w:tc>
          <w:tcPr>
            <w:tcW w:w="80" w:type="dxa"/>
            <w:vAlign w:val="bottom"/>
            <w:shd w:val="clear" w:color="auto" w:fill="CFF0FC"/>
          </w:tcPr>
          <w:p>
            <w:pPr>
              <w:spacing w:after="0"/>
              <w:rPr>
                <w:sz w:val="19"/>
                <w:szCs w:val="19"/>
                <w:color w:val="auto"/>
              </w:rPr>
            </w:pPr>
          </w:p>
        </w:tc>
      </w:tr>
      <w:tr>
        <w:trPr>
          <w:trHeight w:val="554"/>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7"/>
        </w:trPr>
        <w:tc>
          <w:tcPr>
            <w:tcW w:w="53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4"/>
                <w:szCs w:val="14"/>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447,385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463,331</w:t>
            </w:r>
          </w:p>
        </w:tc>
        <w:tc>
          <w:tcPr>
            <w:tcW w:w="220" w:type="dxa"/>
            <w:vAlign w:val="bottom"/>
            <w:shd w:val="clear" w:color="auto" w:fill="CFF0FC"/>
          </w:tcPr>
          <w:p>
            <w:pPr>
              <w:spacing w:after="0"/>
              <w:rPr>
                <w:sz w:val="18"/>
                <w:szCs w:val="18"/>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474,935</w:t>
            </w:r>
          </w:p>
        </w:tc>
        <w:tc>
          <w:tcPr>
            <w:tcW w:w="2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464,134</w:t>
            </w:r>
          </w:p>
        </w:tc>
        <w:tc>
          <w:tcPr>
            <w:tcW w:w="80" w:type="dxa"/>
            <w:vAlign w:val="bottom"/>
            <w:shd w:val="clear" w:color="auto" w:fill="CFF0FC"/>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Operating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64,928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77,176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73,953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80,359</w:t>
            </w: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46,307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60,689</w:t>
            </w:r>
          </w:p>
        </w:tc>
        <w:tc>
          <w:tcPr>
            <w:tcW w:w="80" w:type="dxa"/>
            <w:vAlign w:val="bottom"/>
            <w:shd w:val="clear" w:color="auto" w:fill="CFF0FC"/>
          </w:tcPr>
          <w:p>
            <w:pPr>
              <w:spacing w:after="0"/>
              <w:rPr>
                <w:sz w:val="19"/>
                <w:szCs w:val="19"/>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0.49</w:t>
            </w:r>
          </w:p>
        </w:tc>
        <w:tc>
          <w:tcPr>
            <w:tcW w:w="22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0.47</w:t>
            </w:r>
          </w:p>
        </w:tc>
        <w:tc>
          <w:tcPr>
            <w:tcW w:w="2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FF0FC"/>
          </w:tcPr>
          <w:p>
            <w:pPr>
              <w:spacing w:after="0"/>
              <w:rPr>
                <w:sz w:val="19"/>
                <w:szCs w:val="19"/>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0.49</w:t>
            </w:r>
          </w:p>
        </w:tc>
        <w:tc>
          <w:tcPr>
            <w:tcW w:w="22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0.47</w:t>
            </w:r>
          </w:p>
        </w:tc>
        <w:tc>
          <w:tcPr>
            <w:tcW w:w="2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9297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15"/>
          </w:cols>
          <w:pgMar w:left="245" w:top="475"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Initial Cost to</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4"/>
                <w:szCs w:val="14"/>
                <w:b w:val="1"/>
                <w:bCs w:val="1"/>
                <w:color w:val="auto"/>
              </w:rPr>
              <w:t>Gross Amount at Which Carried at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Company</w:t>
            </w:r>
          </w:p>
        </w:tc>
        <w:tc>
          <w:tcPr>
            <w:tcW w:w="8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9"/>
              </w:rPr>
              <w:t>Close of Period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Buildings and</w:t>
            </w: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Buildings and</w:t>
            </w:r>
          </w:p>
        </w:tc>
        <w:tc>
          <w:tcPr>
            <w:tcW w:w="1000" w:type="dxa"/>
            <w:vAlign w:val="bottom"/>
            <w:gridSpan w:val="3"/>
          </w:tcPr>
          <w:p>
            <w:pPr>
              <w:jc w:val="center"/>
              <w:ind w:right="160"/>
              <w:spacing w:after="0" w:line="144" w:lineRule="exact"/>
              <w:rPr>
                <w:sz w:val="20"/>
                <w:szCs w:val="20"/>
                <w:color w:val="auto"/>
              </w:rPr>
            </w:pPr>
            <w:r>
              <w:rPr>
                <w:rFonts w:ascii="Arial" w:cs="Arial" w:eastAsia="Arial" w:hAnsi="Arial"/>
                <w:sz w:val="14"/>
                <w:szCs w:val="14"/>
                <w:b w:val="1"/>
                <w:bCs w:val="1"/>
                <w:color w:val="auto"/>
                <w:w w:val="91"/>
              </w:rPr>
              <w:t>Capitalized</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Land and Land</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760" w:type="dxa"/>
            <w:vAlign w:val="bottom"/>
            <w:vMerge w:val="restart"/>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Location</w:t>
            </w:r>
          </w:p>
        </w:tc>
        <w:tc>
          <w:tcPr>
            <w:tcW w:w="100" w:type="dxa"/>
            <w:vAlign w:val="bottom"/>
          </w:tcPr>
          <w:p>
            <w:pPr>
              <w:spacing w:after="0"/>
              <w:rPr>
                <w:sz w:val="12"/>
                <w:szCs w:val="12"/>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3"/>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Leasehold</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(A)</w:t>
            </w:r>
          </w:p>
        </w:tc>
        <w:tc>
          <w:tcPr>
            <w:tcW w:w="20" w:type="dxa"/>
            <w:vAlign w:val="bottom"/>
          </w:tcPr>
          <w:p>
            <w:pPr>
              <w:spacing w:after="0"/>
              <w:rPr>
                <w:sz w:val="12"/>
                <w:szCs w:val="12"/>
                <w:color w:val="auto"/>
              </w:rPr>
            </w:pPr>
          </w:p>
        </w:tc>
        <w:tc>
          <w:tcPr>
            <w:tcW w:w="9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1"/>
              </w:rPr>
              <w:t>Depreciation</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20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Improvements</w:t>
            </w: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60" w:type="dxa"/>
            <w:vAlign w:val="bottom"/>
          </w:tcPr>
          <w:p>
            <w:pPr>
              <w:spacing w:after="0"/>
              <w:rPr>
                <w:sz w:val="15"/>
                <w:szCs w:val="15"/>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CFF0FC"/>
            </w:tcBorders>
            <w:gridSpan w:val="2"/>
            <w:shd w:val="clear" w:color="auto" w:fill="CFF0FC"/>
          </w:tcPr>
          <w:p>
            <w:pPr>
              <w:spacing w:after="0" w:line="184" w:lineRule="exact"/>
              <w:rPr>
                <w:sz w:val="20"/>
                <w:szCs w:val="20"/>
                <w:color w:val="auto"/>
              </w:rPr>
            </w:pPr>
            <w:r>
              <w:rPr>
                <w:rFonts w:ascii="Arial" w:cs="Arial" w:eastAsia="Arial" w:hAnsi="Arial"/>
                <w:sz w:val="17"/>
                <w:szCs w:val="17"/>
                <w:color w:val="auto"/>
              </w:rPr>
              <w:t>Adams County Correctional</w:t>
            </w:r>
          </w:p>
        </w:tc>
        <w:tc>
          <w:tcPr>
            <w:tcW w:w="1100" w:type="dxa"/>
            <w:vAlign w:val="bottom"/>
            <w:tcBorders>
              <w:top w:val="single" w:sz="8" w:color="auto"/>
            </w:tcBorders>
            <w:shd w:val="clear" w:color="auto" w:fill="CFF0FC"/>
          </w:tcPr>
          <w:p>
            <w:pPr>
              <w:jc w:val="center"/>
              <w:spacing w:after="0" w:line="184" w:lineRule="exact"/>
              <w:rPr>
                <w:sz w:val="20"/>
                <w:szCs w:val="20"/>
                <w:color w:val="auto"/>
              </w:rPr>
            </w:pPr>
            <w:r>
              <w:rPr>
                <w:rFonts w:ascii="Arial" w:cs="Arial" w:eastAsia="Arial" w:hAnsi="Arial"/>
                <w:sz w:val="17"/>
                <w:szCs w:val="17"/>
                <w:color w:val="auto"/>
                <w:w w:val="94"/>
              </w:rPr>
              <w:t>Adams</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180" w:type="dxa"/>
            <w:vAlign w:val="bottom"/>
            <w:gridSpan w:val="2"/>
            <w:shd w:val="clear" w:color="auto" w:fill="CFF0FC"/>
          </w:tcPr>
          <w:p>
            <w:pPr>
              <w:jc w:val="center"/>
              <w:ind w:right="80"/>
              <w:spacing w:after="0"/>
              <w:rPr>
                <w:sz w:val="20"/>
                <w:szCs w:val="20"/>
                <w:color w:val="auto"/>
              </w:rPr>
            </w:pPr>
            <w:r>
              <w:rPr>
                <w:rFonts w:ascii="Arial" w:cs="Arial" w:eastAsia="Arial" w:hAnsi="Arial"/>
                <w:sz w:val="17"/>
                <w:szCs w:val="17"/>
                <w:color w:val="auto"/>
                <w:w w:val="92"/>
              </w:rPr>
              <w:t>County,</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Mississippi</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119,565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122,261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$ 123,350</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  (22,611)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Adams Transitional Center</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Denver,</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Colorado</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6,090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6,090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938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7,028</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Arapahoe Community</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Englewood,</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Treatment 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Colorado</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1,387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5,147</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(40)</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Augusta Transitional Center</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Augusta,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Georgia</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1,281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1,281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2,674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3,955</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(22)</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Austin Residential Reentry</w:t>
            </w:r>
          </w:p>
        </w:tc>
        <w:tc>
          <w:tcPr>
            <w:tcW w:w="1180" w:type="dxa"/>
            <w:vAlign w:val="bottom"/>
            <w:gridSpan w:val="2"/>
            <w:shd w:val="clear" w:color="auto" w:fill="CFF0FC"/>
          </w:tcPr>
          <w:p>
            <w:pPr>
              <w:jc w:val="center"/>
              <w:ind w:right="80"/>
              <w:spacing w:after="0"/>
              <w:rPr>
                <w:sz w:val="20"/>
                <w:szCs w:val="20"/>
                <w:color w:val="auto"/>
              </w:rPr>
            </w:pPr>
            <w:r>
              <w:rPr>
                <w:rFonts w:ascii="Arial" w:cs="Arial" w:eastAsia="Arial" w:hAnsi="Arial"/>
                <w:sz w:val="17"/>
                <w:szCs w:val="17"/>
                <w:color w:val="auto"/>
                <w:w w:val="96"/>
              </w:rPr>
              <w:t>Del Valle,</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86"/>
              </w:rPr>
              <w:t>Texas</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1,358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5,549</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(151)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Austin Transitional Center</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Del Valle,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Texas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19,488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4,607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19,497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5,470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24,967</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(518)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8"/>
              </w:rPr>
              <w:t>Bent County Correctional Facility</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Las Animas,</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Colorado</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13,115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67,576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79,866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81,241</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(23,896)</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Bridgeport Pre-Parole Transfer</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Bridgeport,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ind w:left="520"/>
              <w:spacing w:after="0"/>
              <w:rPr>
                <w:sz w:val="20"/>
                <w:szCs w:val="20"/>
                <w:color w:val="auto"/>
              </w:rPr>
            </w:pPr>
            <w:r>
              <w:rPr>
                <w:rFonts w:ascii="Arial" w:cs="Arial" w:eastAsia="Arial" w:hAnsi="Arial"/>
                <w:sz w:val="17"/>
                <w:szCs w:val="17"/>
                <w:color w:val="auto"/>
              </w:rPr>
              <w:t xml:space="preserve">70 </w:t>
            </w:r>
            <w:r>
              <w:rPr>
                <w:rFonts w:ascii="Arial" w:cs="Arial" w:eastAsia="Arial" w:hAnsi="Arial"/>
                <w:sz w:val="17"/>
                <w:szCs w:val="17"/>
                <w:b w:val="1"/>
                <w:bCs w:val="1"/>
                <w:color w:val="auto"/>
              </w:rPr>
              <w:t>(C)</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Texas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8"/>
              </w:rPr>
              <w:t>Broad Street Residential Reentry</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Philadelphia,</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0"/>
              </w:rPr>
              <w:t>Pennsylvania</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2,757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3,420</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(169)</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CAI Boston Avenue</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San Diego,</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rPr>
              <w:t>California</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11,440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12,083</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12,917</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(1,782)</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California City Correctional</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rPr>
              <w:t>California</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3"/>
              </w:rPr>
              <w:t>City,</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rPr>
              <w:t>California</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125,337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12,154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136,707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139,276</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(48,586)</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Carver Transitional Center</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Oklahoma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City,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Oklahoma</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8,562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4,631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5,654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14,253</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(525)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Centennial Community</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Englewood,</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Transition 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Colorado</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1,437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6,345</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(91)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Central Arizona Florence</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Florence,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Correctional Complex</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Arizona</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1,298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133,531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47,822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4,167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178,484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182,651</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(66,707)</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1994/1999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Chester Residential Reentry</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87"/>
              </w:rPr>
              <w:t>Chester,</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1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0"/>
              </w:rPr>
              <w:t>Pennsylvania</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2,679</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3,336</w:t>
            </w: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(162)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Cheyenne Transitional Center</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Cheyenne,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Wyoming</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5,567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2,092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5,567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2,497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8,064</w:t>
            </w:r>
          </w:p>
        </w:tc>
        <w:tc>
          <w:tcPr>
            <w:tcW w:w="3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(241)</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F-45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Initial Cost to</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Gross Amount at Which Carried at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Close of Period</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Buildings and</w:t>
            </w: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Capitalized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260" w:type="dxa"/>
            <w:vAlign w:val="bottom"/>
            <w:vMerge w:val="restart"/>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Location</w:t>
            </w: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Land</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60" w:type="dxa"/>
            <w:vAlign w:val="bottom"/>
            <w:gridSpan w:val="3"/>
          </w:tcPr>
          <w:p>
            <w:pPr>
              <w:jc w:val="center"/>
              <w:ind w:right="2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Leasehold</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(A)</w:t>
            </w: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Depreciation</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Improvements</w:t>
            </w:r>
          </w:p>
        </w:tc>
        <w:tc>
          <w:tcPr>
            <w:tcW w:w="200" w:type="dxa"/>
            <w:vAlign w:val="bottom"/>
          </w:tcPr>
          <w:p>
            <w:pPr>
              <w:spacing w:after="0"/>
              <w:rPr>
                <w:sz w:val="15"/>
                <w:szCs w:val="15"/>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3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1040" w:type="dxa"/>
            <w:vAlign w:val="bottom"/>
            <w:gridSpan w:val="2"/>
            <w:vMerge w:val="continue"/>
          </w:tcPr>
          <w:p>
            <w:pPr>
              <w:spacing w:after="0"/>
              <w:rPr>
                <w:sz w:val="15"/>
                <w:szCs w:val="15"/>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60" w:type="dxa"/>
            <w:vAlign w:val="bottom"/>
            <w:tcBorders>
              <w:top w:val="single" w:sz="8" w:color="CFF0FC"/>
            </w:tcBorders>
            <w:gridSpan w:val="2"/>
            <w:shd w:val="clear" w:color="auto" w:fill="CFF0FC"/>
          </w:tcPr>
          <w:p>
            <w:pPr>
              <w:spacing w:after="0" w:line="184" w:lineRule="exact"/>
              <w:rPr>
                <w:sz w:val="20"/>
                <w:szCs w:val="20"/>
                <w:color w:val="auto"/>
              </w:rPr>
            </w:pPr>
            <w:r>
              <w:rPr>
                <w:rFonts w:ascii="Arial" w:cs="Arial" w:eastAsia="Arial" w:hAnsi="Arial"/>
                <w:sz w:val="17"/>
                <w:szCs w:val="17"/>
                <w:color w:val="auto"/>
              </w:rPr>
              <w:t>Cibola County</w:t>
            </w:r>
          </w:p>
        </w:tc>
        <w:tc>
          <w:tcPr>
            <w:tcW w:w="1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Corrections</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9"/>
              </w:rPr>
              <w:t>Milan, New</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rPr>
              <w:t>Mexico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16,215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31,081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46,372</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47,740</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(18,678)</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Cimarron Correctional</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Cushing,</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Oklahoma</w:t>
            </w:r>
          </w:p>
        </w:tc>
        <w:tc>
          <w:tcPr>
            <w:tcW w:w="640" w:type="dxa"/>
            <w:vAlign w:val="bottom"/>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71,303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44,054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115,005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115,607</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(36,615)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Coffee Correctional</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9"/>
              </w:rPr>
              <w:t>Nicholls,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2"/>
              </w:rPr>
              <w:t>Georgia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28,361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50,251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77,953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78,806</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(22,611)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Columbine Facility</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Denver,</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Colorado</w:t>
            </w:r>
          </w:p>
        </w:tc>
        <w:tc>
          <w:tcPr>
            <w:tcW w:w="640" w:type="dxa"/>
            <w:vAlign w:val="bottom"/>
          </w:tcPr>
          <w:p>
            <w:pPr>
              <w:jc w:val="right"/>
              <w:spacing w:after="0"/>
              <w:rPr>
                <w:sz w:val="20"/>
                <w:szCs w:val="20"/>
                <w:color w:val="auto"/>
              </w:rPr>
            </w:pPr>
            <w:r>
              <w:rPr>
                <w:rFonts w:ascii="Arial" w:cs="Arial" w:eastAsia="Arial" w:hAnsi="Arial"/>
                <w:sz w:val="17"/>
                <w:szCs w:val="17"/>
                <w:color w:val="auto"/>
              </w:rPr>
              <w:t>1,414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488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649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2,064</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Commerce Transitional</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3"/>
              </w:rPr>
              <w:t>Commerce City,</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2"/>
              </w:rPr>
              <w:t>Colorado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1,758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1,934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7,100</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Corpus Christi</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Transitional</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Corpus Christi,</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Texas</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1,886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2,324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2,324</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(525)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Crossroads Correctional</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1"/>
              </w:rPr>
              <w:t>Shelby,</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3"/>
              </w:rPr>
              <w:t>Montana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33,196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9,085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41,306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42,694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(36,507)</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Crowley County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Olney Springs,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Colorado</w:t>
            </w:r>
          </w:p>
        </w:tc>
        <w:tc>
          <w:tcPr>
            <w:tcW w:w="640" w:type="dxa"/>
            <w:vAlign w:val="bottom"/>
          </w:tcPr>
          <w:p>
            <w:pPr>
              <w:jc w:val="right"/>
              <w:spacing w:after="0"/>
              <w:rPr>
                <w:sz w:val="20"/>
                <w:szCs w:val="20"/>
                <w:color w:val="auto"/>
              </w:rPr>
            </w:pPr>
            <w:r>
              <w:rPr>
                <w:rFonts w:ascii="Arial" w:cs="Arial" w:eastAsia="Arial" w:hAnsi="Arial"/>
                <w:sz w:val="17"/>
                <w:szCs w:val="17"/>
                <w:color w:val="auto"/>
              </w:rPr>
              <w:t>211</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46,845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29,541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2,488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74,109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76,597</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(23,406)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Dahlia Facility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4"/>
              </w:rPr>
              <w:t>Denver,</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2"/>
              </w:rPr>
              <w:t>Colorado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6,788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6,788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934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7,722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(58)</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Dallas Transitional</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Hutchins,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Texas</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3,852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1,703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5,555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5,555</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Davis Correctional</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Holdenville,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2"/>
              </w:rPr>
              <w:t>Oklahoma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66,701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41,165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107,155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108,116</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(34,426)</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Diamondback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Watonga,</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Oklahoma</w:t>
            </w:r>
          </w:p>
        </w:tc>
        <w:tc>
          <w:tcPr>
            <w:tcW w:w="640" w:type="dxa"/>
            <w:vAlign w:val="bottom"/>
          </w:tcPr>
          <w:p>
            <w:pPr>
              <w:jc w:val="right"/>
              <w:spacing w:after="0"/>
              <w:rPr>
                <w:sz w:val="20"/>
                <w:szCs w:val="20"/>
                <w:color w:val="auto"/>
              </w:rPr>
            </w:pPr>
            <w:r>
              <w:rPr>
                <w:rFonts w:ascii="Arial" w:cs="Arial" w:eastAsia="Arial" w:hAnsi="Arial"/>
                <w:sz w:val="17"/>
                <w:szCs w:val="17"/>
                <w:color w:val="auto"/>
              </w:rPr>
              <w:t>208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41,677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23,922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64,494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65,807</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(24,436)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Eden Detention Center</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7"/>
              </w:rPr>
              <w:t>Eden, Texas</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27,645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33,825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56,889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62,395</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(22,689)</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El Paso Multi-Use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El Paso, Texas</w:t>
            </w:r>
          </w:p>
        </w:tc>
        <w:tc>
          <w:tcPr>
            <w:tcW w:w="640" w:type="dxa"/>
            <w:vAlign w:val="bottom"/>
          </w:tcPr>
          <w:p>
            <w:pPr>
              <w:jc w:val="right"/>
              <w:spacing w:after="0"/>
              <w:rPr>
                <w:sz w:val="20"/>
                <w:szCs w:val="20"/>
                <w:color w:val="auto"/>
              </w:rPr>
            </w:pPr>
            <w:r>
              <w:rPr>
                <w:rFonts w:ascii="Arial" w:cs="Arial" w:eastAsia="Arial" w:hAnsi="Arial"/>
                <w:sz w:val="17"/>
                <w:szCs w:val="17"/>
                <w:color w:val="auto"/>
              </w:rPr>
              <w:t>14,936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4,536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14,936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5,541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20,477</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(535)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El Paso Transitional</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El Paso, Texas</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10,325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4,198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700</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10,325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4,898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15,223</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(444)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Eloy Detention Center</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Eloy,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7"/>
              </w:rPr>
              <w:t>Arizona</w:t>
            </w:r>
          </w:p>
        </w:tc>
        <w:tc>
          <w:tcPr>
            <w:tcW w:w="640" w:type="dxa"/>
            <w:vAlign w:val="bottom"/>
          </w:tcPr>
          <w:p>
            <w:pPr>
              <w:jc w:val="right"/>
              <w:spacing w:after="0"/>
              <w:rPr>
                <w:sz w:val="20"/>
                <w:szCs w:val="20"/>
                <w:color w:val="auto"/>
              </w:rPr>
            </w:pPr>
            <w:r>
              <w:rPr>
                <w:rFonts w:ascii="Arial" w:cs="Arial" w:eastAsia="Arial" w:hAnsi="Arial"/>
                <w:sz w:val="17"/>
                <w:szCs w:val="17"/>
                <w:color w:val="auto"/>
              </w:rPr>
              <w:t>498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33,308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15,945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47,896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49,751</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(19,996)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Fort Worth Transitional</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4"/>
              </w:rPr>
              <w:t>Fort Worth,</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6"/>
              </w:rPr>
              <w:t>Texas</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7"/>
                <w:szCs w:val="17"/>
                <w:color w:val="auto"/>
              </w:rPr>
              <w:t>Fox Facility and Training</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Denver,</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Colorado</w:t>
            </w:r>
          </w:p>
        </w:tc>
        <w:tc>
          <w:tcPr>
            <w:tcW w:w="640" w:type="dxa"/>
            <w:vAlign w:val="bottom"/>
          </w:tcPr>
          <w:p>
            <w:pPr>
              <w:jc w:val="right"/>
              <w:spacing w:after="0"/>
              <w:rPr>
                <w:sz w:val="20"/>
                <w:szCs w:val="20"/>
                <w:color w:val="auto"/>
              </w:rPr>
            </w:pPr>
            <w:r>
              <w:rPr>
                <w:rFonts w:ascii="Arial" w:cs="Arial" w:eastAsia="Arial" w:hAnsi="Arial"/>
                <w:sz w:val="17"/>
                <w:szCs w:val="17"/>
                <w:color w:val="auto"/>
              </w:rPr>
              <w:t>3,038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1,203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3,038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4,499</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F-46</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Initial Cost to</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Gross Amount at Which Carried at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Close of Period</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Buildings and</w:t>
            </w: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Capitalized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240" w:type="dxa"/>
            <w:vAlign w:val="bottom"/>
            <w:vMerge w:val="restart"/>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Location</w:t>
            </w: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Land</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60" w:type="dxa"/>
            <w:vAlign w:val="bottom"/>
            <w:gridSpan w:val="3"/>
          </w:tcPr>
          <w:p>
            <w:pPr>
              <w:jc w:val="center"/>
              <w:ind w:right="2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Leasehold</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(A)</w:t>
            </w: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Depreciation</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Improvements</w:t>
            </w:r>
          </w:p>
        </w:tc>
        <w:tc>
          <w:tcPr>
            <w:tcW w:w="200" w:type="dxa"/>
            <w:vAlign w:val="bottom"/>
          </w:tcPr>
          <w:p>
            <w:pPr>
              <w:spacing w:after="0"/>
              <w:rPr>
                <w:sz w:val="15"/>
                <w:szCs w:val="15"/>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3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1040" w:type="dxa"/>
            <w:vAlign w:val="bottom"/>
            <w:gridSpan w:val="2"/>
            <w:vMerge w:val="continue"/>
          </w:tcPr>
          <w:p>
            <w:pPr>
              <w:spacing w:after="0"/>
              <w:rPr>
                <w:sz w:val="15"/>
                <w:szCs w:val="15"/>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Greenville</w:t>
            </w: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5"/>
              </w:rPr>
              <w:t>Greenville,</w:t>
            </w: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6"/>
              </w:rPr>
              <w:t>North Carolina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1,387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1,395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1,756</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Houston Processing</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Houston,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Texas</w:t>
            </w:r>
          </w:p>
        </w:tc>
        <w:tc>
          <w:tcPr>
            <w:tcW w:w="640" w:type="dxa"/>
            <w:vAlign w:val="bottom"/>
          </w:tcPr>
          <w:p>
            <w:pPr>
              <w:jc w:val="right"/>
              <w:spacing w:after="0"/>
              <w:rPr>
                <w:sz w:val="20"/>
                <w:szCs w:val="20"/>
                <w:color w:val="auto"/>
              </w:rPr>
            </w:pPr>
            <w:r>
              <w:rPr>
                <w:rFonts w:ascii="Arial" w:cs="Arial" w:eastAsia="Arial" w:hAnsi="Arial"/>
                <w:sz w:val="17"/>
                <w:szCs w:val="17"/>
                <w:color w:val="auto"/>
              </w:rPr>
              <w:t>2,250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53,373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39,944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3,560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92,007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95,567</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(34,397)</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Huerfano County</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Walsenburg,</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Colorado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26,358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4,220</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29,683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30,702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(13,722)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Jenkins Correctional</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rPr>
              <w:t>Millen,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Georgia</w:t>
            </w:r>
          </w:p>
        </w:tc>
        <w:tc>
          <w:tcPr>
            <w:tcW w:w="640" w:type="dxa"/>
            <w:vAlign w:val="bottom"/>
          </w:tcPr>
          <w:p>
            <w:pPr>
              <w:jc w:val="right"/>
              <w:spacing w:after="0"/>
              <w:rPr>
                <w:sz w:val="20"/>
                <w:szCs w:val="20"/>
                <w:color w:val="auto"/>
              </w:rPr>
            </w:pPr>
            <w:r>
              <w:rPr>
                <w:rFonts w:ascii="Arial" w:cs="Arial" w:eastAsia="Arial" w:hAnsi="Arial"/>
                <w:sz w:val="17"/>
                <w:szCs w:val="17"/>
                <w:color w:val="auto"/>
              </w:rPr>
              <w:t>208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48,158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48,511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48,769</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(5,685)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Kit Carson Correctional</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8"/>
              </w:rPr>
              <w:t>Burlington,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Colorado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35,980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43,472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78,833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79,884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(22,789)</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La Palma Correctional</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Eloy,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Arizona</w:t>
            </w:r>
          </w:p>
        </w:tc>
        <w:tc>
          <w:tcPr>
            <w:tcW w:w="640" w:type="dxa"/>
            <w:vAlign w:val="bottom"/>
          </w:tcPr>
          <w:p>
            <w:pPr>
              <w:jc w:val="right"/>
              <w:spacing w:after="0"/>
              <w:rPr>
                <w:sz w:val="20"/>
                <w:szCs w:val="20"/>
                <w:color w:val="auto"/>
              </w:rPr>
            </w:pPr>
            <w:r>
              <w:rPr>
                <w:rFonts w:ascii="Arial" w:cs="Arial" w:eastAsia="Arial" w:hAnsi="Arial"/>
                <w:sz w:val="17"/>
                <w:szCs w:val="17"/>
                <w:color w:val="auto"/>
              </w:rPr>
              <w:t>283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183,155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13,354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196,306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196,792</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(39,900)</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Lake Erie Correctional</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1"/>
              </w:rPr>
              <w:t>Conneaut,</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Institution</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rPr>
              <w:t>Ohio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69,779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5,256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74,088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77,906</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(9,543)</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w w:val="97"/>
              </w:rPr>
              <w:t>Laredo Processing Center</w:t>
            </w: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Laredo,</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Texas</w:t>
            </w:r>
          </w:p>
        </w:tc>
        <w:tc>
          <w:tcPr>
            <w:tcW w:w="640" w:type="dxa"/>
            <w:vAlign w:val="bottom"/>
          </w:tcPr>
          <w:p>
            <w:pPr>
              <w:jc w:val="right"/>
              <w:spacing w:after="0"/>
              <w:rPr>
                <w:sz w:val="20"/>
                <w:szCs w:val="20"/>
                <w:color w:val="auto"/>
              </w:rPr>
            </w:pPr>
            <w:r>
              <w:rPr>
                <w:rFonts w:ascii="Arial" w:cs="Arial" w:eastAsia="Arial" w:hAnsi="Arial"/>
                <w:sz w:val="17"/>
                <w:szCs w:val="17"/>
                <w:color w:val="auto"/>
              </w:rPr>
              <w:t>788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26,737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2,665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29,204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30,190</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(11,748)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Leavenworth Detention</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Leavenworth,</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88"/>
              </w:rPr>
              <w:t>Kansas</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44,970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43,278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87,887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88,378</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(28,981)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Lee Adjustment Center</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Beattyville,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Kentucky</w:t>
            </w:r>
          </w:p>
        </w:tc>
        <w:tc>
          <w:tcPr>
            <w:tcW w:w="640" w:type="dxa"/>
            <w:vAlign w:val="bottom"/>
          </w:tcPr>
          <w:p>
            <w:pPr>
              <w:jc w:val="right"/>
              <w:spacing w:after="0"/>
              <w:rPr>
                <w:sz w:val="20"/>
                <w:szCs w:val="20"/>
                <w:color w:val="auto"/>
              </w:rPr>
            </w:pPr>
            <w:r>
              <w:rPr>
                <w:rFonts w:ascii="Arial" w:cs="Arial" w:eastAsia="Arial" w:hAnsi="Arial"/>
                <w:sz w:val="17"/>
                <w:szCs w:val="17"/>
                <w:color w:val="auto"/>
              </w:rPr>
              <w:t>500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515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16,708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16,503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17,723</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(7,283)</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Leo Chesney</w:t>
            </w:r>
          </w:p>
        </w:tc>
        <w:tc>
          <w:tcPr>
            <w:tcW w:w="140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Live Oak,</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 Center</w:t>
            </w:r>
          </w:p>
        </w:tc>
        <w:tc>
          <w:tcPr>
            <w:tcW w:w="140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California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4,774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1,577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6,351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6,601</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(2,992)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Long Beach Community</w:t>
            </w: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Long Beach,</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ind w:left="140"/>
              <w:spacing w:after="0"/>
              <w:rPr>
                <w:sz w:val="20"/>
                <w:szCs w:val="20"/>
                <w:color w:val="auto"/>
              </w:rPr>
            </w:pPr>
            <w:r>
              <w:rPr>
                <w:rFonts w:ascii="Arial" w:cs="Arial" w:eastAsia="Arial" w:hAnsi="Arial"/>
                <w:sz w:val="17"/>
                <w:szCs w:val="17"/>
                <w:color w:val="auto"/>
              </w:rPr>
              <w:t>Corrections Center</w:t>
            </w: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California</w:t>
            </w:r>
          </w:p>
        </w:tc>
        <w:tc>
          <w:tcPr>
            <w:tcW w:w="640" w:type="dxa"/>
            <w:vAlign w:val="bottom"/>
          </w:tcPr>
          <w:p>
            <w:pPr>
              <w:jc w:val="right"/>
              <w:spacing w:after="0"/>
              <w:rPr>
                <w:sz w:val="20"/>
                <w:szCs w:val="20"/>
                <w:color w:val="auto"/>
              </w:rPr>
            </w:pPr>
            <w:r>
              <w:rPr>
                <w:rFonts w:ascii="Arial" w:cs="Arial" w:eastAsia="Arial" w:hAnsi="Arial"/>
                <w:sz w:val="17"/>
                <w:szCs w:val="17"/>
                <w:color w:val="auto"/>
              </w:rPr>
              <w:t>5,038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2,413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5,038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2,413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7,451</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Longmont Community</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Treatment</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Longmont,</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Colorado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582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681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Marion Adjustment</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St. Mary,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Kentucky</w:t>
            </w:r>
          </w:p>
        </w:tc>
        <w:tc>
          <w:tcPr>
            <w:tcW w:w="640" w:type="dxa"/>
            <w:vAlign w:val="bottom"/>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9,994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8,632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17,958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18,876</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(6,818)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McRae Correctional</w:t>
            </w:r>
          </w:p>
        </w:tc>
        <w:tc>
          <w:tcPr>
            <w:tcW w:w="140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McRae,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40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Georgia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60,396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18,116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77,875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78,974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(21,175)</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Milledgeville</w:t>
            </w: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color w:val="auto"/>
              </w:rPr>
              <w:t>Milledgeville,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Georgia</w:t>
            </w:r>
          </w:p>
        </w:tc>
        <w:tc>
          <w:tcPr>
            <w:tcW w:w="640" w:type="dxa"/>
            <w:vAlign w:val="bottom"/>
          </w:tcPr>
          <w:p>
            <w:pPr>
              <w:jc w:val="right"/>
              <w:spacing w:after="0"/>
              <w:rPr>
                <w:sz w:val="20"/>
                <w:szCs w:val="20"/>
                <w:color w:val="auto"/>
              </w:rPr>
            </w:pPr>
            <w:r>
              <w:rPr>
                <w:rFonts w:ascii="Arial" w:cs="Arial" w:eastAsia="Arial" w:hAnsi="Arial"/>
                <w:sz w:val="17"/>
                <w:szCs w:val="17"/>
                <w:color w:val="auto"/>
              </w:rPr>
              <w:t>120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714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714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834</w:t>
            </w: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F-47</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Initial Cost to</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Gross Amount at Which Carried at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Company</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Close of Period</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Buildings and</w:t>
            </w: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Buildings and</w:t>
            </w: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Capitalized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180" w:type="dxa"/>
            <w:vAlign w:val="bottom"/>
            <w:vMerge w:val="restart"/>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Location</w:t>
            </w: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Land</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9"/>
              </w:rPr>
              <w:t>Leasehold</w:t>
            </w: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 (A)</w:t>
            </w: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Depreciation</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00" w:type="dxa"/>
            <w:vAlign w:val="bottom"/>
            <w:gridSpan w:val="3"/>
          </w:tcPr>
          <w:p>
            <w:pPr>
              <w:ind w:left="220"/>
              <w:spacing w:after="0" w:line="153" w:lineRule="exact"/>
              <w:rPr>
                <w:sz w:val="20"/>
                <w:szCs w:val="20"/>
                <w:color w:val="auto"/>
              </w:rPr>
            </w:pPr>
            <w:r>
              <w:rPr>
                <w:rFonts w:ascii="Arial" w:cs="Arial" w:eastAsia="Arial" w:hAnsi="Arial"/>
                <w:sz w:val="14"/>
                <w:szCs w:val="14"/>
                <w:b w:val="1"/>
                <w:bCs w:val="1"/>
                <w:color w:val="auto"/>
              </w:rPr>
              <w:t>Improvements</w:t>
            </w: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3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CFF0FC"/>
            </w:tcBorders>
            <w:gridSpan w:val="2"/>
            <w:shd w:val="clear" w:color="auto" w:fill="CFF0FC"/>
          </w:tcPr>
          <w:p>
            <w:pPr>
              <w:spacing w:after="0" w:line="184" w:lineRule="exact"/>
              <w:rPr>
                <w:sz w:val="20"/>
                <w:szCs w:val="20"/>
                <w:color w:val="auto"/>
              </w:rPr>
            </w:pPr>
            <w:r>
              <w:rPr>
                <w:rFonts w:ascii="Arial" w:cs="Arial" w:eastAsia="Arial" w:hAnsi="Arial"/>
                <w:sz w:val="17"/>
                <w:szCs w:val="17"/>
                <w:color w:val="auto"/>
              </w:rPr>
              <w:t>Mineral Wells Pre-</w:t>
            </w:r>
          </w:p>
        </w:tc>
        <w:tc>
          <w:tcPr>
            <w:tcW w:w="1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Parole</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7"/>
              </w:rPr>
              <w:t>Mineral Wells,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ind w:left="120"/>
              <w:spacing w:after="0"/>
              <w:rPr>
                <w:sz w:val="20"/>
                <w:szCs w:val="20"/>
                <w:color w:val="auto"/>
              </w:rPr>
            </w:pPr>
            <w:r>
              <w:rPr>
                <w:rFonts w:ascii="Arial" w:cs="Arial" w:eastAsia="Arial" w:hAnsi="Arial"/>
                <w:sz w:val="17"/>
                <w:szCs w:val="17"/>
                <w:b w:val="1"/>
                <w:bCs w:val="1"/>
                <w:color w:val="auto"/>
              </w:rPr>
              <w:t>(C)</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Transfer Facility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6"/>
              </w:rPr>
              <w:t>Texas</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22,589</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3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Nevada Southern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Detention</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Pahrump,</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Nevada</w:t>
            </w:r>
          </w:p>
        </w:tc>
        <w:tc>
          <w:tcPr>
            <w:tcW w:w="640" w:type="dxa"/>
            <w:vAlign w:val="bottom"/>
          </w:tcPr>
          <w:p>
            <w:pPr>
              <w:jc w:val="right"/>
              <w:spacing w:after="0"/>
              <w:rPr>
                <w:sz w:val="20"/>
                <w:szCs w:val="20"/>
                <w:color w:val="auto"/>
              </w:rPr>
            </w:pPr>
            <w:r>
              <w:rPr>
                <w:rFonts w:ascii="Arial" w:cs="Arial" w:eastAsia="Arial" w:hAnsi="Arial"/>
                <w:sz w:val="17"/>
                <w:szCs w:val="17"/>
                <w:color w:val="auto"/>
              </w:rPr>
              <w:t>7,548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64,362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10,093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8,374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73,629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82,003</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(12,953)</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North Fork Correctional</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9"/>
              </w:rPr>
              <w:t>Sayre,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2"/>
              </w:rPr>
              <w:t>Oklahoma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42,166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60,351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102,161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102,517</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(31,541)</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Northeast Ohio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Youngstown,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Ohio</w:t>
            </w:r>
          </w:p>
        </w:tc>
        <w:tc>
          <w:tcPr>
            <w:tcW w:w="640" w:type="dxa"/>
            <w:vAlign w:val="bottom"/>
          </w:tcPr>
          <w:p>
            <w:pPr>
              <w:jc w:val="right"/>
              <w:spacing w:after="0"/>
              <w:rPr>
                <w:sz w:val="20"/>
                <w:szCs w:val="20"/>
                <w:color w:val="auto"/>
              </w:rPr>
            </w:pPr>
            <w:r>
              <w:rPr>
                <w:rFonts w:ascii="Arial" w:cs="Arial" w:eastAsia="Arial" w:hAnsi="Arial"/>
                <w:sz w:val="17"/>
                <w:szCs w:val="17"/>
                <w:color w:val="auto"/>
              </w:rPr>
              <w:t>750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39,583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10,583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49,058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50,916</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(19,465)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Northwest New Mexico</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Grants,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Correctional Center</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New Mexico</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15,888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18,319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33,470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34,349</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(13,703)</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Oklahoma City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Transitional</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Oklahoma City,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ind w:left="100"/>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2"/>
              </w:rPr>
              <w:t>Oklahoma</w:t>
            </w:r>
          </w:p>
        </w:tc>
        <w:tc>
          <w:tcPr>
            <w:tcW w:w="640" w:type="dxa"/>
            <w:vAlign w:val="bottom"/>
          </w:tcPr>
          <w:p>
            <w:pPr>
              <w:jc w:val="right"/>
              <w:spacing w:after="0"/>
              <w:rPr>
                <w:sz w:val="20"/>
                <w:szCs w:val="20"/>
                <w:color w:val="auto"/>
              </w:rPr>
            </w:pPr>
            <w:r>
              <w:rPr>
                <w:rFonts w:ascii="Arial" w:cs="Arial" w:eastAsia="Arial" w:hAnsi="Arial"/>
                <w:sz w:val="17"/>
                <w:szCs w:val="17"/>
                <w:color w:val="auto"/>
              </w:rPr>
              <w:t>1,114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2,626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2,883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3,997</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Oracle Transitional</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Tucson,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7"/>
              </w:rPr>
              <w:t>Arizona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1,220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4,552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1,220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5,772</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Otay Mesa Detention</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San Diego,</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California</w:t>
            </w:r>
          </w:p>
        </w:tc>
        <w:tc>
          <w:tcPr>
            <w:tcW w:w="640" w:type="dxa"/>
            <w:vAlign w:val="bottom"/>
          </w:tcPr>
          <w:p>
            <w:pPr>
              <w:jc w:val="right"/>
              <w:spacing w:after="0"/>
              <w:rPr>
                <w:sz w:val="20"/>
                <w:szCs w:val="20"/>
                <w:color w:val="auto"/>
              </w:rPr>
            </w:pPr>
            <w:r>
              <w:rPr>
                <w:rFonts w:ascii="Arial" w:cs="Arial" w:eastAsia="Arial" w:hAnsi="Arial"/>
                <w:sz w:val="17"/>
                <w:szCs w:val="17"/>
                <w:color w:val="auto"/>
              </w:rPr>
              <w:t>28,845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114,411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8,782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37,009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115,029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152,038</w:t>
            </w:r>
          </w:p>
        </w:tc>
        <w:tc>
          <w:tcPr>
            <w:tcW w:w="380" w:type="dxa"/>
            <w:vAlign w:val="bottom"/>
            <w:vMerge w:val="continue"/>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(6,356)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Prairie Correctional</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Appleton,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Minnesota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9,126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30,464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31,532</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(15,414)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w w:val="98"/>
              </w:rPr>
              <w:t>Queensgate Correctional</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Cincinnati,</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(C)</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Ohio</w:t>
            </w:r>
          </w:p>
        </w:tc>
        <w:tc>
          <w:tcPr>
            <w:tcW w:w="640" w:type="dxa"/>
            <w:vAlign w:val="bottom"/>
          </w:tcPr>
          <w:p>
            <w:pPr>
              <w:jc w:val="right"/>
              <w:spacing w:after="0"/>
              <w:rPr>
                <w:sz w:val="20"/>
                <w:szCs w:val="20"/>
                <w:color w:val="auto"/>
              </w:rPr>
            </w:pPr>
            <w:r>
              <w:rPr>
                <w:rFonts w:ascii="Arial" w:cs="Arial" w:eastAsia="Arial" w:hAnsi="Arial"/>
                <w:sz w:val="17"/>
                <w:szCs w:val="17"/>
                <w:color w:val="auto"/>
              </w:rPr>
              <w:t>750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15,221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498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838</w:t>
            </w:r>
          </w:p>
        </w:tc>
        <w:tc>
          <w:tcPr>
            <w:tcW w:w="380" w:type="dxa"/>
            <w:vAlign w:val="bottom"/>
            <w:vMerge w:val="continue"/>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 Rock Correctional</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5"/>
              </w:rPr>
              <w:t>Eloy,</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7"/>
              </w:rPr>
              <w:t>Arizona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78,456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56,306</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134,516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134,772</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(31,958)</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Rockingham</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Rockingham,</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North Carolina</w:t>
            </w:r>
          </w:p>
        </w:tc>
        <w:tc>
          <w:tcPr>
            <w:tcW w:w="640" w:type="dxa"/>
            <w:vAlign w:val="bottom"/>
          </w:tcPr>
          <w:p>
            <w:pPr>
              <w:jc w:val="right"/>
              <w:spacing w:after="0"/>
              <w:rPr>
                <w:sz w:val="20"/>
                <w:szCs w:val="20"/>
                <w:color w:val="auto"/>
              </w:rPr>
            </w:pPr>
            <w:r>
              <w:rPr>
                <w:rFonts w:ascii="Arial" w:cs="Arial" w:eastAsia="Arial" w:hAnsi="Arial"/>
                <w:sz w:val="17"/>
                <w:szCs w:val="17"/>
                <w:color w:val="auto"/>
              </w:rPr>
              <w:t>95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1,070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1,070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1,165</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Roth Hall Residential</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Reentry</w:t>
            </w:r>
          </w:p>
        </w:tc>
        <w:tc>
          <w:tcPr>
            <w:tcW w:w="13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4"/>
              </w:rPr>
              <w:t>Philadelphia,</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Pennsylvania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2,693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2,693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3,347</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(163)</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Saguaro Correctional</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Eloy,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97"/>
              </w:rPr>
              <w:t>Arizona</w:t>
            </w:r>
          </w:p>
        </w:tc>
        <w:tc>
          <w:tcPr>
            <w:tcW w:w="640" w:type="dxa"/>
            <w:vAlign w:val="bottom"/>
          </w:tcPr>
          <w:p>
            <w:pPr>
              <w:jc w:val="right"/>
              <w:spacing w:after="0"/>
              <w:rPr>
                <w:sz w:val="20"/>
                <w:szCs w:val="20"/>
                <w:color w:val="auto"/>
              </w:rPr>
            </w:pPr>
            <w:r>
              <w:rPr>
                <w:rFonts w:ascii="Arial" w:cs="Arial" w:eastAsia="Arial" w:hAnsi="Arial"/>
                <w:sz w:val="17"/>
                <w:szCs w:val="17"/>
                <w:color w:val="auto"/>
              </w:rPr>
              <w:t>193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98,903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1,228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99,838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100,324</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(21,272)</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San Diego Correctional</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San Diego,</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ind w:left="120"/>
              <w:spacing w:after="0"/>
              <w:rPr>
                <w:sz w:val="20"/>
                <w:szCs w:val="20"/>
                <w:color w:val="auto"/>
              </w:rPr>
            </w:pPr>
            <w:r>
              <w:rPr>
                <w:rFonts w:ascii="Arial" w:cs="Arial" w:eastAsia="Arial" w:hAnsi="Arial"/>
                <w:sz w:val="17"/>
                <w:szCs w:val="17"/>
                <w:b w:val="1"/>
                <w:bCs w:val="1"/>
                <w:color w:val="auto"/>
              </w:rPr>
              <w:t>(D)</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California</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92,458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gridSpan w:val="2"/>
          </w:tcPr>
          <w:p>
            <w:pPr>
              <w:spacing w:after="0"/>
              <w:rPr>
                <w:sz w:val="20"/>
                <w:szCs w:val="20"/>
                <w:color w:val="auto"/>
              </w:rPr>
            </w:pPr>
            <w:r>
              <w:rPr>
                <w:rFonts w:ascii="Arial" w:cs="Arial" w:eastAsia="Arial" w:hAnsi="Arial"/>
                <w:sz w:val="17"/>
                <w:szCs w:val="17"/>
                <w:color w:val="auto"/>
              </w:rPr>
              <w:t>Shelby Training Center</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Memphis,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Tennessee</w:t>
            </w:r>
          </w:p>
        </w:tc>
        <w:tc>
          <w:tcPr>
            <w:tcW w:w="640" w:type="dxa"/>
            <w:vAlign w:val="bottom"/>
          </w:tcPr>
          <w:p>
            <w:pPr>
              <w:jc w:val="right"/>
              <w:spacing w:after="0"/>
              <w:rPr>
                <w:sz w:val="20"/>
                <w:szCs w:val="20"/>
                <w:color w:val="auto"/>
              </w:rPr>
            </w:pPr>
            <w:r>
              <w:rPr>
                <w:rFonts w:ascii="Arial" w:cs="Arial" w:eastAsia="Arial" w:hAnsi="Arial"/>
                <w:sz w:val="17"/>
                <w:szCs w:val="17"/>
                <w:color w:val="auto"/>
              </w:rPr>
              <w:t>150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6,393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3,317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9,581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9,860</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(9,448)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7"/>
                <w:szCs w:val="17"/>
                <w:color w:val="auto"/>
              </w:rPr>
              <w:t>F-48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Initial Cost to</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5"/>
          </w:tcPr>
          <w:p>
            <w:pPr>
              <w:jc w:val="center"/>
              <w:ind w:right="134"/>
              <w:spacing w:after="0"/>
              <w:rPr>
                <w:sz w:val="20"/>
                <w:szCs w:val="20"/>
                <w:color w:val="auto"/>
              </w:rPr>
            </w:pPr>
            <w:r>
              <w:rPr>
                <w:rFonts w:ascii="Arial" w:cs="Arial" w:eastAsia="Arial" w:hAnsi="Arial"/>
                <w:sz w:val="14"/>
                <w:szCs w:val="14"/>
                <w:b w:val="1"/>
                <w:bCs w:val="1"/>
                <w:color w:val="auto"/>
                <w:w w:val="91"/>
              </w:rPr>
              <w:t>Gross Amount at Which Carried at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Close of Period</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Buildings and</w:t>
            </w: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gridSpan w:val="2"/>
            <w:vMerge w:val="restart"/>
          </w:tcPr>
          <w:p>
            <w:pPr>
              <w:jc w:val="center"/>
              <w:ind w:right="138"/>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Capitalized</w:t>
            </w:r>
          </w:p>
        </w:tc>
        <w:tc>
          <w:tcPr>
            <w:tcW w:w="11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2"/>
              </w:rPr>
              <w:t>Land and Land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6"/>
              </w:rPr>
              <w:t>Leasehold</w:t>
            </w:r>
          </w:p>
        </w:tc>
        <w:tc>
          <w:tcPr>
            <w:tcW w:w="8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 (A)</w:t>
            </w:r>
          </w:p>
        </w:tc>
        <w:tc>
          <w:tcPr>
            <w:tcW w:w="360" w:type="dxa"/>
            <w:vAlign w:val="bottom"/>
          </w:tcPr>
          <w:p>
            <w:pPr>
              <w:spacing w:after="0"/>
              <w:rPr>
                <w:sz w:val="12"/>
                <w:szCs w:val="12"/>
                <w:color w:val="auto"/>
              </w:rPr>
            </w:pPr>
          </w:p>
        </w:tc>
        <w:tc>
          <w:tcPr>
            <w:tcW w:w="1080" w:type="dxa"/>
            <w:vAlign w:val="bottom"/>
            <w:gridSpan w:val="2"/>
          </w:tcPr>
          <w:p>
            <w:pPr>
              <w:jc w:val="center"/>
              <w:ind w:right="138"/>
              <w:spacing w:after="0" w:line="144" w:lineRule="exact"/>
              <w:rPr>
                <w:sz w:val="20"/>
                <w:szCs w:val="20"/>
                <w:color w:val="auto"/>
              </w:rPr>
            </w:pPr>
            <w:r>
              <w:rPr>
                <w:rFonts w:ascii="Arial" w:cs="Arial" w:eastAsia="Arial" w:hAnsi="Arial"/>
                <w:sz w:val="14"/>
                <w:szCs w:val="14"/>
                <w:b w:val="1"/>
                <w:bCs w:val="1"/>
                <w:color w:val="auto"/>
                <w:w w:val="91"/>
              </w:rPr>
              <w:t>Depreciation</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5"/>
                <w:szCs w:val="15"/>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Acquisition</w:t>
            </w:r>
          </w:p>
        </w:tc>
        <w:tc>
          <w:tcPr>
            <w:tcW w:w="180" w:type="dxa"/>
            <w:vAlign w:val="bottom"/>
          </w:tcPr>
          <w:p>
            <w:pPr>
              <w:spacing w:after="0"/>
              <w:rPr>
                <w:sz w:val="15"/>
                <w:szCs w:val="15"/>
                <w:color w:val="auto"/>
              </w:rPr>
            </w:pPr>
          </w:p>
        </w:tc>
        <w:tc>
          <w:tcPr>
            <w:tcW w:w="9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center"/>
              <w:ind w:right="138"/>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top w:val="single" w:sz="8" w:color="CFF0FC"/>
            </w:tcBorders>
            <w:gridSpan w:val="2"/>
            <w:shd w:val="clear" w:color="auto" w:fill="CFF0FC"/>
          </w:tcPr>
          <w:p>
            <w:pPr>
              <w:spacing w:after="0" w:line="184" w:lineRule="exact"/>
              <w:rPr>
                <w:sz w:val="20"/>
                <w:szCs w:val="20"/>
                <w:color w:val="auto"/>
              </w:rPr>
            </w:pPr>
            <w:r>
              <w:rPr>
                <w:rFonts w:ascii="Arial" w:cs="Arial" w:eastAsia="Arial" w:hAnsi="Arial"/>
                <w:sz w:val="17"/>
                <w:szCs w:val="17"/>
                <w:color w:val="auto"/>
              </w:rPr>
              <w:t>South Texas Family</w:t>
            </w: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Residential</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9"/>
              </w:rPr>
              <w:t>Dilley,</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ind w:left="120"/>
              <w:spacing w:after="0"/>
              <w:rPr>
                <w:sz w:val="20"/>
                <w:szCs w:val="20"/>
                <w:color w:val="auto"/>
              </w:rPr>
            </w:pPr>
            <w:r>
              <w:rPr>
                <w:rFonts w:ascii="Arial" w:cs="Arial" w:eastAsia="Arial" w:hAnsi="Arial"/>
                <w:sz w:val="17"/>
                <w:szCs w:val="17"/>
                <w:b w:val="1"/>
                <w:bCs w:val="1"/>
                <w:color w:val="auto"/>
                <w:w w:val="96"/>
              </w:rPr>
              <w:t>(E)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Texas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146,974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8,714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155,653</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155,688</w:t>
            </w:r>
          </w:p>
        </w:tc>
        <w:tc>
          <w:tcPr>
            <w:tcW w:w="360" w:type="dxa"/>
            <w:vAlign w:val="bottom"/>
            <w:vMerge w:val="continue"/>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(89,972)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Southeast Kentucky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260" w:type="dxa"/>
            <w:vAlign w:val="bottom"/>
          </w:tcPr>
          <w:p>
            <w:pPr>
              <w:jc w:val="center"/>
              <w:spacing w:after="0"/>
              <w:rPr>
                <w:sz w:val="20"/>
                <w:szCs w:val="20"/>
                <w:color w:val="auto"/>
              </w:rPr>
            </w:pPr>
            <w:r>
              <w:rPr>
                <w:rFonts w:ascii="Arial" w:cs="Arial" w:eastAsia="Arial" w:hAnsi="Arial"/>
                <w:sz w:val="17"/>
                <w:szCs w:val="17"/>
                <w:color w:val="auto"/>
                <w:w w:val="97"/>
              </w:rPr>
              <w:t>Wheelwright,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tcPr>
          <w:p>
            <w:pPr>
              <w:jc w:val="center"/>
              <w:spacing w:after="0"/>
              <w:rPr>
                <w:sz w:val="20"/>
                <w:szCs w:val="20"/>
                <w:color w:val="auto"/>
              </w:rPr>
            </w:pPr>
            <w:r>
              <w:rPr>
                <w:rFonts w:ascii="Arial" w:cs="Arial" w:eastAsia="Arial" w:hAnsi="Arial"/>
                <w:sz w:val="17"/>
                <w:szCs w:val="17"/>
                <w:color w:val="auto"/>
                <w:w w:val="97"/>
              </w:rPr>
              <w:t>Kentucky</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24,487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11,615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1,590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35,012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36,602</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(14,738)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Stewart Detention</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Lumpkin,</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Georgia</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70,560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17,048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86,517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87,751</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(22,374)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Stockton Female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Community</w:t>
            </w:r>
          </w:p>
        </w:tc>
        <w:tc>
          <w:tcPr>
            <w:tcW w:w="1260" w:type="dxa"/>
            <w:vAlign w:val="bottom"/>
          </w:tcPr>
          <w:p>
            <w:pPr>
              <w:jc w:val="center"/>
              <w:spacing w:after="0"/>
              <w:rPr>
                <w:sz w:val="20"/>
                <w:szCs w:val="20"/>
                <w:color w:val="auto"/>
              </w:rPr>
            </w:pPr>
            <w:r>
              <w:rPr>
                <w:rFonts w:ascii="Arial" w:cs="Arial" w:eastAsia="Arial" w:hAnsi="Arial"/>
                <w:sz w:val="17"/>
                <w:szCs w:val="17"/>
                <w:color w:val="auto"/>
                <w:w w:val="93"/>
              </w:rPr>
              <w:t>Stockton,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100"/>
              <w:spacing w:after="0"/>
              <w:rPr>
                <w:sz w:val="20"/>
                <w:szCs w:val="20"/>
                <w:color w:val="auto"/>
              </w:rPr>
            </w:pPr>
            <w:r>
              <w:rPr>
                <w:rFonts w:ascii="Arial" w:cs="Arial" w:eastAsia="Arial" w:hAnsi="Arial"/>
                <w:sz w:val="17"/>
                <w:szCs w:val="17"/>
                <w:color w:val="auto"/>
              </w:rPr>
              <w:t>Corrections Facility</w:t>
            </w:r>
          </w:p>
        </w:tc>
        <w:tc>
          <w:tcPr>
            <w:tcW w:w="1260" w:type="dxa"/>
            <w:vAlign w:val="bottom"/>
          </w:tcPr>
          <w:p>
            <w:pPr>
              <w:jc w:val="center"/>
              <w:spacing w:after="0"/>
              <w:rPr>
                <w:sz w:val="20"/>
                <w:szCs w:val="20"/>
                <w:color w:val="auto"/>
              </w:rPr>
            </w:pPr>
            <w:r>
              <w:rPr>
                <w:rFonts w:ascii="Arial" w:cs="Arial" w:eastAsia="Arial" w:hAnsi="Arial"/>
                <w:sz w:val="17"/>
                <w:szCs w:val="17"/>
                <w:color w:val="auto"/>
                <w:w w:val="97"/>
              </w:rPr>
              <w:t>California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692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788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1,480</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(18)</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 Don Hutto</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6"/>
              </w:rPr>
              <w:t>Taylor,</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Residential 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Texas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13,418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17,327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17,921</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(7,759)</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Tallahatchie County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260" w:type="dxa"/>
            <w:vAlign w:val="bottom"/>
          </w:tcPr>
          <w:p>
            <w:pPr>
              <w:jc w:val="center"/>
              <w:spacing w:after="0"/>
              <w:rPr>
                <w:sz w:val="20"/>
                <w:szCs w:val="20"/>
                <w:color w:val="auto"/>
              </w:rPr>
            </w:pPr>
            <w:r>
              <w:rPr>
                <w:rFonts w:ascii="Arial" w:cs="Arial" w:eastAsia="Arial" w:hAnsi="Arial"/>
                <w:sz w:val="17"/>
                <w:szCs w:val="17"/>
                <w:color w:val="auto"/>
                <w:w w:val="96"/>
              </w:rPr>
              <w:t>Tutwiler,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tcPr>
          <w:p>
            <w:pPr>
              <w:jc w:val="center"/>
              <w:spacing w:after="0"/>
              <w:rPr>
                <w:sz w:val="20"/>
                <w:szCs w:val="20"/>
                <w:color w:val="auto"/>
              </w:rPr>
            </w:pPr>
            <w:r>
              <w:rPr>
                <w:rFonts w:ascii="Arial" w:cs="Arial" w:eastAsia="Arial" w:hAnsi="Arial"/>
                <w:sz w:val="17"/>
                <w:szCs w:val="17"/>
                <w:color w:val="auto"/>
                <w:w w:val="97"/>
              </w:rPr>
              <w:t>Mississippi</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44,638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96,539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1,586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139,591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141,177</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(44,636)</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Torrance County</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Detention</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Estancia,</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7"/>
              </w:rPr>
              <w:t>New Mexico</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52,599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8,286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59,677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61,396</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(24,514)</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Trousdale Turner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Hartsville,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tcPr>
          <w:p>
            <w:pPr>
              <w:jc w:val="center"/>
              <w:spacing w:after="0"/>
              <w:rPr>
                <w:sz w:val="20"/>
                <w:szCs w:val="20"/>
                <w:color w:val="auto"/>
              </w:rPr>
            </w:pPr>
            <w:r>
              <w:rPr>
                <w:rFonts w:ascii="Arial" w:cs="Arial" w:eastAsia="Arial" w:hAnsi="Arial"/>
                <w:sz w:val="17"/>
                <w:szCs w:val="17"/>
                <w:color w:val="auto"/>
                <w:w w:val="96"/>
              </w:rPr>
              <w:t>TN</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649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135,412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4,452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1,619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138,894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140,513</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(5,844)</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Tulsa Transitional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Tulsa, OK</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8,206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768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4,829</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13,035</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(447)</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Tulsa Women's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Residential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140"/>
              <w:spacing w:after="0"/>
              <w:rPr>
                <w:sz w:val="20"/>
                <w:szCs w:val="20"/>
                <w:color w:val="auto"/>
              </w:rPr>
            </w:pPr>
            <w:r>
              <w:rPr>
                <w:rFonts w:ascii="Arial" w:cs="Arial" w:eastAsia="Arial" w:hAnsi="Arial"/>
                <w:sz w:val="17"/>
                <w:szCs w:val="17"/>
                <w:color w:val="auto"/>
              </w:rPr>
              <w:t>Program</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Tulsa, OK</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275</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(2)</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Turley Residential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Tulsa, OK</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4,944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5,365</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(478)</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Ulster Facility</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Denver,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Colorado</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4,068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4,068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562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4,630</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(34)</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Walker Hall Residential</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Reentry</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Philadelphia,</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6"/>
              </w:rPr>
              <w:t>PA</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654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2,694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3,348</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(163)</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w w:val="99"/>
              </w:rPr>
              <w:t>Webb County Detention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Laredo, Texas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498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20,160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6,119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2,129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24,648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26,777</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(10,962)</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West Tennessee</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Detention</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Mason,</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5"/>
              </w:rPr>
              <w:t>Tennessee</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31,931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6,103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36,565</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38,572</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(16,522)</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Wheeler Correctional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260" w:type="dxa"/>
            <w:vAlign w:val="bottom"/>
          </w:tcPr>
          <w:p>
            <w:pPr>
              <w:jc w:val="center"/>
              <w:spacing w:after="0"/>
              <w:rPr>
                <w:sz w:val="20"/>
                <w:szCs w:val="20"/>
                <w:color w:val="auto"/>
              </w:rPr>
            </w:pPr>
            <w:r>
              <w:rPr>
                <w:rFonts w:ascii="Arial" w:cs="Arial" w:eastAsia="Arial" w:hAnsi="Arial"/>
                <w:sz w:val="17"/>
                <w:szCs w:val="17"/>
                <w:color w:val="auto"/>
                <w:w w:val="94"/>
              </w:rPr>
              <w:t>Alamo, Georgia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117</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30,781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45,246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75,716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76,144</w:t>
            </w:r>
          </w:p>
        </w:tc>
        <w:tc>
          <w:tcPr>
            <w:tcW w:w="36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(22,631)</w:t>
            </w:r>
          </w:p>
        </w:tc>
        <w:tc>
          <w:tcPr>
            <w:tcW w:w="80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Whiteville Correctional</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Whiteville,</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2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5"/>
              </w:rPr>
              <w:t>Tennessee</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51,694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7,312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57,638</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59,309</w:t>
            </w: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(22,658)</w:t>
            </w:r>
          </w:p>
        </w:tc>
        <w:tc>
          <w:tcPr>
            <w:tcW w:w="8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7"/>
                <w:szCs w:val="17"/>
                <w:color w:val="auto"/>
              </w:rPr>
              <w:t>Totals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$ 189,036</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$ 2,635,749</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$ 1,012,108</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236,882</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$ 3,468,966</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$ 3,705,848</w:t>
            </w:r>
          </w:p>
        </w:tc>
        <w:tc>
          <w:tcPr>
            <w:tcW w:w="3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7"/>
              </w:rPr>
              <w:t>$</w:t>
            </w:r>
            <w:r>
              <w:rPr>
                <w:rFonts w:ascii="Arial" w:cs="Arial" w:eastAsia="Arial" w:hAnsi="Arial"/>
                <w:sz w:val="17"/>
                <w:szCs w:val="17"/>
                <w:b w:val="1"/>
                <w:bCs w:val="1"/>
                <w:color w:val="auto"/>
                <w:w w:val="87"/>
              </w:rPr>
              <w:t xml:space="preserve"> (1,059,006</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Arial" w:cs="Arial" w:eastAsia="Arial" w:hAnsi="Arial"/>
                <w:sz w:val="17"/>
                <w:szCs w:val="17"/>
                <w:color w:val="auto"/>
              </w:rPr>
              <w:t>F-49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2017</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SCHEDULE III - REAL ESTATE ASSETS AND ACCUMULATED DEPRECIATION</w:t>
      </w:r>
    </w:p>
    <w:p>
      <w:pPr>
        <w:spacing w:after="0" w:line="125" w:lineRule="exact"/>
        <w:rPr>
          <w:sz w:val="20"/>
          <w:szCs w:val="20"/>
          <w:color w:val="auto"/>
        </w:rPr>
      </w:pPr>
    </w:p>
    <w:p>
      <w:pPr>
        <w:ind w:left="320" w:hanging="315"/>
        <w:spacing w:after="0"/>
        <w:tabs>
          <w:tab w:leader="none" w:pos="3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aggregate cost of properties for federal income tax purposes is approximately $3.6 billion at December 31, 2017.</w:t>
      </w:r>
    </w:p>
    <w:p>
      <w:pPr>
        <w:spacing w:after="0" w:line="26" w:lineRule="exact"/>
        <w:rPr>
          <w:rFonts w:ascii="Arial" w:cs="Arial" w:eastAsia="Arial" w:hAnsi="Arial"/>
          <w:sz w:val="17"/>
          <w:szCs w:val="17"/>
          <w:b w:val="1"/>
          <w:bCs w:val="1"/>
          <w:color w:val="auto"/>
        </w:rPr>
      </w:pPr>
    </w:p>
    <w:p>
      <w:pPr>
        <w:ind w:left="320" w:hanging="315"/>
        <w:spacing w:after="0"/>
        <w:tabs>
          <w:tab w:leader="none" w:pos="3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Depreciation is calculated using estimated useful lives of depreciable assets up to 50 years for prison facilities.</w:t>
      </w:r>
    </w:p>
    <w:p>
      <w:pPr>
        <w:spacing w:after="0" w:line="14" w:lineRule="exact"/>
        <w:rPr>
          <w:rFonts w:ascii="Arial" w:cs="Arial" w:eastAsia="Arial" w:hAnsi="Arial"/>
          <w:sz w:val="17"/>
          <w:szCs w:val="17"/>
          <w:b w:val="1"/>
          <w:bCs w:val="1"/>
          <w:color w:val="auto"/>
        </w:rPr>
      </w:pPr>
    </w:p>
    <w:p>
      <w:pPr>
        <w:ind w:left="320" w:hanging="315"/>
        <w:spacing w:after="0" w:line="257" w:lineRule="auto"/>
        <w:tabs>
          <w:tab w:leader="none" w:pos="3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CoreCivic recorded non-cash impairments during the fourth quarter of 2014 to write down the book values of the Queensgate and Mineral Wells facilities, and during the third quarter of 2017 to write down the book value of the Bridgeport facility, to the estimated fair values assuming asset sales for uses other than correctional facilities.</w:t>
      </w:r>
    </w:p>
    <w:p>
      <w:pPr>
        <w:jc w:val="both"/>
        <w:ind w:left="320" w:right="100" w:hanging="315"/>
        <w:spacing w:after="0" w:line="257" w:lineRule="auto"/>
        <w:tabs>
          <w:tab w:leader="none" w:pos="3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We transitioned operations from the 1,154-bed San Diego Correctional Facility to the newly constructed 1,482-bed Otay Mesa Detention Center in the fourth quarter of 2015. The San Diego Correctional Facility was subject to a ground lease with the County of San Diego. Upon expiration of the lease on December 31, 2015, ownership of the facility automatically reverted to the County of San Diego.</w:t>
      </w:r>
    </w:p>
    <w:p>
      <w:pPr>
        <w:ind w:left="320" w:right="180" w:hanging="315"/>
        <w:spacing w:after="0" w:line="265" w:lineRule="auto"/>
        <w:tabs>
          <w:tab w:leader="none" w:pos="3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South Texas Family Residential Center is subject to a lease agreement with a third-party lessor. This agreement resulted in CoreCivic being deemed the owner of the newly constructed assets for accounting purposes, in accordance with ASC 840-40-55, formerly Emerging Issues Task Force No. 97-10, "The Effect of Lessee Involvement in Asset Construction."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9297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54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5"/>
              <w:spacing w:after="0" w:line="15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0"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0"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Investment in Real Estate:</w:t>
            </w:r>
          </w:p>
        </w:tc>
        <w:tc>
          <w:tcPr>
            <w:tcW w:w="1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7"/>
                <w:szCs w:val="17"/>
                <w:color w:val="auto"/>
              </w:rPr>
              <w:t>Balance at beginning of period</w:t>
            </w:r>
          </w:p>
        </w:tc>
        <w:tc>
          <w:tcPr>
            <w:tcW w:w="2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3,636,935</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3,542,023</w:t>
            </w:r>
          </w:p>
        </w:tc>
        <w:tc>
          <w:tcPr>
            <w:tcW w:w="12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3,071,094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Additions through capital expenditures</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433,481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7"/>
                <w:szCs w:val="17"/>
                <w:color w:val="auto"/>
              </w:rPr>
              <w:t>Acquisitions</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37,827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36,199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131,348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Asset Impairments</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(879)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7"/>
                <w:szCs w:val="17"/>
                <w:color w:val="auto"/>
              </w:rPr>
              <w:t>Reclassifications and other</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(93,900)</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end of period</w:t>
            </w:r>
          </w:p>
        </w:tc>
        <w:tc>
          <w:tcPr>
            <w:tcW w:w="1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vMerge w:val="continue"/>
            <w:shd w:val="clear" w:color="auto" w:fill="CFF0FC"/>
          </w:tcPr>
          <w:p>
            <w:pPr>
              <w:spacing w:after="0"/>
              <w:rPr>
                <w:sz w:val="18"/>
                <w:szCs w:val="18"/>
                <w:color w:val="auto"/>
              </w:rPr>
            </w:pPr>
          </w:p>
        </w:tc>
        <w:tc>
          <w:tcPr>
            <w:tcW w:w="20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3,705,848</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3,636,935</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3,542,023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Accumulated Depreciation:</w:t>
            </w:r>
          </w:p>
        </w:tc>
        <w:tc>
          <w:tcPr>
            <w:tcW w:w="1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4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period</w:t>
            </w:r>
          </w:p>
        </w:tc>
        <w:tc>
          <w:tcPr>
            <w:tcW w:w="20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(960,354)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(834,558)</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(815,980)</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7"/>
                <w:szCs w:val="17"/>
                <w:color w:val="auto"/>
              </w:rPr>
              <w:t>Depreciation</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(105,392)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(125,913)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(113,611)</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Disposals/Other</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Asset Impairments</w:t>
            </w:r>
          </w:p>
        </w:tc>
        <w:tc>
          <w:tcPr>
            <w:tcW w:w="1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Balance at end of period</w:t>
            </w:r>
          </w:p>
        </w:tc>
        <w:tc>
          <w:tcPr>
            <w:tcW w:w="20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(1,059,006)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(960,354)</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(834,558)</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540" w:type="dxa"/>
            <w:vAlign w:val="bottom"/>
          </w:tcPr>
          <w:p>
            <w:pPr>
              <w:spacing w:after="0"/>
              <w:rPr>
                <w:sz w:val="24"/>
                <w:szCs w:val="24"/>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7"/>
                <w:szCs w:val="17"/>
                <w:color w:val="auto"/>
              </w:rPr>
              <w:t>F-51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540" w:right="13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3.3</w:t>
      </w:r>
    </w:p>
    <w:p>
      <w:pPr>
        <w:spacing w:after="0" w:line="93"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CORECIVIC, INC.</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NINTH AMENDED AND RESTATED BYLAWS</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As amended December 7, 2017</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OFFICES AND FISCAL AND TAXABLE YEARS</w:t>
      </w:r>
    </w:p>
    <w:p>
      <w:pPr>
        <w:spacing w:after="0" w:line="212"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PRINCIPAL OFFICE</w:t>
      </w:r>
      <w:r>
        <w:rPr>
          <w:rFonts w:ascii="Arial" w:cs="Arial" w:eastAsia="Arial" w:hAnsi="Arial"/>
          <w:sz w:val="17"/>
          <w:szCs w:val="17"/>
          <w:color w:val="auto"/>
        </w:rPr>
        <w:t>. The principal office of CoreCivic, Inc. (the “Corporation”) shall be located at such place or places as the Board of Directors may designate.</w:t>
      </w:r>
    </w:p>
    <w:p>
      <w:pPr>
        <w:spacing w:after="0" w:line="158"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ADDITIONAL O</w:t>
      </w:r>
      <w:r>
        <w:rPr>
          <w:rFonts w:ascii="Arial" w:cs="Arial" w:eastAsia="Arial" w:hAnsi="Arial"/>
          <w:sz w:val="17"/>
          <w:szCs w:val="17"/>
          <w:color w:val="auto"/>
        </w:rPr>
        <w:t>FFICES. The Corporation may have additional offices at such places as the Board of Directors may from time to time determine or the business of the Corporation may require.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FISCAL AND TAXABLE YEARS</w:t>
      </w:r>
      <w:r>
        <w:rPr>
          <w:rFonts w:ascii="Arial" w:cs="Arial" w:eastAsia="Arial" w:hAnsi="Arial"/>
          <w:sz w:val="17"/>
          <w:szCs w:val="17"/>
          <w:color w:val="auto"/>
        </w:rPr>
        <w:t>. The fiscal and taxable years of the Corporation shall begin on January 1 and end on December 31.</w:t>
      </w:r>
    </w:p>
    <w:p>
      <w:pPr>
        <w:spacing w:after="0" w:line="200" w:lineRule="exact"/>
        <w:rPr>
          <w:sz w:val="20"/>
          <w:szCs w:val="20"/>
          <w:color w:val="auto"/>
        </w:rPr>
      </w:pPr>
    </w:p>
    <w:p>
      <w:pPr>
        <w:spacing w:after="0" w:line="227"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MEETINGS OF STOCKHOLDERS</w:t>
      </w:r>
    </w:p>
    <w:p>
      <w:pPr>
        <w:spacing w:after="0" w:line="212"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PLACE</w:t>
      </w:r>
      <w:r>
        <w:rPr>
          <w:rFonts w:ascii="Arial" w:cs="Arial" w:eastAsia="Arial" w:hAnsi="Arial"/>
          <w:sz w:val="17"/>
          <w:szCs w:val="17"/>
          <w:color w:val="auto"/>
        </w:rPr>
        <w:t>. All meetings of stockholders shall be held at the principal office of the Corporation or at such other place within the United States as shall be stated in the notice of the meeting.</w:t>
      </w:r>
    </w:p>
    <w:p>
      <w:pPr>
        <w:spacing w:after="0" w:line="15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w:t>
      </w:r>
      <w:r>
        <w:rPr>
          <w:rFonts w:ascii="Arial" w:cs="Arial" w:eastAsia="Arial" w:hAnsi="Arial"/>
          <w:sz w:val="16"/>
          <w:szCs w:val="16"/>
          <w:color w:val="auto"/>
        </w:rPr>
        <w:t>. An annual meeting of the stockholders for the election of Directors and the transaction of any business within the powers of the Corporation shall be held during the month of May of each year at a convenient location and on proper notice, on a date at the time set by the Board of Directors. Failure to hold an annual meeting does not invalidate the Corporation’s existence or affect any otherwise valid acts of the Corporation.</w:t>
      </w:r>
    </w:p>
    <w:p>
      <w:pPr>
        <w:spacing w:after="0" w:line="155"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NOTICE</w:t>
      </w:r>
      <w:r>
        <w:rPr>
          <w:rFonts w:ascii="Arial" w:cs="Arial" w:eastAsia="Arial" w:hAnsi="Arial"/>
          <w:sz w:val="15"/>
          <w:szCs w:val="15"/>
          <w:color w:val="auto"/>
        </w:rPr>
        <w:t>. Not less than ten (10) nor more than ninety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w:t>
      </w:r>
    </w:p>
    <w:p>
      <w:pPr>
        <w:jc w:val="both"/>
        <w:ind w:right="240"/>
        <w:spacing w:after="0" w:line="265" w:lineRule="auto"/>
        <w:rPr>
          <w:sz w:val="20"/>
          <w:szCs w:val="20"/>
          <w:color w:val="auto"/>
        </w:rPr>
      </w:pPr>
      <w:r>
        <w:rPr>
          <w:rFonts w:ascii="Arial" w:cs="Arial" w:eastAsia="Arial" w:hAnsi="Arial"/>
          <w:sz w:val="17"/>
          <w:szCs w:val="17"/>
          <w:color w:val="auto"/>
        </w:rPr>
        <w:t>mail or by presenting it to such stockholder personally or by leaving it at his residence or usual place of business. If mailed, such notice shall be deemed to be given when deposited in the United States mail addressed to the stockholder at his post office address as it appears on the records of the Corporation, with postage thereon prepaid.</w:t>
      </w:r>
    </w:p>
    <w:p>
      <w:pPr>
        <w:spacing w:after="0" w:line="179"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SCOPE OF NOTICE</w:t>
      </w:r>
      <w:r>
        <w:rPr>
          <w:rFonts w:ascii="Arial" w:cs="Arial" w:eastAsia="Arial" w:hAnsi="Arial"/>
          <w:sz w:val="17"/>
          <w:szCs w:val="17"/>
          <w:color w:val="auto"/>
        </w:rPr>
        <w:t>.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71"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w:t>
      </w:r>
      <w:r>
        <w:rPr>
          <w:rFonts w:ascii="Arial" w:cs="Arial" w:eastAsia="Arial" w:hAnsi="Arial"/>
          <w:sz w:val="16"/>
          <w:szCs w:val="16"/>
          <w:color w:val="auto"/>
        </w:rPr>
        <w:t>. At every meeting of the stockholders, the Chairman of the Board, if there be one, shall conduct the meeting or, in the case of vacancy in office or absence of the Chairman of the Board, one of the following officers present shall conduct the meeting in the order stated: the Vice Chairman of the Board, if there be one, the President, the Vice Presidents in their order of rank and seniority and the Secretary, or, in his absence, an assistant secretary, or in the absence of both the Secretary and assistant secretaries, a person appointed by the Chairman shall act as Secretary.</w:t>
      </w:r>
    </w:p>
    <w:p>
      <w:pPr>
        <w:spacing w:after="0" w:line="161"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stockholders, the presence in person or by proxy of stockholders entitled to cast a majority of all the votes entitled to be cast at such meeting shall constitute a quorum; but this Section shall not affect any requirement under any statute or the Charter for the vote necessary for the adoption of any measure.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452755</wp:posOffset>
            </wp:positionV>
            <wp:extent cx="729297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80"/>
          </w:cols>
          <w:pgMar w:left="380" w:top="121" w:right="239" w:bottom="1440" w:gutter="0" w:footer="0" w:header="0"/>
        </w:sectPr>
      </w:pPr>
    </w:p>
    <w:bookmarkStart w:id="143" w:name="page144"/>
    <w:bookmarkEnd w:id="143"/>
    <w:p>
      <w:pPr>
        <w:ind w:right="140"/>
        <w:spacing w:after="0" w:line="267" w:lineRule="auto"/>
        <w:rPr>
          <w:sz w:val="20"/>
          <w:szCs w:val="20"/>
          <w:color w:val="auto"/>
        </w:rPr>
      </w:pPr>
      <w:r>
        <w:rPr>
          <w:rFonts w:ascii="Arial" w:cs="Arial" w:eastAsia="Arial" w:hAnsi="Arial"/>
          <w:sz w:val="17"/>
          <w:szCs w:val="17"/>
          <w:color w:val="auto"/>
        </w:rPr>
        <w:t>however, such quorum shall not be present at any meeting of the stockholders,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78"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SPECIAL M</w:t>
      </w:r>
      <w:r>
        <w:rPr>
          <w:rFonts w:ascii="Arial" w:cs="Arial" w:eastAsia="Arial" w:hAnsi="Arial"/>
          <w:sz w:val="16"/>
          <w:szCs w:val="16"/>
          <w:color w:val="auto"/>
        </w:rPr>
        <w:t>EETINGS. The President, Chairman of the Board, a majority of the Board of Directors or a committee of the Board of Directors which has been duly designated by the Board of Directors and whose powers and authority, as provided in a resolution of the Board of Directors or these Bylaws, include the power to call such meetings, may call special meetings of the stockholders. The Secretary of the Corporation shall call a special meeting of the stockholders on the written request of stockholders entitled to cast at least a majority of all the votes entitled to be cast at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19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w:t>
      </w:r>
      <w:r>
        <w:rPr>
          <w:rFonts w:ascii="Arial" w:cs="Arial" w:eastAsia="Arial" w:hAnsi="Arial"/>
          <w:sz w:val="17"/>
          <w:szCs w:val="17"/>
          <w:color w:val="auto"/>
        </w:rPr>
        <w:t>eral. Unless otherwise provided in the Charter, each outstanding share of stock, regardless of class, shall be entitled to one vote on each matter submitted to a vote at a meeting of stockholders. All elections of directors shall be decided by the vote described in Article II, Section 8(b) of these Bylaws and, except as otherwise required by law or the Charter or these Bylaws, all other matters shall be decided by the affirmative vote of a majority of the shares present in person or represented by proxy at the meeting and entitled to vote on such matter.</w:t>
      </w:r>
    </w:p>
    <w:p>
      <w:pPr>
        <w:spacing w:after="0" w:line="178" w:lineRule="exact"/>
        <w:rPr>
          <w:sz w:val="20"/>
          <w:szCs w:val="20"/>
          <w:color w:val="auto"/>
        </w:rPr>
      </w:pPr>
    </w:p>
    <w:p>
      <w:pPr>
        <w:ind w:right="220" w:firstLine="7"/>
        <w:spacing w:after="0" w:line="294" w:lineRule="auto"/>
        <w:tabs>
          <w:tab w:leader="none" w:pos="552"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Director Ele</w:t>
      </w:r>
      <w:r>
        <w:rPr>
          <w:rFonts w:ascii="Arial" w:cs="Arial" w:eastAsia="Arial" w:hAnsi="Arial"/>
          <w:sz w:val="15"/>
          <w:szCs w:val="15"/>
          <w:color w:val="auto"/>
        </w:rPr>
        <w:t>ctions. A nominee for Director shall be elected to the Board of Directors if the total votes cast “for” such nominee’s election exceed the votes cast “against” such nominee’s election at any meeting for the election of directors at which at a quorum is present (with “abstentions” and “broker non-votes” not counted as votes cast either for or against such election); provided, however, that a nominee for Director shall be elected to the Board of Directors by a plurality of the votes cast at any meeting of stockholders duly called and at which a quorum is present for which (i) the Secretary of the Corporation receives notice that a stockholder has nominated an individual for election as a Director in compliance with the advance notice requirements for stockholder</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nominees for Director set forth in these Bylaws, and (ii) such nomination has not been withdrawn by such stockholder on or prior to the tenth day preceding the date the Corporation first mails its notice of meeting for such meeting to the stockholders (any such election, a “Contested Election”). Stockholders are not entitled to cumulative voting in the election of directors. The Board of Directors has established procedures pursuant to which any director nominee who fails to receive a majority of the votes cast as set forth in this Article II, Section 8(b) will tender his or her resignation to the Board of Directors. The Board of Directors (or a committee thereof) will act upon a tendered resignation and will publicly disclose (by a press release, a filing with the Securities and Exchange Commission (“SEC”) or other broadly disseminated means of communication) its decision regarding the tendered resignation and the rationale behind the decision within 90 days from the date of certification of the election results. If a Director’s resignation is accepted by the Board of Directors pursuant to this Article II, Section 8(b), or if a nominee for Director is not elected and the nominee is not an incumbent director, the Board of Directors may fill the resulting vacancy or decrease the size of the Board of Directors pursuant to the provisions of Article III, Section 9 and Section 14 of these Bylaws and, as applicable, the Charter.</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PROXIES</w:t>
      </w:r>
      <w:r>
        <w:rPr>
          <w:rFonts w:ascii="Arial" w:cs="Arial" w:eastAsia="Arial" w:hAnsi="Arial"/>
          <w:sz w:val="17"/>
          <w:szCs w:val="17"/>
          <w:color w:val="auto"/>
        </w:rPr>
        <w:t>. A stockholder may vote the shares of stock owned of record by him, either in person or by proxy appointed by an instrument in writing subscribed by such stockholder and bearing a date not more than three</w:t>
      </w:r>
    </w:p>
    <w:p>
      <w:pPr>
        <w:spacing w:after="0" w:line="1" w:lineRule="exact"/>
        <w:rPr>
          <w:sz w:val="20"/>
          <w:szCs w:val="20"/>
          <w:color w:val="auto"/>
        </w:rPr>
      </w:pPr>
    </w:p>
    <w:p>
      <w:pPr>
        <w:jc w:val="both"/>
        <w:ind w:right="640" w:firstLine="7"/>
        <w:spacing w:after="0" w:line="343" w:lineRule="auto"/>
        <w:tabs>
          <w:tab w:leader="none" w:pos="550" w:val="left"/>
        </w:tabs>
        <w:numPr>
          <w:ilvl w:val="0"/>
          <w:numId w:val="36"/>
        </w:numPr>
        <w:rPr>
          <w:rFonts w:ascii="Arial" w:cs="Arial" w:eastAsia="Arial" w:hAnsi="Arial"/>
          <w:sz w:val="15"/>
          <w:szCs w:val="15"/>
          <w:color w:val="auto"/>
        </w:rPr>
      </w:pPr>
      <w:r>
        <w:rPr>
          <w:rFonts w:ascii="Arial" w:cs="Arial" w:eastAsia="Arial" w:hAnsi="Arial"/>
          <w:sz w:val="15"/>
          <w:szCs w:val="15"/>
          <w:color w:val="auto"/>
        </w:rPr>
        <w:t>years prior to said meeting, unless such instrument provides for a longer period. Such proxy shall be filed with the Secretary of the Corporation before or at the time of the meeting. No proxy shall be valid after eleven months from the date of its execution, unless otherwise provided in the proxy.</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VOTING OF SHARES OF STOCK BY CERTAIN HOLDERS</w:t>
      </w:r>
      <w:r>
        <w:rPr>
          <w:rFonts w:ascii="Arial" w:cs="Arial" w:eastAsia="Arial" w:hAnsi="Arial"/>
          <w:sz w:val="17"/>
          <w:szCs w:val="17"/>
          <w:color w:val="auto"/>
        </w:rPr>
        <w:t>. Shares of stock of the Corporation registered in the name of a corporation, partnership, trust or other entity, if entitled to be voted, may be voted by the president or a vice president, a general partner or director thereof, as the case may be, or a proxy appointed by any of the foregoing individuals, unless some other person who has been appointed to vote such shares of stock pursuant to a bylaw or a resolution of the governing board of such corporation or other entity or agreement of the partners of the partnership presents a certified copy of such bylaw, resolution or agreement, in which case such person may vote such shares of stock. Any fiduciary may vote shares of stock registered in his name as such fiduciary, either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459740</wp:posOffset>
            </wp:positionV>
            <wp:extent cx="729297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20"/>
          </w:cols>
          <w:pgMar w:left="380" w:top="389" w:right="399" w:bottom="1440" w:gutter="0" w:footer="0" w:header="0"/>
        </w:sectPr>
      </w:pPr>
    </w:p>
    <w:bookmarkStart w:id="144" w:name="page145"/>
    <w:bookmarkEnd w:id="144"/>
    <w:p>
      <w:pPr>
        <w:ind w:right="180"/>
        <w:spacing w:after="0" w:line="281"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 necessary or desirable. On receipt of such certification, the person specified in the certification shall be regarded as, for the purposes set forth in the certification, the stockholder of record of the specified shares of stock in place of the stockholder who makes the certification.</w:t>
      </w:r>
    </w:p>
    <w:p>
      <w:pPr>
        <w:spacing w:after="0" w:line="16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Title 3, Subtitle 7 of the Maryland General Corporation Law (the “MGCL”), or any successor statute, shall not apply to any acquisition by any person of shares of stock of the Corporation.</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INSPECTORS</w:t>
      </w:r>
      <w:r>
        <w:rPr>
          <w:rFonts w:ascii="Arial" w:cs="Arial" w:eastAsia="Arial" w:hAnsi="Arial"/>
          <w:sz w:val="17"/>
          <w:szCs w:val="17"/>
          <w:color w:val="auto"/>
        </w:rPr>
        <w:t>. At any meeting of stockholders, the chairman of the meeting may, or upon the request of any stockholder shall, appoint one or more persons as inspectors for such meeting. Such inspectors shall ascertain and report the number of shares of stock represented at the meeting based upon their determination of the validity and effect of proxies, count all votes, report the results and perform such other acts as are proper to conduct the election and voting with impartiality and fairness to all the stockholders.</w:t>
      </w:r>
    </w:p>
    <w:p>
      <w:pPr>
        <w:spacing w:after="0" w:line="17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of stock represented at the meeting and the results of the voting shall be prima facie evidence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Section 12. NOMINATIONS AND STOCKHOLDER BUSINESS.</w:t>
      </w:r>
    </w:p>
    <w:p>
      <w:pPr>
        <w:spacing w:after="0" w:line="224" w:lineRule="exact"/>
        <w:rPr>
          <w:sz w:val="20"/>
          <w:szCs w:val="20"/>
          <w:color w:val="auto"/>
        </w:rPr>
      </w:pPr>
    </w:p>
    <w:p>
      <w:pPr>
        <w:ind w:left="540" w:hanging="533"/>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w:t>
      </w:r>
    </w:p>
    <w:p>
      <w:pPr>
        <w:spacing w:after="0" w:line="19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(1) Nominations of persons for election to the Board of Directors and the proposal of business to be considered by the stockholders may be made at an annual meeting of stockholders: (i) pursuant to the Corporation’s notice of meeting; (ii) by or at the direction of the Board of Directors (such nominee, a “Board Nominee”); or (iii) by any stockholder (such nominee, a “Stockholder Nominee”) of the Corporation who was a stockholder of record at the time of giving of notice provided for in this Section 12(a), who is entitled to vote at the meeting and who complied with the notice procedures set forth in this Section 12(a).</w:t>
      </w:r>
    </w:p>
    <w:p>
      <w:pPr>
        <w:spacing w:after="0" w:line="17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(2) For nominations or other business to be properly brought before an annual meeting by a stockholder pursuant to clause (iii) of paragraph (a)(1) of this Section 12,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Stockholder Nominee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w:t>
      </w:r>
    </w:p>
    <w:p>
      <w:pPr>
        <w:spacing w:after="0" w:line="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(iii) as to the stockholder giving the notice and the beneficial owner, if any, on whose behalf the nomination or proposal is made, (y) the name and address of such stockholder, as they appear on the Corporation’s books, and of such beneficial owner and (z) the number of each class of shares of stock of the Corporation which are owned beneficially and of record by such stockholder and such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457835</wp:posOffset>
            </wp:positionV>
            <wp:extent cx="729297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060"/>
          </w:cols>
          <w:pgMar w:left="380" w:top="389" w:right="459" w:bottom="1440" w:gutter="0" w:footer="0" w:header="0"/>
        </w:sectPr>
      </w:pPr>
    </w:p>
    <w:bookmarkStart w:id="145" w:name="page146"/>
    <w:bookmarkEnd w:id="145"/>
    <w:p>
      <w:pPr>
        <w:ind w:right="60"/>
        <w:spacing w:after="0" w:line="263" w:lineRule="auto"/>
        <w:rPr>
          <w:sz w:val="20"/>
          <w:szCs w:val="20"/>
          <w:color w:val="auto"/>
        </w:rPr>
      </w:pPr>
      <w:r>
        <w:rPr>
          <w:rFonts w:ascii="Arial" w:cs="Arial" w:eastAsia="Arial" w:hAnsi="Arial"/>
          <w:sz w:val="17"/>
          <w:szCs w:val="17"/>
          <w:color w:val="auto"/>
        </w:rPr>
        <w:t>(3) Notwithstanding anything in the second sentence of paragraph (a)(2) of this Section 12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required by this Section 12(a)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81" w:lineRule="exact"/>
        <w:rPr>
          <w:sz w:val="20"/>
          <w:szCs w:val="20"/>
          <w:color w:val="auto"/>
        </w:rPr>
      </w:pPr>
    </w:p>
    <w:p>
      <w:pPr>
        <w:ind w:right="160" w:firstLine="7"/>
        <w:spacing w:after="0" w:line="278" w:lineRule="auto"/>
        <w:tabs>
          <w:tab w:leader="none" w:pos="5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Proxy Ac</w:t>
      </w:r>
      <w:r>
        <w:rPr>
          <w:rFonts w:ascii="Arial" w:cs="Arial" w:eastAsia="Arial" w:hAnsi="Arial"/>
          <w:sz w:val="16"/>
          <w:szCs w:val="16"/>
          <w:color w:val="auto"/>
        </w:rPr>
        <w:t>cess. The Corporation shall include in its proxy statement for any annual meeting of stockholders the name, together with the Required Information (defined below), of any Stockholder Nominee identified in a timely notice that satisfies Section 12(a) of this Article II delivered by one or more stockholders who at the time the request is delivered satisfy, or are acting on behalf of persons who satisfy the ownership and other requirements of both</w:t>
      </w:r>
    </w:p>
    <w:p>
      <w:pPr>
        <w:spacing w:after="0" w:line="1"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Sections 12(a) and 12(b) of this Article II (such stockholder or stockholders, and any person on whose behalf they are acting, the “Eligible Stockholder”), and who expressly elects at the time of providing the notice required by this Article II to have its nominee included in the Corporation’s proxy materials pursuant to this Article II Section 12(b).</w:t>
      </w:r>
    </w:p>
    <w:p>
      <w:pPr>
        <w:spacing w:after="0" w:line="179" w:lineRule="exact"/>
        <w:rPr>
          <w:sz w:val="20"/>
          <w:szCs w:val="20"/>
          <w:color w:val="auto"/>
        </w:rPr>
      </w:pPr>
    </w:p>
    <w:p>
      <w:pPr>
        <w:ind w:left="560" w:hanging="553"/>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purposes of this Article II, Section 12(b), the “Required Information” that the Corporation will include in its proxy statement is (i) the information</w:t>
      </w:r>
    </w:p>
    <w:p>
      <w:pPr>
        <w:spacing w:after="0" w:line="38"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concerning the Stockholder Nominee and the Eligible Stockholder that, as determined by the Corporation, is required to be disclosed in a proxy statement filed pursuant to the proxy rules of the SEC, and (ii) if the Eligible Stockholder so elects, a Statement (defined below).</w:t>
      </w:r>
    </w:p>
    <w:p>
      <w:pPr>
        <w:spacing w:after="0" w:line="170" w:lineRule="exact"/>
        <w:rPr>
          <w:sz w:val="20"/>
          <w:szCs w:val="20"/>
          <w:color w:val="auto"/>
        </w:rPr>
      </w:pPr>
    </w:p>
    <w:p>
      <w:pPr>
        <w:ind w:firstLine="7"/>
        <w:spacing w:after="0" w:line="267" w:lineRule="auto"/>
        <w:tabs>
          <w:tab w:leader="none" w:pos="5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Corporation shall not be required to include a Stockholder Nominee in its proxy materials for any meeting of stockholders for which (i) the Secretary receives a notice that the Eligible Stockholder has nominated a person for election to the Board of Directors pursuant to the notice requirements set forth in Article II Section 12(a) and (ii) the Eligible Stockholder does not expressly elect at the time of providing the notice to have its nominee included in the Corporation’s proxy materials pursuant to this Article II, Section 12(b).</w:t>
      </w:r>
    </w:p>
    <w:p>
      <w:pPr>
        <w:spacing w:after="0" w:line="177" w:lineRule="exact"/>
        <w:rPr>
          <w:rFonts w:ascii="Arial" w:cs="Arial" w:eastAsia="Arial" w:hAnsi="Arial"/>
          <w:sz w:val="17"/>
          <w:szCs w:val="17"/>
          <w:color w:val="auto"/>
        </w:rPr>
      </w:pPr>
    </w:p>
    <w:p>
      <w:pPr>
        <w:ind w:left="560" w:hanging="553"/>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number of Stockholder Nominees (including Stockholder Nominees that were submitted by an Eligible Stockholder for inclusion in the</w:t>
      </w:r>
    </w:p>
    <w:p>
      <w:pPr>
        <w:spacing w:after="0" w:line="26" w:lineRule="exact"/>
        <w:rPr>
          <w:sz w:val="20"/>
          <w:szCs w:val="20"/>
          <w:color w:val="auto"/>
        </w:rPr>
      </w:pPr>
    </w:p>
    <w:p>
      <w:pPr>
        <w:ind w:right="80" w:firstLine="1"/>
        <w:spacing w:after="0" w:line="291" w:lineRule="auto"/>
        <w:rPr>
          <w:sz w:val="20"/>
          <w:szCs w:val="20"/>
          <w:color w:val="auto"/>
        </w:rPr>
      </w:pPr>
      <w:r>
        <w:rPr>
          <w:rFonts w:ascii="Arial" w:cs="Arial" w:eastAsia="Arial" w:hAnsi="Arial"/>
          <w:sz w:val="15"/>
          <w:szCs w:val="15"/>
          <w:color w:val="auto"/>
        </w:rPr>
        <w:t>Corporation’s proxy materials pursuant to this Article II Section 12(b) but either are subsequently withdrawn or that the Board of Directors decides to nominate as Board Nominees) appearing in the Corporation’s proxy materials with respect to a meeting of stockholders shall not exceed twenty-five percent (25%) of the number of directors in office as of the last day on which notice of a nomination may be delivered pursuant to Article II Section 12(a) (the “Final Proxy Access Nomination Date”), or if such amount is not a whole number, the closest whole number below twenty-five percent (25%), but not less than two</w:t>
      </w:r>
    </w:p>
    <w:p>
      <w:pPr>
        <w:spacing w:after="0" w:line="2"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(2). In the event that the number of Stockholder Nominees submitted by Eligible Stockholders pursuant to this Article II Section 12(b) exceeds this maximum number, each Eligible Stockholder shall select one Stockholder Nominee for inclusion in the Corporation’s proxy materials until the maximum number is reached, going in the order of the amount (largest to smallest) of shares of the Corporation’s capital stock each Eligible Stockholder disclosed as owned in the written notice of the nomination submitted to the Corporation, unless such disclosure was overstated as determined by the Corporation in good faith, in which case the lower amount shall be used. If the maximum number is not reached after each Eligible Stockholder has selected one Stockholder Nominee, this selection process shall continue as many times as necessary, following the same order each time, until the maximum number is reached.</w:t>
      </w:r>
    </w:p>
    <w:p>
      <w:pPr>
        <w:spacing w:after="0" w:line="157" w:lineRule="exact"/>
        <w:rPr>
          <w:sz w:val="20"/>
          <w:szCs w:val="20"/>
          <w:color w:val="auto"/>
        </w:rPr>
      </w:pPr>
    </w:p>
    <w:p>
      <w:pPr>
        <w:ind w:left="560" w:hanging="553"/>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Eligible Stockholder must have owned (as defined below) three percent (3%) or more of the Corporation’s outstanding capital stock continuously</w:t>
      </w:r>
    </w:p>
    <w:p>
      <w:pPr>
        <w:spacing w:after="0" w:line="3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at least three (3) years (the “Required Shares”) as of both the date the written notice of the nomination is delivered to or mailed and received by the Corporation in accordance with Article II Section 12(b) and the record date for determining stockholders entitled to vote at the meeting and must continue to own the Required Shares through the meeting date. For purposes of satisfying the foregoing ownership requirement under this Section 12(a), (i) the shares of common stock owned by one or more stockholders, or by the person or persons who own shares of the Corporation’s common stock and on whose behalf any stockholder is acting, may be aggregated, provided that the number of stockholders and other persons whose ownership of shares is aggregated for such purpose shall not exceed twenty (20), and (ii) a group of funds under common management and investment control shall be treated as one stockholder or person for this purpose. Within the time period specified in Article II Section 12(a) for providing notice of a nomination, an Eligible Stockholder must provide the following information in writing to the Secretary (in addition to the information required to be provided by 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451485</wp:posOffset>
            </wp:positionV>
            <wp:extent cx="729297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020"/>
          </w:cols>
          <w:pgMar w:left="380" w:top="389" w:right="499" w:bottom="1440" w:gutter="0" w:footer="0" w:header="0"/>
        </w:sectPr>
      </w:pPr>
    </w:p>
    <w:bookmarkStart w:id="146" w:name="page147"/>
    <w:bookmarkEnd w:id="146"/>
    <w:p>
      <w:pPr>
        <w:jc w:val="both"/>
        <w:ind w:right="20"/>
        <w:spacing w:after="0" w:line="278" w:lineRule="auto"/>
        <w:rPr>
          <w:sz w:val="20"/>
          <w:szCs w:val="20"/>
          <w:color w:val="auto"/>
        </w:rPr>
      </w:pPr>
      <w:r>
        <w:rPr>
          <w:rFonts w:ascii="Arial" w:cs="Arial" w:eastAsia="Arial" w:hAnsi="Arial"/>
          <w:sz w:val="16"/>
          <w:szCs w:val="16"/>
          <w:color w:val="auto"/>
        </w:rPr>
        <w:t>Section 12(a)): (i) one or more written statements from the record holder of the shares (and from each intermediary through which the shares are or have been held during the requisite three-year holding period) verifying that, as of a date within seven calendar days prior to the date the written notice of the nomination is delivered to or mailed and received by the Corporation, the Eligible Stockholder owns, and has owned continuously for the preceding three</w:t>
      </w:r>
    </w:p>
    <w:p>
      <w:pPr>
        <w:spacing w:after="0" w:line="1" w:lineRule="exact"/>
        <w:rPr>
          <w:sz w:val="20"/>
          <w:szCs w:val="20"/>
          <w:color w:val="auto"/>
        </w:rPr>
      </w:pPr>
    </w:p>
    <w:p>
      <w:pPr>
        <w:ind w:right="20" w:firstLine="7"/>
        <w:spacing w:after="0" w:line="291" w:lineRule="auto"/>
        <w:tabs>
          <w:tab w:leader="none" w:pos="247" w:val="left"/>
        </w:tabs>
        <w:numPr>
          <w:ilvl w:val="0"/>
          <w:numId w:val="42"/>
        </w:numPr>
        <w:rPr>
          <w:rFonts w:ascii="Arial" w:cs="Arial" w:eastAsia="Arial" w:hAnsi="Arial"/>
          <w:sz w:val="15"/>
          <w:szCs w:val="15"/>
          <w:color w:val="auto"/>
        </w:rPr>
      </w:pPr>
      <w:r>
        <w:rPr>
          <w:rFonts w:ascii="Arial" w:cs="Arial" w:eastAsia="Arial" w:hAnsi="Arial"/>
          <w:sz w:val="15"/>
          <w:szCs w:val="15"/>
          <w:color w:val="auto"/>
        </w:rPr>
        <w:t>years, the Required Shares, and the Eligible Stockholder’s agreement to provide, within five business days after the record date for the meeting, written statements from the record holder and intermediaries verifying the Eligible Stockholder’s continuous ownership of the Required Shares through the record date, (ii) the written consent of each Stockholder Nominee to be named in the proxy statement as a nominee and to serving as a director if elected, (iii) a copy of the Schedule 14N that has been filed with the SEC as required by Rule 14a-18 under the Exchange Act, as may be amended, (iv) a representation that the Eligible Stockholder (including each member of any group of stockholders that together is an Eligible Stockholder hereunder) (A) acquired the Required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Shares in the ordinary  course of business and not with the intent to change or influence control at the Corporation, and does not presently  have such intent,</w:t>
      </w:r>
    </w:p>
    <w:p>
      <w:pPr>
        <w:spacing w:after="0" w:line="37" w:lineRule="exact"/>
        <w:rPr>
          <w:sz w:val="20"/>
          <w:szCs w:val="20"/>
          <w:color w:val="auto"/>
        </w:rPr>
      </w:pPr>
    </w:p>
    <w:p>
      <w:pPr>
        <w:ind w:firstLine="7"/>
        <w:spacing w:after="0" w:line="257" w:lineRule="auto"/>
        <w:tabs>
          <w:tab w:leader="none" w:pos="2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has not nominated and will not nominate for election to the Board of Directors at the meeting any person other than the Stockholder Nominee(s) being nominated pursuant to this Article II Section 12(b), (C) has not engaged and will not engage in, and has not and will not be, a “participant” in another person’s “solicitation” within the meaning of Rule 14a-1(l) under the Exchange Act in support of the election of any individual as a director at the meeting other than its Stockholder Nominee or a Board Nominee, (D) will not distribute to any stockholder any form of proxy for the meeting other than the form distributed by the Corporation,</w:t>
      </w:r>
    </w:p>
    <w:p>
      <w:pPr>
        <w:ind w:right="320" w:firstLine="6"/>
        <w:spacing w:after="0" w:line="291" w:lineRule="auto"/>
        <w:tabs>
          <w:tab w:leader="none" w:pos="263"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intends to continue to own the Required Shares through the date of the meeting, and (F)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and (v) an undertaking that the Eligible Stockholder agrees to (A) assume all liability stemming from any legal or regulatory violation arising out of the Eligible</w:t>
      </w:r>
    </w:p>
    <w:p>
      <w:pPr>
        <w:spacing w:after="0" w:line="2"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Stockholder’s communications with the Corporation’s stockholders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Article II Section 12(b), (C) file with the SEC all soliciting and other materials as required under paragraph 9 of Section 12(b) of this Article II, and (D) comply with all other applicable laws, rules, regulations and listing standards with respect to any solicitation in connection with the meeting. The inspector of elections shall not give effect to the Eligible Stockholder’s votes with respect to the election of directors if the Eligible Stockholder does not comply with each of the representations in clause (iv) above.</w:t>
      </w:r>
    </w:p>
    <w:p>
      <w:pPr>
        <w:spacing w:after="0" w:line="155" w:lineRule="exact"/>
        <w:rPr>
          <w:sz w:val="20"/>
          <w:szCs w:val="20"/>
          <w:color w:val="auto"/>
        </w:rPr>
      </w:pPr>
    </w:p>
    <w:p>
      <w:pPr>
        <w:ind w:left="560" w:hanging="553"/>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purposes of this Article II Section 12(b), an Eligible Stockholder shall be deemed to “own” only those outstanding shares of the Corporation’s</w:t>
      </w:r>
    </w:p>
    <w:p>
      <w:pPr>
        <w:spacing w:after="0" w:line="38"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capital stock as to which the stockholder possesses both (i) the full voting and investment rights pertaining to the shares and (ii) the full economic interest in (including the opportunity for profit and risk of loss on) such shares; provided that the number of shares calculated in accordance with clauses</w:t>
      </w:r>
    </w:p>
    <w:p>
      <w:pPr>
        <w:spacing w:after="0" w:line="1" w:lineRule="exact"/>
        <w:rPr>
          <w:sz w:val="20"/>
          <w:szCs w:val="20"/>
          <w:color w:val="auto"/>
        </w:rPr>
      </w:pPr>
    </w:p>
    <w:p>
      <w:pPr>
        <w:ind w:right="160" w:firstLine="7"/>
        <w:spacing w:after="0" w:line="291" w:lineRule="auto"/>
        <w:tabs>
          <w:tab w:leader="none" w:pos="459"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stockholder’s or affiliates’ full right to vote or direct the voting of any such shares, and/or</w:t>
      </w:r>
    </w:p>
    <w:p>
      <w:pPr>
        <w:spacing w:after="0" w:line="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(2) hedging, offsetting or altering to any degree gain or loss arising from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that is revocable at any time by the stockholder. A person’s ownership of shares shall be deemed to continue during any period in which (i) the person has</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loaned such shares, provided that the person has the power to recall such loaned shares on three (3) business days’ notice; or (ii) the person has delegated any voting power by means of a proxy, power of attorney or other instrument or arrangement that is revocable at any time by the person. Whether outstanding shares of the Corporation’s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457835</wp:posOffset>
            </wp:positionV>
            <wp:extent cx="729297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020"/>
          </w:cols>
          <w:pgMar w:left="380" w:top="389" w:right="499" w:bottom="1440" w:gutter="0" w:footer="0" w:header="0"/>
        </w:sectPr>
      </w:pPr>
    </w:p>
    <w:bookmarkStart w:id="147" w:name="page148"/>
    <w:bookmarkEnd w:id="147"/>
    <w:p>
      <w:pPr>
        <w:jc w:val="both"/>
        <w:ind w:right="200"/>
        <w:spacing w:after="0" w:line="273" w:lineRule="auto"/>
        <w:rPr>
          <w:sz w:val="20"/>
          <w:szCs w:val="20"/>
          <w:color w:val="auto"/>
        </w:rPr>
      </w:pPr>
      <w:r>
        <w:rPr>
          <w:rFonts w:ascii="Arial" w:cs="Arial" w:eastAsia="Arial" w:hAnsi="Arial"/>
          <w:sz w:val="17"/>
          <w:szCs w:val="17"/>
          <w:color w:val="auto"/>
        </w:rPr>
        <w:t>stock are “owned” for these purposes shall be determined by the Board of Directors, which determination shall be conclusive and binding on the Corporation and its stockholders. For purposes of this Article II Section 12(b), the term “affiliate” shall have the meaning ascribed thereto in the regulations promulgated under the Exchange Act.</w:t>
      </w:r>
    </w:p>
    <w:p>
      <w:pPr>
        <w:spacing w:after="0" w:line="171" w:lineRule="exact"/>
        <w:rPr>
          <w:sz w:val="20"/>
          <w:szCs w:val="20"/>
          <w:color w:val="auto"/>
        </w:rPr>
      </w:pPr>
    </w:p>
    <w:p>
      <w:pPr>
        <w:ind w:right="920" w:firstLine="7"/>
        <w:spacing w:after="0" w:line="262" w:lineRule="auto"/>
        <w:tabs>
          <w:tab w:leader="none" w:pos="5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Eligible Stockholder may provide to the Secretary, within the time period specified in Article II Section 12(a) for providing notice of a nomination, a written statement for inclusion in the Corporation’s proxy statement for the meeting, not to exceed 500 words, in support of the Stockholder Nominee’s candidacy (the</w:t>
      </w:r>
    </w:p>
    <w:p>
      <w:pPr>
        <w:spacing w:after="0"/>
        <w:rPr>
          <w:rFonts w:ascii="Arial" w:cs="Arial" w:eastAsia="Arial" w:hAnsi="Arial"/>
          <w:sz w:val="17"/>
          <w:szCs w:val="17"/>
          <w:color w:val="auto"/>
        </w:rPr>
      </w:pPr>
      <w:r>
        <w:rPr>
          <w:rFonts w:ascii="Arial" w:cs="Arial" w:eastAsia="Arial" w:hAnsi="Arial"/>
          <w:sz w:val="16"/>
          <w:szCs w:val="16"/>
          <w:color w:val="auto"/>
        </w:rPr>
        <w:t>“Statement”). Notwithstanding anything to the contrary contained in this Article II, the Corporation may omit from its proxy materials any information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Statement that it believes would violate any applicable law, rule, regulation or  listing standard.</w:t>
      </w:r>
    </w:p>
    <w:p>
      <w:pPr>
        <w:spacing w:after="0" w:line="212" w:lineRule="exact"/>
        <w:rPr>
          <w:sz w:val="20"/>
          <w:szCs w:val="20"/>
          <w:color w:val="auto"/>
        </w:rPr>
      </w:pPr>
    </w:p>
    <w:p>
      <w:pPr>
        <w:ind w:right="340" w:firstLine="7"/>
        <w:spacing w:after="0" w:line="299" w:lineRule="auto"/>
        <w:tabs>
          <w:tab w:leader="none" w:pos="55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Corporation shall not be required to include, pursuant to this Article II Section 12(b), a Stockholder Nominee in its proxy materials (i) for any meeting for which the Secretary receives a notice that the Eligible Stockholder or any other stockholder has nominated a Stockholder Nominee for election</w:t>
      </w:r>
    </w:p>
    <w:p>
      <w:pPr>
        <w:spacing w:after="0" w:line="1"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to the board of directors pursuant to the requirements of Article II Section 12(a) and does not expressly elect at the time of providing the notice to have its nominee included in the Corporation’s proxy materials pursuant to this Article II Section 12(d),</w:t>
      </w:r>
    </w:p>
    <w:p>
      <w:pPr>
        <w:ind w:left="560" w:hanging="553"/>
        <w:spacing w:after="0"/>
        <w:tabs>
          <w:tab w:leader="none" w:pos="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the Eligible Stockholder who has nominated such Stockholder Nominee has engaged in or is currently engaged in, or has been or is a “participant” in</w:t>
      </w:r>
    </w:p>
    <w:p>
      <w:pPr>
        <w:spacing w:after="0" w:line="3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another person’s, “solicitation” within the meaning of Rule 14a-1(l) under the Exchange Act in support of the election of any individual as a director at the meeting other than its Stockholder Nominee(s) or a Board Nominee, (iii) who is not independent, as determined by the Board of Directors, under applicable listing standards, any applicable rules of the SEC and any publicly disclosed standards used by the Board of Directors in determining the independence of the Corporation’s directors, (iv) whose election as a member of the Board of Directors would cause the Corporation to be in violation of these Bylaws, the Corporation’s certificate of incorporation, the listing standards of the principal exchange upon which the Corporation’s capital stock is traded, or any applicable state or federal law, rule or regulation, (v) who is or has been, within the past three (3) years, an officer or director of a competitor, as defined in Section 8 of the Clayton Antitrust Act of 1914, (vi) who is a named subject of a pending criminal proceeding (excluding traffic violations and other minor offenses) or has been convicted in such a criminal proceeding within the past ten years, (vii) who is subject to any order of the type specified in Rule 506(d) of Regulation D promulgated under the Securities Act of 1933, as amended, (viii) 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(ix) if the Eligible Stockholder or applicable Stockholder Nominee otherwise contravenes any of the agreements or representations made by such Eligible Stockholder or Stockholder Nominee or fails to comply with its obligations pursuant to this Article II.</w:t>
      </w:r>
    </w:p>
    <w:p>
      <w:pPr>
        <w:spacing w:after="0" w:line="171"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(8) Notwithstanding anything to the contrary set forth herein, the Board of Directors or the person presiding at the meeting shall declare a nomination by an Eligible Stockholder to be invalid, and such nomination shall be disregarded notwithstanding that proxies in respect of such vote may have been received by the Corporation, if</w:t>
      </w:r>
    </w:p>
    <w:p>
      <w:pPr>
        <w:ind w:right="640" w:firstLine="7"/>
        <w:spacing w:after="0" w:line="289" w:lineRule="auto"/>
        <w:tabs>
          <w:tab w:leader="none" w:pos="47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Stockholder Nominee(s) and/or the applicable Eligible Stockholder shall have breached its or their obligations, agreements or representations under this Article II, as determined by the Board of Directors or the person presiding at the meeting, or (ii) the Eligible Stockholder (or a qualified representative thereof) does not appear at the meeting to present any nomination pursuant to this Article II Section 12(b).</w:t>
      </w:r>
    </w:p>
    <w:p>
      <w:pPr>
        <w:spacing w:after="0" w:line="161" w:lineRule="exact"/>
        <w:rPr>
          <w:sz w:val="20"/>
          <w:szCs w:val="20"/>
          <w:color w:val="auto"/>
        </w:rPr>
      </w:pPr>
    </w:p>
    <w:p>
      <w:pPr>
        <w:ind w:left="560" w:hanging="553"/>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Eligible Stockholder (including any person who owns shares that constitute part of the Eligible Stockholder’s ownership for purposes of satisfying</w:t>
      </w: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paragraph 5 of Section 12(b) of this Article II) shall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61" w:lineRule="exact"/>
        <w:rPr>
          <w:sz w:val="20"/>
          <w:szCs w:val="20"/>
          <w:color w:val="auto"/>
        </w:rPr>
      </w:pPr>
    </w:p>
    <w:p>
      <w:pPr>
        <w:ind w:left="740" w:hanging="733"/>
        <w:spacing w:after="0"/>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person may be a member of more than one group of persons constituting an Eligible Stockholder under this Article II Section 12(b).</w:t>
      </w:r>
    </w:p>
    <w:p>
      <w:pPr>
        <w:spacing w:after="0" w:line="223" w:lineRule="exact"/>
        <w:rPr>
          <w:rFonts w:ascii="Arial" w:cs="Arial" w:eastAsia="Arial" w:hAnsi="Arial"/>
          <w:sz w:val="17"/>
          <w:szCs w:val="17"/>
          <w:color w:val="auto"/>
        </w:rPr>
      </w:pPr>
    </w:p>
    <w:p>
      <w:pPr>
        <w:ind w:right="1140" w:firstLine="7"/>
        <w:spacing w:after="0" w:line="289" w:lineRule="auto"/>
        <w:tabs>
          <w:tab w:leader="none" w:pos="717"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meeting of stockholders but either (i) withdraws from or becomes ineligible or unavailable for election at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444500</wp:posOffset>
            </wp:positionV>
            <wp:extent cx="729297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00"/>
          </w:cols>
          <w:pgMar w:left="380" w:top="389" w:right="419" w:bottom="1440" w:gutter="0" w:footer="0" w:header="0"/>
        </w:sectPr>
      </w:pPr>
    </w:p>
    <w:bookmarkStart w:id="148" w:name="page149"/>
    <w:bookmarkEnd w:id="148"/>
    <w:p>
      <w:pPr>
        <w:ind w:left="4" w:right="220" w:firstLine="7"/>
        <w:spacing w:after="0" w:line="273" w:lineRule="auto"/>
        <w:tabs>
          <w:tab w:leader="none" w:pos="563"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does not receive at least twenty (20%) of the votes cast in favor of the Stockholder Nominee’s election, shall be ineligible to be a Stockholder Nominee pursuant to this Article II Section 12(b) for the next annual meeting of stockholders following the meeting for which the Stockholder Nominee has been nominated for election.</w:t>
      </w:r>
    </w:p>
    <w:p>
      <w:pPr>
        <w:spacing w:after="0" w:line="171" w:lineRule="exact"/>
        <w:rPr>
          <w:sz w:val="20"/>
          <w:szCs w:val="20"/>
          <w:color w:val="auto"/>
        </w:rPr>
      </w:pPr>
    </w:p>
    <w:p>
      <w:pPr>
        <w:ind w:left="4" w:right="200"/>
        <w:spacing w:after="0" w:line="297"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pursuant to the Corporation’s notice of meeting; (ii) by or at the direction of the Board of Directors; or</w:t>
      </w:r>
    </w:p>
    <w:p>
      <w:pPr>
        <w:ind w:left="4" w:right="20" w:firstLine="7"/>
        <w:spacing w:after="0" w:line="291" w:lineRule="auto"/>
        <w:tabs>
          <w:tab w:leader="none" w:pos="663"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provided that the Board of Directors has determined that Directors shall be elected at such special meeting, by any stockholder of the Corporation who was a stockholder of record at the time of giving of notice provided for in this Section 12(c), who is entitled to vote at the meeting and who complied with</w:t>
      </w:r>
    </w:p>
    <w:p>
      <w:pPr>
        <w:spacing w:after="0" w:line="1" w:lineRule="exact"/>
        <w:rPr>
          <w:sz w:val="20"/>
          <w:szCs w:val="20"/>
          <w:color w:val="auto"/>
        </w:rPr>
      </w:pPr>
    </w:p>
    <w:p>
      <w:pPr>
        <w:ind w:left="4"/>
        <w:spacing w:after="0" w:line="279" w:lineRule="auto"/>
        <w:rPr>
          <w:sz w:val="20"/>
          <w:szCs w:val="20"/>
          <w:color w:val="auto"/>
        </w:rPr>
      </w:pPr>
      <w:r>
        <w:rPr>
          <w:rFonts w:ascii="Arial" w:cs="Arial" w:eastAsia="Arial" w:hAnsi="Arial"/>
          <w:sz w:val="16"/>
          <w:szCs w:val="16"/>
          <w:color w:val="auto"/>
        </w:rPr>
        <w:t>the notice procedures set forth in this Section 12(c). In the event the Corporation calls a special meeting of stockholders for the purpose of electing one or more Directors to the Board of Directors, any such stockholder may nominate a person or persons (as the case may be) for election to such position as specified in the Corporation’s notice of meeting, if the stockholder’s notice containing the information required by paragraph (a)(2) of this Section 12 shall be delivered to the Secretary at the principal executive offices of the Corporation not earlier than the 90th day prior to such special meeting and not later than the close of business on the later of the 60th day prior to such special meeting or the tenth day following the day on which public announcement is first made of the date of the special meeting and of the nominees proposed by the Board of Directors to be elected at such meeting.</w:t>
      </w:r>
    </w:p>
    <w:p>
      <w:pPr>
        <w:spacing w:after="0" w:line="171" w:lineRule="exact"/>
        <w:rPr>
          <w:sz w:val="20"/>
          <w:szCs w:val="20"/>
          <w:color w:val="auto"/>
        </w:rPr>
      </w:pPr>
    </w:p>
    <w:p>
      <w:pPr>
        <w:ind w:left="324" w:hanging="324"/>
        <w:spacing w:after="0"/>
        <w:tabs>
          <w:tab w:leader="none" w:pos="32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Gener</w:t>
      </w:r>
      <w:r>
        <w:rPr>
          <w:rFonts w:ascii="Arial" w:cs="Arial" w:eastAsia="Arial" w:hAnsi="Arial"/>
          <w:sz w:val="17"/>
          <w:szCs w:val="17"/>
          <w:color w:val="auto"/>
        </w:rPr>
        <w:t>al.</w:t>
      </w:r>
    </w:p>
    <w:p>
      <w:pPr>
        <w:spacing w:after="0" w:line="197" w:lineRule="exact"/>
        <w:rPr>
          <w:rFonts w:ascii="Arial" w:cs="Arial" w:eastAsia="Arial" w:hAnsi="Arial"/>
          <w:sz w:val="17"/>
          <w:szCs w:val="17"/>
          <w:color w:val="auto"/>
        </w:rPr>
      </w:pPr>
    </w:p>
    <w:p>
      <w:pPr>
        <w:ind w:left="4" w:right="60" w:firstLine="7"/>
        <w:spacing w:after="0" w:line="265" w:lineRule="auto"/>
        <w:tabs>
          <w:tab w:leader="none" w:pos="558" w:val="left"/>
        </w:tabs>
        <w:numPr>
          <w:ilvl w:val="1"/>
          <w:numId w:val="55"/>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procedures set forth in this Section 12 shall be eligible to serve as Directors, and only such business shall be conducted at a meeting of stockholders as shall have been brought before the meeting in accordance with the procedures set forth in this Section 12. The presiding officer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or proposal be disregarded.</w:t>
      </w:r>
    </w:p>
    <w:p>
      <w:pPr>
        <w:spacing w:after="0" w:line="177" w:lineRule="exact"/>
        <w:rPr>
          <w:rFonts w:ascii="Arial" w:cs="Arial" w:eastAsia="Arial" w:hAnsi="Arial"/>
          <w:sz w:val="17"/>
          <w:szCs w:val="17"/>
          <w:color w:val="auto"/>
        </w:rPr>
      </w:pPr>
    </w:p>
    <w:p>
      <w:pPr>
        <w:ind w:left="4" w:right="400" w:firstLine="6"/>
        <w:spacing w:after="0" w:line="273" w:lineRule="auto"/>
        <w:tabs>
          <w:tab w:leader="none" w:pos="557" w:val="left"/>
        </w:tabs>
        <w:numPr>
          <w:ilvl w:val="1"/>
          <w:numId w:val="55"/>
        </w:numPr>
        <w:rPr>
          <w:rFonts w:ascii="Arial" w:cs="Arial" w:eastAsia="Arial" w:hAnsi="Arial"/>
          <w:sz w:val="17"/>
          <w:szCs w:val="17"/>
          <w:color w:val="auto"/>
        </w:rPr>
      </w:pPr>
      <w:r>
        <w:rPr>
          <w:rFonts w:ascii="Arial" w:cs="Arial" w:eastAsia="Arial" w:hAnsi="Arial"/>
          <w:sz w:val="17"/>
          <w:szCs w:val="17"/>
          <w:color w:val="auto"/>
        </w:rPr>
        <w:t>For purposes of this Section 12, “public announcement” shall mean disclosure in a press release reported by the Dow Jones News Service, Associated Press or comparable news service or in a document publicly filed by the Corporation with the SEC pursuant to Sections 12, 14 or 15(d) of the Exchange Act.</w:t>
      </w:r>
    </w:p>
    <w:p>
      <w:pPr>
        <w:spacing w:after="0" w:line="171" w:lineRule="exact"/>
        <w:rPr>
          <w:rFonts w:ascii="Arial" w:cs="Arial" w:eastAsia="Arial" w:hAnsi="Arial"/>
          <w:sz w:val="17"/>
          <w:szCs w:val="17"/>
          <w:color w:val="auto"/>
        </w:rPr>
      </w:pPr>
    </w:p>
    <w:p>
      <w:pPr>
        <w:ind w:left="4" w:right="220" w:firstLine="6"/>
        <w:spacing w:after="0" w:line="325" w:lineRule="auto"/>
        <w:tabs>
          <w:tab w:leader="none" w:pos="557" w:val="left"/>
        </w:tabs>
        <w:numPr>
          <w:ilvl w:val="1"/>
          <w:numId w:val="55"/>
        </w:numPr>
        <w:rPr>
          <w:rFonts w:ascii="Arial" w:cs="Arial" w:eastAsia="Arial" w:hAnsi="Arial"/>
          <w:sz w:val="15"/>
          <w:szCs w:val="15"/>
          <w:color w:val="auto"/>
        </w:rPr>
      </w:pPr>
      <w:r>
        <w:rPr>
          <w:rFonts w:ascii="Arial" w:cs="Arial" w:eastAsia="Arial" w:hAnsi="Arial"/>
          <w:sz w:val="15"/>
          <w:szCs w:val="15"/>
          <w:color w:val="auto"/>
        </w:rPr>
        <w:t>Notwithstanding the foregoing provisions of this Section 12, a stockholder shall also comply with all applicable requirements of state law and of the Exchange Act and the rules and regulations thereunder with respect to the matters set forth in this Section 12. Nothing in this Section 12 shall be deemed to affect any rights of stockholders to request inclusion of proposals in the Corporation’s proxy statement pursuant to Rule 14a-8 under the Exchange Act.</w:t>
      </w:r>
    </w:p>
    <w:p>
      <w:pPr>
        <w:spacing w:after="0" w:line="137" w:lineRule="exact"/>
        <w:rPr>
          <w:sz w:val="20"/>
          <w:szCs w:val="20"/>
          <w:color w:val="auto"/>
        </w:rPr>
      </w:pPr>
    </w:p>
    <w:p>
      <w:pPr>
        <w:ind w:left="4" w:right="320"/>
        <w:spacing w:after="0" w:line="28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VOTING BY BALLO</w:t>
      </w:r>
      <w:r>
        <w:rPr>
          <w:rFonts w:ascii="Arial" w:cs="Arial" w:eastAsia="Arial" w:hAnsi="Arial"/>
          <w:sz w:val="17"/>
          <w:szCs w:val="17"/>
          <w:color w:val="auto"/>
        </w:rPr>
        <w:t>T. Voting on any question or in any election may be viva voce unless the presiding officer shall order or any stockholder shall demand that voting be by ballot.</w:t>
      </w:r>
    </w:p>
    <w:p>
      <w:pPr>
        <w:spacing w:after="0" w:line="361" w:lineRule="exact"/>
        <w:rPr>
          <w:sz w:val="20"/>
          <w:szCs w:val="20"/>
          <w:color w:val="auto"/>
        </w:rPr>
      </w:pPr>
    </w:p>
    <w:p>
      <w:pPr>
        <w:jc w:val="center"/>
        <w:ind w:right="-83"/>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ind w:right="-83"/>
        <w:spacing w:after="0"/>
        <w:rPr>
          <w:sz w:val="20"/>
          <w:szCs w:val="20"/>
          <w:color w:val="auto"/>
        </w:rPr>
      </w:pPr>
      <w:r>
        <w:rPr>
          <w:rFonts w:ascii="Arial" w:cs="Arial" w:eastAsia="Arial" w:hAnsi="Arial"/>
          <w:sz w:val="17"/>
          <w:szCs w:val="17"/>
          <w:b w:val="1"/>
          <w:bCs w:val="1"/>
          <w:color w:val="auto"/>
        </w:rPr>
        <w:t>BOARD OF DIRECTORS</w:t>
      </w:r>
    </w:p>
    <w:p>
      <w:pPr>
        <w:spacing w:after="0" w:line="212" w:lineRule="exact"/>
        <w:rPr>
          <w:sz w:val="20"/>
          <w:szCs w:val="20"/>
          <w:color w:val="auto"/>
        </w:rPr>
      </w:pPr>
    </w:p>
    <w:p>
      <w:pPr>
        <w:ind w:left="4" w:right="80"/>
        <w:spacing w:after="0" w:line="26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POWERS; QUALIFICATIONS; DIRECTORS HOLDING OVE</w:t>
      </w:r>
      <w:r>
        <w:rPr>
          <w:rFonts w:ascii="Arial" w:cs="Arial" w:eastAsia="Arial" w:hAnsi="Arial"/>
          <w:sz w:val="17"/>
          <w:szCs w:val="17"/>
          <w:color w:val="auto"/>
        </w:rPr>
        <w:t>R. The business and affairs of the Corporation shall be managed under the direction of its Board of Directors. A Director shall be an individual at least 21 years of age who is not under legal disability. Unless otherwise agreed between the Corporation and the Director, each individual Director may engage in other business activities of the type conducted by the Corporation and is not required to present to the Corporation investment opportunities presented to such Director (other than those presented to such Director in his capacity as a Director of the Corporation) even though the investment opportunities may be within the scope of the Corporation’s investment policies. In case of failure to elect Directors at an annual meeting of the stockholders, the Directors holding over shall continue to direct the management of the business and affairs of the Corporation until their successors are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460375</wp:posOffset>
            </wp:positionV>
            <wp:extent cx="729297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064"/>
          </w:cols>
          <w:pgMar w:left="376" w:top="389" w:right="459" w:bottom="1440" w:gutter="0" w:footer="0" w:header="0"/>
        </w:sectPr>
      </w:pPr>
    </w:p>
    <w:bookmarkStart w:id="149" w:name="page150"/>
    <w:bookmarkEnd w:id="149"/>
    <w:p>
      <w:pPr>
        <w:jc w:val="both"/>
        <w:ind w:left="4" w:right="160"/>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Directors shall be held immediately after and at the same place as the annual meeting of stockholders, with no notice other than this Bylaw provision being necessary. The Directors may provide, by resolution, the time and place, either within or without the State of Maryland, for the holding of regular meetings of the Directors without other notice than such resolution.</w:t>
      </w:r>
    </w:p>
    <w:p>
      <w:pPr>
        <w:spacing w:after="0" w:line="155" w:lineRule="exact"/>
        <w:rPr>
          <w:sz w:val="20"/>
          <w:szCs w:val="20"/>
          <w:color w:val="auto"/>
        </w:rPr>
      </w:pPr>
    </w:p>
    <w:p>
      <w:pPr>
        <w:ind w:left="4" w:right="80"/>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w:t>
      </w:r>
      <w:r>
        <w:rPr>
          <w:rFonts w:ascii="Arial" w:cs="Arial" w:eastAsia="Arial" w:hAnsi="Arial"/>
          <w:sz w:val="16"/>
          <w:szCs w:val="16"/>
          <w:color w:val="auto"/>
        </w:rPr>
        <w:t>EETINGS. Special meetings of the Directors may be called by or at the request of the Chairman of the Board, the Chief Executive Officer or the President or by a majority of the Directors then in office. The person or persons authorized to call special meetings of the Directors may fix any place, either within or without the State of Maryland, as the place for holding any special meeting of the Directors called by them.</w:t>
      </w:r>
    </w:p>
    <w:p>
      <w:pPr>
        <w:spacing w:after="0" w:line="155" w:lineRule="exact"/>
        <w:rPr>
          <w:sz w:val="20"/>
          <w:szCs w:val="20"/>
          <w:color w:val="auto"/>
        </w:rPr>
      </w:pPr>
    </w:p>
    <w:p>
      <w:pPr>
        <w:ind w:left="4" w:right="60"/>
        <w:spacing w:after="0" w:line="26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w:t>
      </w:r>
      <w:r>
        <w:rPr>
          <w:rFonts w:ascii="Arial" w:cs="Arial" w:eastAsia="Arial" w:hAnsi="Arial"/>
          <w:sz w:val="17"/>
          <w:szCs w:val="17"/>
          <w:color w:val="auto"/>
        </w:rPr>
        <w:t>OTICE. Notice of any special meeting shall be given by written notice delivered personally or by telephone or by electronic mail or facsimile or by mail (by regular mail or established overnight courier) to each Director at his business or residence address. Personally delivered notices or notices delivered by electronic mail or facsimile shall be given at least two (2) days prior to the meeting. Notice by mail shall be given at least five days prior to the meeting. Telephonic notice shall be given at least 24 hours prior to the meeting. If mailed, such notice shall be deemed to be given when deposited in the United States mail or with the courier service properly addressed, with postage or mailing expense thereon prepaid. If given by electronic mail, such notice shall be deemed to be given when sent. If given by facsimile, such notice shall be deemed to be given when the Corporation receives confirmation by the sending facsimile machine that the facsimile has been received. Telephone notice shall be deemed given when the Director is personally given such notice in a telephone call to which he is a party.</w:t>
      </w:r>
    </w:p>
    <w:p>
      <w:pPr>
        <w:spacing w:after="0" w:line="185" w:lineRule="exact"/>
        <w:rPr>
          <w:sz w:val="20"/>
          <w:szCs w:val="20"/>
          <w:color w:val="auto"/>
        </w:rPr>
      </w:pPr>
    </w:p>
    <w:p>
      <w:pPr>
        <w:ind w:left="4" w:right="660"/>
        <w:spacing w:after="0" w:line="289" w:lineRule="auto"/>
        <w:rPr>
          <w:sz w:val="20"/>
          <w:szCs w:val="20"/>
          <w:color w:val="auto"/>
        </w:rPr>
      </w:pPr>
      <w:r>
        <w:rPr>
          <w:rFonts w:ascii="Arial" w:cs="Arial" w:eastAsia="Arial" w:hAnsi="Arial"/>
          <w:sz w:val="17"/>
          <w:szCs w:val="17"/>
          <w:color w:val="auto"/>
        </w:rPr>
        <w:t>Neither the business to be transacted at, nor the purpose of, any annual, regular or special meeting of the Directors need be stated in the notice, unless specifically required by statute or these Bylaws.</w:t>
      </w:r>
    </w:p>
    <w:p>
      <w:pPr>
        <w:spacing w:after="0" w:line="158"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Q</w:t>
      </w:r>
      <w:r>
        <w:rPr>
          <w:rFonts w:ascii="Arial" w:cs="Arial" w:eastAsia="Arial" w:hAnsi="Arial"/>
          <w:sz w:val="16"/>
          <w:szCs w:val="16"/>
          <w:color w:val="auto"/>
        </w:rPr>
        <w:t>UORUM. Except as provided in subsection (b) of Section 6, a majority of the entire Board of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161" w:lineRule="exact"/>
        <w:rPr>
          <w:sz w:val="20"/>
          <w:szCs w:val="20"/>
          <w:color w:val="auto"/>
        </w:rPr>
      </w:pPr>
    </w:p>
    <w:p>
      <w:pPr>
        <w:ind w:left="4" w:right="600"/>
        <w:spacing w:after="0" w:line="289" w:lineRule="auto"/>
        <w:rPr>
          <w:sz w:val="20"/>
          <w:szCs w:val="20"/>
          <w:color w:val="auto"/>
        </w:rPr>
      </w:pPr>
      <w:r>
        <w:rPr>
          <w:rFonts w:ascii="Arial" w:cs="Arial" w:eastAsia="Arial" w:hAnsi="Arial"/>
          <w:sz w:val="17"/>
          <w:szCs w:val="17"/>
          <w:color w:val="auto"/>
        </w:rPr>
        <w:t>The Directors present at a meeting which has been duly called and convened may continue to transact business until adjournment, notwithstanding the withdrawal of enough Directors to leave less than a quorum.</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197" w:lineRule="exact"/>
        <w:rPr>
          <w:sz w:val="20"/>
          <w:szCs w:val="20"/>
          <w:color w:val="auto"/>
        </w:rPr>
      </w:pPr>
    </w:p>
    <w:p>
      <w:pPr>
        <w:ind w:left="4" w:right="20" w:firstLine="7"/>
        <w:spacing w:after="0" w:line="273" w:lineRule="auto"/>
        <w:tabs>
          <w:tab w:leader="none" w:pos="527"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Except as provided in subsection (b) of this Section 6, the action of the majority of the Board of Directors present at a meeting at which a quorum is present shall be the action of the Directors, unless the concurrence of a greater proportion is required for such action by the Charter, these Bylaws or applicable statute.</w:t>
      </w:r>
    </w:p>
    <w:p>
      <w:pPr>
        <w:spacing w:after="0" w:line="171" w:lineRule="exact"/>
        <w:rPr>
          <w:rFonts w:ascii="Arial" w:cs="Arial" w:eastAsia="Arial" w:hAnsi="Arial"/>
          <w:sz w:val="17"/>
          <w:szCs w:val="17"/>
          <w:color w:val="auto"/>
        </w:rPr>
      </w:pPr>
    </w:p>
    <w:p>
      <w:pPr>
        <w:ind w:left="4" w:right="280" w:firstLine="7"/>
        <w:spacing w:after="0" w:line="273" w:lineRule="auto"/>
        <w:tabs>
          <w:tab w:leader="none" w:pos="5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Notwithstanding the foregoing, two-thirds (2/3) of the Directors then in office shall be necessary to constitute a quorum to approve the actions set forth below in clauses (1) through (3), and such action shall not be effective unless approved by two-thirds (2/3) of the Directors then in office. Such action includes:</w:t>
      </w:r>
    </w:p>
    <w:p>
      <w:pPr>
        <w:spacing w:after="0" w:line="171" w:lineRule="exact"/>
        <w:rPr>
          <w:sz w:val="20"/>
          <w:szCs w:val="20"/>
          <w:color w:val="auto"/>
        </w:rPr>
      </w:pPr>
    </w:p>
    <w:p>
      <w:pPr>
        <w:ind w:left="564" w:hanging="553"/>
        <w:spacing w:after="0"/>
        <w:tabs>
          <w:tab w:leader="none" w:pos="564"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Change in Control (as hereinafter defined) of the Corporation;</w:t>
      </w:r>
    </w:p>
    <w:p>
      <w:pPr>
        <w:spacing w:after="0" w:line="223" w:lineRule="exact"/>
        <w:rPr>
          <w:rFonts w:ascii="Arial" w:cs="Arial" w:eastAsia="Arial" w:hAnsi="Arial"/>
          <w:sz w:val="17"/>
          <w:szCs w:val="17"/>
          <w:color w:val="auto"/>
        </w:rPr>
      </w:pPr>
    </w:p>
    <w:p>
      <w:pPr>
        <w:ind w:left="324" w:hanging="324"/>
        <w:spacing w:after="0"/>
        <w:tabs>
          <w:tab w:leader="none" w:pos="32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amendment to the Charter or these Bylaws; and</w:t>
      </w:r>
    </w:p>
    <w:p>
      <w:pPr>
        <w:spacing w:after="0" w:line="223" w:lineRule="exact"/>
        <w:rPr>
          <w:rFonts w:ascii="Arial" w:cs="Arial" w:eastAsia="Arial" w:hAnsi="Arial"/>
          <w:sz w:val="17"/>
          <w:szCs w:val="17"/>
          <w:color w:val="auto"/>
        </w:rPr>
      </w:pPr>
    </w:p>
    <w:p>
      <w:pPr>
        <w:ind w:left="4" w:right="240" w:firstLine="7"/>
        <w:spacing w:after="0" w:line="265" w:lineRule="auto"/>
        <w:tabs>
          <w:tab w:leader="none" w:pos="55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Acquisitions, dispositions or financings of assets by the Corporation in excess of twenty-five (25%) of Total Market Capitalization (as hereinafter defined) whether by merger, purchase, sale or otherwise. The value of the assets of the Corporation for the purpose of determining whether such assets constitute in excess of twenty-five (25%) of Total Market Capitalization shall be the book value of such assets as reflected in the Corporation’s most recent fiscal year- end consolidation balance sheet at the time the determination is being made or, if materially different and the transaction involves (A) an acquisition or disposition, the amount of the consideration involved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457200</wp:posOffset>
            </wp:positionV>
            <wp:extent cx="729297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044"/>
          </w:cols>
          <w:pgMar w:left="376" w:top="389" w:right="47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such acquisition or disposition or (B) a financing, the value of assets being financed as reflected in the financing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Section 6(b):</w:t>
      </w:r>
    </w:p>
    <w:p>
      <w:pPr>
        <w:spacing w:after="0" w:line="119" w:lineRule="exact"/>
        <w:rPr>
          <w:sz w:val="20"/>
          <w:szCs w:val="20"/>
          <w:color w:val="auto"/>
        </w:rPr>
      </w:pPr>
    </w:p>
    <w:p>
      <w:pPr>
        <w:ind w:left="640" w:hanging="633"/>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term “Change in Control” of the Corporation shall mean any transaction or series of transactions (whether by purchase of existing Common Stock,</w:t>
      </w:r>
    </w:p>
    <w:p>
      <w:pPr>
        <w:spacing w:after="0" w:line="49"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issuance of Common Stock, merger, consolidation or otherwise) the result of which is that either: (i) any Person or Group becomes the Beneficial Owner, directly or indirectly, of twenty percent (20%) or more of the total voting power in the aggregate of all classes of Capital Stock of the Corporation then outstanding normally entitled to vote in the election of Directors of the Corporation (or any surviving entity); or</w:t>
      </w:r>
    </w:p>
    <w:p>
      <w:pPr>
        <w:spacing w:after="0" w:line="1" w:lineRule="exact"/>
        <w:rPr>
          <w:sz w:val="20"/>
          <w:szCs w:val="20"/>
          <w:color w:val="auto"/>
        </w:rPr>
      </w:pPr>
    </w:p>
    <w:p>
      <w:pPr>
        <w:ind w:right="280" w:firstLine="6"/>
        <w:spacing w:after="0" w:line="289" w:lineRule="auto"/>
        <w:tabs>
          <w:tab w:leader="none" w:pos="2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Beneficial Owners of the Capital Stock of the Corporation normally entitled to vote in the election of Directors immediately prior to the transaction beneficially own less than eighty percent (80%) of the total voting power in the aggregate of all classes of Capital Stock of the Corporation then outstanding normally entitled to vote in the election of Directors of the Corporation (or any surviving entity) immediately after such transaction.</w:t>
      </w:r>
    </w:p>
    <w:p>
      <w:pPr>
        <w:spacing w:after="0" w:line="5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The term “Person” as used herein shall have the same meaning as such term has for purposes of Sections 13(d)  and 14(d) of the Exchange Act.</w:t>
      </w:r>
    </w:p>
    <w:p>
      <w:pPr>
        <w:spacing w:after="0" w:line="130" w:lineRule="exact"/>
        <w:rPr>
          <w:sz w:val="20"/>
          <w:szCs w:val="20"/>
          <w:color w:val="auto"/>
        </w:rPr>
      </w:pPr>
    </w:p>
    <w:p>
      <w:pPr>
        <w:ind w:left="600" w:hanging="594"/>
        <w:spacing w:after="0"/>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term “Group” has used herein shall have the same meaning as such term has for purposes of Sections 13(d)  and 14(d) of the Exchange Act.</w:t>
      </w:r>
    </w:p>
    <w:p>
      <w:pPr>
        <w:spacing w:after="0" w:line="104" w:lineRule="exact"/>
        <w:rPr>
          <w:rFonts w:ascii="Arial" w:cs="Arial" w:eastAsia="Arial" w:hAnsi="Arial"/>
          <w:sz w:val="16"/>
          <w:szCs w:val="16"/>
          <w:color w:val="auto"/>
        </w:rPr>
      </w:pPr>
    </w:p>
    <w:p>
      <w:pPr>
        <w:ind w:right="320" w:firstLine="6"/>
        <w:spacing w:after="0" w:line="273" w:lineRule="auto"/>
        <w:tabs>
          <w:tab w:leader="none" w:pos="6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term “Beneficial Owner” as used herein shall have the same meaning as such term has for purposes of Rule 13d-3 promulgated under the Exchange Act, except that a Person shall be deemed to have beneficial ownership of all shares of stock that a Person has the right to acquire, whether or not such right is immediately exercisable.</w:t>
      </w:r>
    </w:p>
    <w:p>
      <w:pPr>
        <w:spacing w:after="0" w:line="53" w:lineRule="exact"/>
        <w:rPr>
          <w:rFonts w:ascii="Arial" w:cs="Arial" w:eastAsia="Arial" w:hAnsi="Arial"/>
          <w:sz w:val="17"/>
          <w:szCs w:val="17"/>
          <w:color w:val="auto"/>
        </w:rPr>
      </w:pPr>
    </w:p>
    <w:p>
      <w:pPr>
        <w:jc w:val="both"/>
        <w:ind w:right="100" w:firstLine="6"/>
        <w:spacing w:after="0" w:line="281" w:lineRule="auto"/>
        <w:tabs>
          <w:tab w:leader="none" w:pos="5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term “Total Market Capitalization” shall mean the sum of: (i) the Market Value (as hereinafter defined) of the then outstanding Common Stock and Preferred Stock; and (ii) the total principal amount of indebtedness of the Corporation as reflected in the Corporation’s most recent fiscal year-end</w:t>
      </w:r>
    </w:p>
    <w:p>
      <w:pPr>
        <w:ind w:right="720"/>
        <w:spacing w:after="0" w:line="274" w:lineRule="auto"/>
        <w:rPr>
          <w:sz w:val="20"/>
          <w:szCs w:val="20"/>
          <w:color w:val="auto"/>
        </w:rPr>
      </w:pPr>
      <w:r>
        <w:rPr>
          <w:rFonts w:ascii="Arial" w:cs="Arial" w:eastAsia="Arial" w:hAnsi="Arial"/>
          <w:sz w:val="17"/>
          <w:szCs w:val="17"/>
          <w:color w:val="auto"/>
        </w:rPr>
        <w:t>consolidation balance sheet existing at the time the Board of Directors would be required to approve a transaction set forth in subparagraph (3) of this Section 6(b).</w:t>
      </w:r>
    </w:p>
    <w:p>
      <w:pPr>
        <w:spacing w:after="0" w:line="65" w:lineRule="exact"/>
        <w:rPr>
          <w:sz w:val="20"/>
          <w:szCs w:val="20"/>
          <w:color w:val="auto"/>
        </w:rPr>
      </w:pPr>
    </w:p>
    <w:p>
      <w:pPr>
        <w:ind w:left="560" w:hanging="554"/>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term “Market Value” with respect to Common Stock shall mean the average of the daily market price for the ten (10) consecutive trading days</w:t>
      </w:r>
    </w:p>
    <w:p>
      <w:pPr>
        <w:spacing w:after="0" w:line="38" w:lineRule="exact"/>
        <w:rPr>
          <w:sz w:val="20"/>
          <w:szCs w:val="20"/>
          <w:color w:val="auto"/>
        </w:rPr>
      </w:pPr>
    </w:p>
    <w:p>
      <w:pPr>
        <w:jc w:val="both"/>
        <w:ind w:right="180"/>
        <w:spacing w:after="0" w:line="291" w:lineRule="auto"/>
        <w:rPr>
          <w:sz w:val="20"/>
          <w:szCs w:val="20"/>
          <w:color w:val="auto"/>
        </w:rPr>
      </w:pPr>
      <w:r>
        <w:rPr>
          <w:rFonts w:ascii="Arial" w:cs="Arial" w:eastAsia="Arial" w:hAnsi="Arial"/>
          <w:sz w:val="15"/>
          <w:szCs w:val="15"/>
          <w:color w:val="auto"/>
        </w:rPr>
        <w:t>immediately prior to the date beginning fifteen (15) days before the Directors would be required to approve a transaction set forth in subparagraph (3) of this Section 6(b). The market price for each such trading date shall be the last reported sales price of such stock reported on the New York Stock Exchange on the trading day immediately preceding the relevant date, or if such stock is not then traded on the New York Stock Exchange, the last reported sales price of such</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stock on the trading day immediately preceding the relevant dat e as reported on any exchange or quotation system over which such stock may be traded, or if such stock is not then traded over any exchange or quotation system, then the market price of such stock on the relevant date as determined in good faith by the Board of Directors of the Corporation.</w:t>
      </w:r>
    </w:p>
    <w:p>
      <w:pPr>
        <w:spacing w:after="0" w:line="179"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TELEPHONE MEETINGS</w:t>
      </w:r>
      <w:r>
        <w:rPr>
          <w:rFonts w:ascii="Arial" w:cs="Arial" w:eastAsia="Arial" w:hAnsi="Arial"/>
          <w:sz w:val="17"/>
          <w:szCs w:val="17"/>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71" w:lineRule="exact"/>
        <w:rPr>
          <w:sz w:val="20"/>
          <w:szCs w:val="20"/>
          <w:color w:val="auto"/>
        </w:rPr>
      </w:pPr>
    </w:p>
    <w:p>
      <w:pPr>
        <w:jc w:val="both"/>
        <w:ind w:right="440"/>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INFORMAL ACTION BY DIRECTORS</w:t>
      </w:r>
      <w:r>
        <w:rPr>
          <w:rFonts w:ascii="Arial" w:cs="Arial" w:eastAsia="Arial" w:hAnsi="Arial"/>
          <w:sz w:val="17"/>
          <w:szCs w:val="17"/>
          <w:color w:val="auto"/>
        </w:rPr>
        <w:t>. Any action required or permitted to be taken at any meeting of the Board of Directors may be taken without a meeting, if a consent in writing to such action is signed by each Director and such written consent is filed with the minutes of proceedings of the Board of Directors.</w:t>
      </w:r>
    </w:p>
    <w:p>
      <w:pPr>
        <w:spacing w:after="0" w:line="17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w:t>
      </w:r>
      <w:r>
        <w:rPr>
          <w:rFonts w:ascii="Arial" w:cs="Arial" w:eastAsia="Arial" w:hAnsi="Arial"/>
          <w:sz w:val="16"/>
          <w:szCs w:val="16"/>
          <w:color w:val="auto"/>
        </w:rPr>
        <w:t>ACANCIES. If for any reason any or all of the Directors cease to be Directors, such event shall not terminate the Corporation or affect these Bylaws or the powers of the remaining Directors hereunder (even if fewer than three (3) Directors remain). Any vacancy (including a vacancy created by an increase in the number of Directors) shall be filled, at any regular meeting or at any special meeting called for that purpose, by a majority of the Board of Directors. Any individual so elected as a Director shall hold office until the next annual meeting of stockholders and until his successor is elected and qualifies. Notwithstanding the foregoing, the stockholders may elect a successor to fill a vacancy which results from the removal of a Director.</w:t>
      </w:r>
    </w:p>
    <w:p>
      <w:pPr>
        <w:spacing w:after="0" w:line="165"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COMPENSATIO</w:t>
      </w:r>
      <w:r>
        <w:rPr>
          <w:rFonts w:ascii="Arial" w:cs="Arial" w:eastAsia="Arial" w:hAnsi="Arial"/>
          <w:sz w:val="17"/>
          <w:szCs w:val="17"/>
          <w:color w:val="auto"/>
        </w:rPr>
        <w:t>N. Directors shall not receive any stated salary for their services as Directors but, by resolution of the Board of Directors, may receive cash compensation or a fixed sum of Common Stock (or options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444500</wp:posOffset>
            </wp:positionV>
            <wp:extent cx="729297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20"/>
          </w:cols>
          <w:pgMar w:left="380" w:top="389" w:right="399" w:bottom="1440" w:gutter="0" w:footer="0" w:header="0"/>
        </w:sectPr>
      </w:pPr>
    </w:p>
    <w:bookmarkStart w:id="151" w:name="page152"/>
    <w:bookmarkEnd w:id="151"/>
    <w:p>
      <w:pPr>
        <w:ind w:right="300"/>
        <w:spacing w:after="0" w:line="265" w:lineRule="auto"/>
        <w:rPr>
          <w:sz w:val="20"/>
          <w:szCs w:val="20"/>
          <w:color w:val="auto"/>
        </w:rPr>
      </w:pPr>
      <w:r>
        <w:rPr>
          <w:rFonts w:ascii="Arial" w:cs="Arial" w:eastAsia="Arial" w:hAnsi="Arial"/>
          <w:sz w:val="17"/>
          <w:szCs w:val="17"/>
          <w:color w:val="auto"/>
        </w:rPr>
        <w:t>purchase Common Stock) of the Corporation for any service or activity they performed or engaged in as Directors. By resolution of the Board of Directors, Directors may receive a fee for and may be reimbursed for expenses, if any, in connection with attendance, at each annual, regular or special meeting of the Board of Directors or of any committee thereof; and for their expenses, if any, in connection with each property visit and any other service or activity performed or engaged in as Directors; but nothing herein contained shall be construed to preclude any Directors from serving the Corporation in any other capacity and receiving compensation therefor.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REMOVAL OF D</w:t>
      </w:r>
      <w:r>
        <w:rPr>
          <w:rFonts w:ascii="Arial" w:cs="Arial" w:eastAsia="Arial" w:hAnsi="Arial"/>
          <w:sz w:val="17"/>
          <w:szCs w:val="17"/>
          <w:color w:val="auto"/>
        </w:rPr>
        <w:t>IRECTORS. The stockholders may, at any time, remove any Director in the manner provided in the Charter.</w:t>
      </w:r>
    </w:p>
    <w:p>
      <w:pPr>
        <w:spacing w:after="0" w:line="224"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LOSS OF D</w:t>
      </w:r>
      <w:r>
        <w:rPr>
          <w:rFonts w:ascii="Arial" w:cs="Arial" w:eastAsia="Arial" w:hAnsi="Arial"/>
          <w:sz w:val="17"/>
          <w:szCs w:val="17"/>
          <w:color w:val="auto"/>
        </w:rPr>
        <w:t>EPOSITS. No Director shall be liable for any loss which may occur by reason of the failure of the bank, trust company, savings and loan association, or other institution with whom moneys or shares of stock have been deposited.</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SURETY BON</w:t>
      </w:r>
      <w:r>
        <w:rPr>
          <w:rFonts w:ascii="Arial" w:cs="Arial" w:eastAsia="Arial" w:hAnsi="Arial"/>
          <w:sz w:val="17"/>
          <w:szCs w:val="17"/>
          <w:color w:val="auto"/>
        </w:rPr>
        <w:t>DS. Unless required by law, no Director shall be obligated to give any bond or surety or other security for the performance of any of his duties.</w:t>
      </w:r>
    </w:p>
    <w:p>
      <w:pPr>
        <w:spacing w:after="0" w:line="158"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number of Directors of the Corporation shall not be less than three (3) nor more than sixteen (16), as determined from time to time by resolution adopted by a majority of the Board of Directors. Directors need not be stockholders of the Corporation.</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COMMITTEES OF BOARD OF DIRECTORS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The Board of Directors may, by resolution passed by a majority of the whole board,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authorize dividends on stock (except that, if the Board of Directors has given general authorization for dividends on stock providing for or establishing a method for determining the amount of the dividend, a committee may, in accordance with the general authorization set the amount and other terms of the dividend); (ii) authorize the issuance of stock (except that, if the Board of Directors has given general authorization for the issuance of stock providing for or establishing a method or procedure for determining the maximum number of shares to be issued, a committee may, in accordance with the general authorization or any stock option or other plan or program adopted by the Board, authorize or fix the terms of stock subject to classification or reclassification and the terms on which any stock may be issued); (iii) recommend to the stockholders any action which requires stockholder approval; (iv) amend the Bylaws; or (v) approve any merger or share exchange which does not require stockholder approval.</w:t>
      </w:r>
    </w:p>
    <w:p>
      <w:pPr>
        <w:spacing w:after="0" w:line="17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shall appoint such committees as it may deem advisable and as may be required pursuant to such rules and regulations as are applicable to the Corporation, including, but not limited to, the rules and regulations of the SEC and the rules of the New York Stock Exchange (or such other exchange as the Corporation’s securities may then be listed), and as are otherwise permitted by law. The specific authority and members of any such committees shall be designated by the resolution of the Board of Directors, provided that the authority granted and the qualifications of members appointed are consistent with and comply with the provisions of all rules and regulations applicable to the Corporation, including, but not limited to, the rules and regulations of the SEC and the rules of the New York Stock Exchange (or such other exchange as the Corporation’s securities may then be listed).</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RECORDS OF COMMITTEE ME</w:t>
      </w:r>
      <w:r>
        <w:rPr>
          <w:rFonts w:ascii="Arial" w:cs="Arial" w:eastAsia="Arial" w:hAnsi="Arial"/>
          <w:sz w:val="17"/>
          <w:szCs w:val="17"/>
          <w:color w:val="auto"/>
        </w:rPr>
        <w:t>ETINGS. Each committee shall keep regular minutes of its meetings and report the same to the Board of Directors when required. The presence of a majority of the total membership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444500</wp:posOffset>
            </wp:positionV>
            <wp:extent cx="729297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00"/>
          </w:cols>
          <w:pgMar w:left="380" w:top="389" w:right="419" w:bottom="1440" w:gutter="0" w:footer="0" w:header="0"/>
        </w:sectPr>
      </w:pPr>
    </w:p>
    <w:bookmarkStart w:id="152" w:name="page153"/>
    <w:bookmarkEnd w:id="152"/>
    <w:p>
      <w:pPr>
        <w:ind w:right="360"/>
        <w:spacing w:after="0" w:line="289" w:lineRule="auto"/>
        <w:rPr>
          <w:sz w:val="20"/>
          <w:szCs w:val="20"/>
          <w:color w:val="auto"/>
        </w:rPr>
      </w:pPr>
      <w:r>
        <w:rPr>
          <w:rFonts w:ascii="Arial" w:cs="Arial" w:eastAsia="Arial" w:hAnsi="Arial"/>
          <w:sz w:val="17"/>
          <w:szCs w:val="17"/>
          <w:color w:val="auto"/>
        </w:rPr>
        <w:t>any committee shall constitute a quorum for the transaction of business at any meeting of such committee and the act of a majority of those present shall be necessary and sufficient for the taking of any action at such meeting.</w:t>
      </w:r>
    </w:p>
    <w:p>
      <w:pPr>
        <w:spacing w:after="0" w:line="361"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OFFICERS</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GENERAL PRO</w:t>
      </w:r>
      <w:r>
        <w:rPr>
          <w:rFonts w:ascii="Arial" w:cs="Arial" w:eastAsia="Arial" w:hAnsi="Arial"/>
          <w:sz w:val="15"/>
          <w:szCs w:val="15"/>
          <w:color w:val="auto"/>
        </w:rPr>
        <w:t>VISIONS. The officers of the Corporation may consist of a Chairman of the Board, a Vice Chairman of the Board, a Chief Executive Officer, a President, one or more Vice Presidents, a Treasurer, one or more assistant treasurers, a Secretary, and one or more assistant secretaries. In addition, the Board of Directors may from time to time appoint such other officers with such powers and duties as they shall deem necessary or desirable.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may be convenient. Each officer shall hold office until his successor is elected and qualifies or until his death, resignation or removal in the manner hereinafter provided.</w:t>
      </w:r>
    </w:p>
    <w:p>
      <w:pPr>
        <w:spacing w:after="0" w:line="1" w:lineRule="exact"/>
        <w:rPr>
          <w:sz w:val="20"/>
          <w:szCs w:val="20"/>
          <w:color w:val="auto"/>
        </w:rPr>
      </w:pPr>
    </w:p>
    <w:p>
      <w:pPr>
        <w:jc w:val="both"/>
        <w:ind w:right="700"/>
        <w:spacing w:after="0" w:line="265" w:lineRule="auto"/>
        <w:rPr>
          <w:sz w:val="20"/>
          <w:szCs w:val="20"/>
          <w:color w:val="auto"/>
        </w:rPr>
      </w:pPr>
      <w:r>
        <w:rPr>
          <w:rFonts w:ascii="Arial" w:cs="Arial" w:eastAsia="Arial" w:hAnsi="Arial"/>
          <w:sz w:val="17"/>
          <w:szCs w:val="17"/>
          <w:color w:val="auto"/>
        </w:rPr>
        <w:t>Any two (2) or more offices except President and Vice President may be held by the same person. In their discretion, the Board of Directors may leave unfilled any office except that of President, Secretary and Treasurer. Election of an officer or agent shall not of itself create contract rights between the Corporation and such officer or agent.</w:t>
      </w:r>
    </w:p>
    <w:p>
      <w:pPr>
        <w:spacing w:after="0" w:line="17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by the Board of Directors if in their judgment the best interests of the Corporation would be served thereby, but such removal shall be without prejudice to the contract rights, if any, of the person so removed. Any officer of the Corporation may resign at any time by giving written notice of his resignation to the Board of Directors,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w:t>
      </w:r>
      <w:r>
        <w:rPr>
          <w:rFonts w:ascii="Arial" w:cs="Arial" w:eastAsia="Arial" w:hAnsi="Arial"/>
          <w:sz w:val="17"/>
          <w:szCs w:val="17"/>
          <w:color w:val="auto"/>
        </w:rPr>
        <w:t>ACANCIES. A vacancy in any office may be filled by the Board of Directors for the balance of the term.</w:t>
      </w:r>
    </w:p>
    <w:p>
      <w:pPr>
        <w:spacing w:after="0" w:line="22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CHAIRMAN AND VICE CHAIRMAN OF THE BOARD</w:t>
      </w:r>
      <w:r>
        <w:rPr>
          <w:rFonts w:ascii="Arial" w:cs="Arial" w:eastAsia="Arial" w:hAnsi="Arial"/>
          <w:sz w:val="16"/>
          <w:szCs w:val="16"/>
          <w:color w:val="auto"/>
        </w:rPr>
        <w:t>. The Chairman of the Board shall preside over the meetings of the Board of Directors and of the stockholders at which he shall be present and shall in general oversee all of the business and affairs of the Corporation. In the absence of the Chairman of the Board, the Vice Chairman of the Board shall preside at such meetings at which he shall be present. The Chairman and the Vice Chairman of the Board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The Chairman of the Board and the Vice Chairman of the Board shall perform such other duties as may be assigned to him or them by the Board of Directors.</w:t>
      </w:r>
    </w:p>
    <w:p>
      <w:pPr>
        <w:spacing w:after="0" w:line="165"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CHIEF EXECUTIVE O</w:t>
      </w:r>
      <w:r>
        <w:rPr>
          <w:rFonts w:ascii="Arial" w:cs="Arial" w:eastAsia="Arial" w:hAnsi="Arial"/>
          <w:sz w:val="16"/>
          <w:szCs w:val="16"/>
          <w:color w:val="auto"/>
        </w:rPr>
        <w:t>FFICER. The Board of Directors may designate a Chief Executive Officer from among the elected officers. The Chief Executive Officer shall have responsibility for implementation of the policies of the Corporation, as determined by the Board of Directors, and for the administration of the business affairs of the Corporation. In the absence of both the Chairman and Vice Chairman of the Board, the Chief Executive Officer shall preside over the meetings of the Board of Directors and of the stockholders at which he shall be present.</w:t>
      </w:r>
    </w:p>
    <w:p>
      <w:pPr>
        <w:spacing w:after="0" w:line="161"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CHIEF OPERATING OFFIC</w:t>
      </w:r>
      <w:r>
        <w:rPr>
          <w:rFonts w:ascii="Arial" w:cs="Arial" w:eastAsia="Arial" w:hAnsi="Arial"/>
          <w:sz w:val="17"/>
          <w:szCs w:val="17"/>
          <w:color w:val="auto"/>
        </w:rPr>
        <w:t>ER. The Board of Directors may designate a Chief Operating Officer from among the elected officers. Said officer will have the responsibilities and duties as set forth by the Board of Directors or the Chief Executive Officer.</w:t>
      </w:r>
    </w:p>
    <w:p>
      <w:pPr>
        <w:spacing w:after="0" w:line="15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CHIEF DEVELOPMENT OFFICER</w:t>
      </w:r>
      <w:r>
        <w:rPr>
          <w:rFonts w:ascii="Arial" w:cs="Arial" w:eastAsia="Arial" w:hAnsi="Arial"/>
          <w:sz w:val="17"/>
          <w:szCs w:val="17"/>
          <w:color w:val="auto"/>
        </w:rPr>
        <w:t>. The Board of Directors may designate a Chief Development Officer from among the elected officers. Said officer will have the responsibilities and duties as set forth by the Board of Directors 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444500</wp:posOffset>
            </wp:positionV>
            <wp:extent cx="729297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40"/>
          </w:cols>
          <w:pgMar w:left="380" w:top="389" w:right="379" w:bottom="1440" w:gutter="0" w:footer="0" w:header="0"/>
        </w:sectPr>
      </w:pPr>
    </w:p>
    <w:bookmarkStart w:id="153" w:name="page154"/>
    <w:bookmarkEnd w:id="153"/>
    <w:p>
      <w:pPr>
        <w:ind w:right="180"/>
        <w:spacing w:after="0" w:line="28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CHIEF FINANCIAL O</w:t>
      </w:r>
      <w:r>
        <w:rPr>
          <w:rFonts w:ascii="Arial" w:cs="Arial" w:eastAsia="Arial" w:hAnsi="Arial"/>
          <w:sz w:val="17"/>
          <w:szCs w:val="17"/>
          <w:color w:val="auto"/>
        </w:rPr>
        <w:t>FFICER. The Board of Directors may designate a Chief Financial Officer from among the elected officers. Said officer will have the responsibilities and duties as set forth by the Board of Directors or the Chief Executive Officer.</w:t>
      </w:r>
    </w:p>
    <w:p>
      <w:pPr>
        <w:spacing w:after="0" w:line="158"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PRESIDENT</w:t>
      </w:r>
      <w:r>
        <w:rPr>
          <w:rFonts w:ascii="Arial" w:cs="Arial" w:eastAsia="Arial" w:hAnsi="Arial"/>
          <w:sz w:val="15"/>
          <w:szCs w:val="15"/>
          <w:color w:val="auto"/>
        </w:rPr>
        <w:t>. In the absence of the Chairman, the Vice Chairman of the Board and the Chief Executive Officer, the President shall preside over the meetings of the Board of Directors and of the stockholders at which he shall be present. In the absence of a designation of a Chief Executive Officer by the Board of Directors, the President shall be the Chief Executive Officer and shall be ex officio a member of all committees that may, from time to time, be constituted by the Board of Directors. The President may execute any deed, mortgage, bond, contract or other instrument, except in cases where the execution</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VICE PRESIDENT</w:t>
      </w:r>
      <w:r>
        <w:rPr>
          <w:rFonts w:ascii="Arial" w:cs="Arial" w:eastAsia="Arial" w:hAnsi="Arial"/>
          <w:sz w:val="16"/>
          <w:szCs w:val="16"/>
          <w:color w:val="auto"/>
        </w:rPr>
        <w:t>S. In the absence of the President or in the event of a vacancy in such office, the Vice President (or in the event there be more</w:t>
      </w:r>
    </w:p>
    <w:p>
      <w:pPr>
        <w:spacing w:after="0" w:line="38"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Board of Directors. The Board of Directors may designate one or more Vice Presidents as Senior Vice President, Executive Vice President or as Vice President for particular areas of responsibility.</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w:t>
      </w:r>
      <w:r>
        <w:rPr>
          <w:rFonts w:ascii="Arial" w:cs="Arial" w:eastAsia="Arial" w:hAnsi="Arial"/>
          <w:sz w:val="16"/>
          <w:szCs w:val="16"/>
          <w:color w:val="auto"/>
        </w:rPr>
        <w:t>ECRETARY.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6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T</w:t>
      </w:r>
      <w:r>
        <w:rPr>
          <w:rFonts w:ascii="Arial" w:cs="Arial" w:eastAsia="Arial" w:hAnsi="Arial"/>
          <w:sz w:val="17"/>
          <w:szCs w:val="17"/>
          <w:color w:val="auto"/>
        </w:rPr>
        <w:t>REASURER.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1" w:lineRule="exact"/>
        <w:rPr>
          <w:sz w:val="20"/>
          <w:szCs w:val="20"/>
          <w:color w:val="auto"/>
        </w:rPr>
      </w:pPr>
    </w:p>
    <w:p>
      <w:pPr>
        <w:jc w:val="both"/>
        <w:ind w:right="620"/>
        <w:spacing w:after="0" w:line="273" w:lineRule="auto"/>
        <w:rPr>
          <w:sz w:val="20"/>
          <w:szCs w:val="20"/>
          <w:color w:val="auto"/>
        </w:rPr>
      </w:pPr>
      <w:r>
        <w:rPr>
          <w:rFonts w:ascii="Arial" w:cs="Arial" w:eastAsia="Arial" w:hAnsi="Arial"/>
          <w:sz w:val="17"/>
          <w:szCs w:val="17"/>
          <w:color w:val="auto"/>
        </w:rPr>
        <w:t>The Treasurer shall disburse the funds of the Corporation as may be ordered by the Board of Directors, taking proper vouchers for such disbursements, and shall render to the President and Directors, at the regular meetings of the Board of Directors or whenever they may require it, an account of all his transactions as Treasurer and of the financial condition of the Corporation.</w:t>
      </w:r>
    </w:p>
    <w:p>
      <w:pPr>
        <w:spacing w:after="0" w:line="17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moneys and other property of whatever kind in his possession or under his control belonging to the Corporation.</w:t>
      </w:r>
    </w:p>
    <w:p>
      <w:pPr>
        <w:spacing w:after="0" w:line="17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ASSISTANT SECRETARIES AND ASSISTANT TREASUR</w:t>
      </w:r>
      <w:r>
        <w:rPr>
          <w:rFonts w:ascii="Arial" w:cs="Arial" w:eastAsia="Arial" w:hAnsi="Arial"/>
          <w:sz w:val="17"/>
          <w:szCs w:val="17"/>
          <w:color w:val="auto"/>
        </w:rPr>
        <w:t>ERS.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SALARIES</w:t>
      </w:r>
      <w:r>
        <w:rPr>
          <w:rFonts w:ascii="Arial" w:cs="Arial" w:eastAsia="Arial" w:hAnsi="Arial"/>
          <w:sz w:val="17"/>
          <w:szCs w:val="17"/>
          <w:color w:val="auto"/>
        </w:rPr>
        <w:t>. The salaries of the officers shall be fixed from time to time by the Board of Directors (or a committee thereof), and no officer shall be prevented from receiving such salary by reason of the fact that he is also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444500</wp:posOffset>
            </wp:positionV>
            <wp:extent cx="729297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20"/>
          </w:cols>
          <w:pgMar w:left="380" w:top="389" w:right="39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CONTRACTS, LOANS, CHECKS AND DEPOSITS</w:t>
      </w:r>
    </w:p>
    <w:p>
      <w:pPr>
        <w:spacing w:after="0" w:line="212" w:lineRule="exact"/>
        <w:rPr>
          <w:sz w:val="20"/>
          <w:szCs w:val="20"/>
          <w:color w:val="auto"/>
        </w:rPr>
      </w:pPr>
    </w:p>
    <w:p>
      <w:pPr>
        <w:jc w:val="both"/>
        <w:ind w:left="140" w:right="320"/>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CONTRACTS</w:t>
      </w:r>
      <w:r>
        <w:rPr>
          <w:rFonts w:ascii="Arial" w:cs="Arial" w:eastAsia="Arial" w:hAnsi="Arial"/>
          <w:sz w:val="17"/>
          <w:szCs w:val="17"/>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executed by one or more of the Board of Directors or by an authorized person shall be valid and binding upon the Board of Directors and upon the Corporation when authorized or ratified by action of the Directors.</w:t>
      </w:r>
    </w:p>
    <w:p>
      <w:pPr>
        <w:spacing w:after="0" w:line="178" w:lineRule="exact"/>
        <w:rPr>
          <w:sz w:val="20"/>
          <w:szCs w:val="20"/>
          <w:color w:val="auto"/>
        </w:rPr>
      </w:pPr>
    </w:p>
    <w:p>
      <w:pPr>
        <w:ind w:left="140" w:right="30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CHECKS AND DRAFTS</w:t>
      </w:r>
      <w:r>
        <w:rPr>
          <w:rFonts w:ascii="Arial" w:cs="Arial" w:eastAsia="Arial" w:hAnsi="Arial"/>
          <w:sz w:val="17"/>
          <w:szCs w:val="17"/>
          <w:color w:val="auto"/>
        </w:rPr>
        <w:t>. All checks, drafts or other orders for the payment of money, notes or other evidences of indebtedness issued in the name of the Corporation shall be signed by such officer or officers, agent or agents of the Corporation in such manner as shall from time to time be determined by the Board of Directors.</w:t>
      </w:r>
    </w:p>
    <w:p>
      <w:pPr>
        <w:spacing w:after="0" w:line="171" w:lineRule="exact"/>
        <w:rPr>
          <w:sz w:val="20"/>
          <w:szCs w:val="20"/>
          <w:color w:val="auto"/>
        </w:rPr>
      </w:pPr>
    </w:p>
    <w:p>
      <w:pPr>
        <w:ind w:left="140" w:right="700"/>
        <w:spacing w:after="0" w:line="28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DEPOSIT</w:t>
      </w:r>
      <w:r>
        <w:rPr>
          <w:rFonts w:ascii="Arial" w:cs="Arial" w:eastAsia="Arial" w:hAnsi="Arial"/>
          <w:sz w:val="17"/>
          <w:szCs w:val="17"/>
          <w:color w:val="auto"/>
        </w:rPr>
        <w:t>S. All funds of the Corporation not otherwise employed shall be deposited from time to time to the credit of the Corporation in such banks, trust companies or other depositories as the Board of Directors may designate.</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ARTICLE VII.</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STOCK</w:t>
      </w:r>
    </w:p>
    <w:p>
      <w:pPr>
        <w:spacing w:after="0" w:line="212" w:lineRule="exact"/>
        <w:rPr>
          <w:sz w:val="20"/>
          <w:szCs w:val="20"/>
          <w:color w:val="auto"/>
        </w:rPr>
      </w:pPr>
    </w:p>
    <w:p>
      <w:pPr>
        <w:ind w:left="140" w:right="220"/>
        <w:spacing w:after="0" w:line="293"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CERTIFICA</w:t>
      </w:r>
      <w:r>
        <w:rPr>
          <w:rFonts w:ascii="Arial" w:cs="Arial" w:eastAsia="Arial" w:hAnsi="Arial"/>
          <w:sz w:val="15"/>
          <w:szCs w:val="15"/>
          <w:color w:val="auto"/>
        </w:rPr>
        <w:t>TES. Each stockholder shall be entitled to a certificate or certificates which shall represent and certify the number of shares of each class of stock held by him in the Corporation; provided, however, that the issuance of some or all of any or all classes or series or stock of the Corporation may be uncertificated. To the extent required by the MGCL, holders of uncertificated shares shall be entitled to receive a certificate. Each certificate shall be signed by the President, a Vice President or the Chairman of the Board and countersigned by the Secretary or an assistant secretary or the Treasurer or an assistant treasurer, certifying the number of shares owned by such holder in the Corporation. If such a certificate is countersigned (i) by a transfer agent or an assistant transfer agent other than the Corporation or one of its employees or (ii) by a registrar, other than the Corporation or one of its employees, the signatures of any such President, Vice President, Chairman of the Board, Secretary or assistant secretary, or Treasurer or assistant treasurer may be either manual or facsimile. A</w:t>
      </w:r>
    </w:p>
    <w:p>
      <w:pPr>
        <w:spacing w:after="0" w:line="5" w:lineRule="exact"/>
        <w:rPr>
          <w:sz w:val="20"/>
          <w:szCs w:val="20"/>
          <w:color w:val="auto"/>
        </w:rPr>
      </w:pPr>
    </w:p>
    <w:p>
      <w:pPr>
        <w:ind w:left="140" w:right="240"/>
        <w:spacing w:after="0" w:line="273" w:lineRule="auto"/>
        <w:rPr>
          <w:sz w:val="20"/>
          <w:szCs w:val="20"/>
          <w:color w:val="auto"/>
        </w:rPr>
      </w:pPr>
      <w:r>
        <w:rPr>
          <w:rFonts w:ascii="Arial" w:cs="Arial" w:eastAsia="Arial" w:hAnsi="Arial"/>
          <w:sz w:val="16"/>
          <w:szCs w:val="16"/>
          <w:color w:val="auto"/>
        </w:rPr>
        <w:t>certificate is valid and may be issued whether or not an officer who signed it is still an officer when it is issued. Certificates shall be consecutively numbered; and if the Corporation shall, from time to time, issue several classes of shares of stock, each class may have its own number series. The name of</w:t>
      </w:r>
    </w:p>
    <w:p>
      <w:pPr>
        <w:ind w:left="140" w:right="140"/>
        <w:spacing w:after="0" w:line="278" w:lineRule="auto"/>
        <w:rPr>
          <w:sz w:val="20"/>
          <w:szCs w:val="20"/>
          <w:color w:val="auto"/>
        </w:rPr>
      </w:pPr>
      <w:r>
        <w:rPr>
          <w:rFonts w:ascii="Arial" w:cs="Arial" w:eastAsia="Arial" w:hAnsi="Arial"/>
          <w:sz w:val="16"/>
          <w:szCs w:val="16"/>
          <w:color w:val="auto"/>
        </w:rPr>
        <w:t>the person to whom the shares represented thereby are issued, with the number of shares and date of issue, shall be entered on the books of the Corporation. Shares of the Corporation’s stock may also be evidenced by registration in the holder’s name in uncertificated book-entry form on the books of the Corporation in accordance with a direct registration system approved by the SEC and by the New York Stock Exchange or any securities exchange on which the stock of the Corporation may from time to time be traded. Each certificate shall contain on its face or back a full statement or summary of such information with respect to the stock of the Corporation as is required by the MGCL. In lieu of such statement or summary, the Corporation may set forth upon the face or back of the certificate a statement that the Corporation will furnish to any stockholder, upon request and without charge, a full statement of such information. If required by the MGCL, within a reasonable time after the issuance or transfer of any uncertificated shares, the Corporation shall issue or cause to be issued to the holder of such shares a written statement of the information required by the MGCL to be included on stock certificates.</w:t>
      </w:r>
    </w:p>
    <w:p>
      <w:pPr>
        <w:spacing w:after="0" w:line="169" w:lineRule="exact"/>
        <w:rPr>
          <w:sz w:val="20"/>
          <w:szCs w:val="20"/>
          <w:color w:val="auto"/>
        </w:rPr>
      </w:pPr>
    </w:p>
    <w:p>
      <w:pPr>
        <w:ind w:left="140" w:right="460"/>
        <w:spacing w:after="0" w:line="264"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w:t>
      </w:r>
      <w:r>
        <w:rPr>
          <w:rFonts w:ascii="Arial" w:cs="Arial" w:eastAsia="Arial" w:hAnsi="Arial"/>
          <w:sz w:val="17"/>
          <w:szCs w:val="17"/>
          <w:color w:val="auto"/>
        </w:rPr>
        <w:t>NSFERS. Certificates shall be treated as negotiable, and title thereto and to the shares of stock they represent shall be transferred by delivery thereof. No transfers of shares of stock of the Corporation shall be made if:</w:t>
      </w:r>
    </w:p>
    <w:p>
      <w:pPr>
        <w:spacing w:after="0" w:line="1" w:lineRule="exact"/>
        <w:rPr>
          <w:sz w:val="20"/>
          <w:szCs w:val="20"/>
          <w:color w:val="auto"/>
        </w:rPr>
      </w:pPr>
    </w:p>
    <w:p>
      <w:pPr>
        <w:ind w:left="140" w:right="200"/>
        <w:spacing w:after="0" w:line="291" w:lineRule="auto"/>
        <w:rPr>
          <w:sz w:val="20"/>
          <w:szCs w:val="20"/>
          <w:color w:val="auto"/>
        </w:rPr>
      </w:pPr>
      <w:r>
        <w:rPr>
          <w:rFonts w:ascii="Arial" w:cs="Arial" w:eastAsia="Arial" w:hAnsi="Arial"/>
          <w:sz w:val="15"/>
          <w:szCs w:val="15"/>
          <w:color w:val="auto"/>
        </w:rPr>
        <w:t>(i) void ab initio pursuant to any provision of the Charter; or (ii) the Board of Directors, pursuant to any provision of the Charter, shall have refused to permit the transfer of such shares of stock. Permitted transfers of shares of stock of the Corporation shall be made on the stock records of the Corporation only upon the instruction of the registered holder thereof, or by his attorney thereunto authorized by power of attorney duly executed and filed with the Secretary or with a transfer agent or transfer clerk, and upon surrender of the certificate or certificates, if issued, for such shares of stock properly endorsed or accompanied by a duly executed stock transfer power and the payment of all taxes thereon. Upon surrender to the Corporation or the transfer agent of the Corporation of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540" w:type="dxa"/>
            <w:vAlign w:val="bottom"/>
          </w:tcPr>
          <w:p>
            <w:pPr>
              <w:ind w:left="140"/>
              <w:spacing w:after="0"/>
              <w:rPr>
                <w:sz w:val="20"/>
                <w:szCs w:val="20"/>
                <w:color w:val="auto"/>
              </w:rPr>
            </w:pPr>
            <w:r>
              <w:rPr>
                <w:rFonts w:ascii="Arial" w:cs="Arial" w:eastAsia="Arial" w:hAnsi="Arial"/>
                <w:sz w:val="17"/>
                <w:szCs w:val="17"/>
                <w:color w:val="auto"/>
                <w:w w:val="93"/>
              </w:rPr>
              <w:t>certificate for shares of stock duly endorsed or accompanied by proper evidence of succession, assignment or authority to transfer, as</w:t>
            </w:r>
          </w:p>
        </w:tc>
        <w:tc>
          <w:tcPr>
            <w:tcW w:w="1900" w:type="dxa"/>
            <w:vAlign w:val="bottom"/>
          </w:tcPr>
          <w:p>
            <w:pPr>
              <w:ind w:left="180"/>
              <w:spacing w:after="0"/>
              <w:rPr>
                <w:sz w:val="20"/>
                <w:szCs w:val="20"/>
                <w:color w:val="auto"/>
              </w:rPr>
            </w:pPr>
            <w:r>
              <w:rPr>
                <w:rFonts w:ascii="Arial" w:cs="Arial" w:eastAsia="Arial" w:hAnsi="Arial"/>
                <w:sz w:val="17"/>
                <w:szCs w:val="17"/>
                <w:color w:val="auto"/>
              </w:rPr>
              <w:t>to any transfers not</w:t>
            </w:r>
          </w:p>
        </w:tc>
      </w:tr>
      <w:tr>
        <w:trPr>
          <w:trHeight w:val="222"/>
        </w:trPr>
        <w:tc>
          <w:tcPr>
            <w:tcW w:w="9540" w:type="dxa"/>
            <w:vAlign w:val="bottom"/>
          </w:tcPr>
          <w:p>
            <w:pPr>
              <w:ind w:left="140"/>
              <w:spacing w:after="0"/>
              <w:rPr>
                <w:sz w:val="20"/>
                <w:szCs w:val="20"/>
                <w:color w:val="auto"/>
              </w:rPr>
            </w:pPr>
            <w:r>
              <w:rPr>
                <w:rFonts w:ascii="Arial" w:cs="Arial" w:eastAsia="Arial" w:hAnsi="Arial"/>
                <w:sz w:val="17"/>
                <w:szCs w:val="17"/>
                <w:color w:val="auto"/>
              </w:rPr>
              <w:t>prohibited by any provision of the Charter or by action of the Board of Directors thereunder,</w:t>
            </w:r>
          </w:p>
        </w:tc>
        <w:tc>
          <w:tcPr>
            <w:tcW w:w="1900" w:type="dxa"/>
            <w:vAlign w:val="bottom"/>
          </w:tcPr>
          <w:p>
            <w:pPr>
              <w:spacing w:after="0"/>
              <w:rPr>
                <w:sz w:val="19"/>
                <w:szCs w:val="19"/>
                <w:color w:val="auto"/>
              </w:rPr>
            </w:pPr>
          </w:p>
        </w:tc>
      </w:tr>
      <w:tr>
        <w:trPr>
          <w:trHeight w:val="766"/>
        </w:trPr>
        <w:tc>
          <w:tcPr>
            <w:tcW w:w="95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155" w:name="page156"/>
    <w:bookmarkEnd w:id="155"/>
    <w:p>
      <w:pPr>
        <w:ind w:right="120"/>
        <w:spacing w:after="0" w:line="267" w:lineRule="auto"/>
        <w:rPr>
          <w:sz w:val="20"/>
          <w:szCs w:val="20"/>
          <w:color w:val="auto"/>
        </w:rPr>
      </w:pPr>
      <w:r>
        <w:rPr>
          <w:rFonts w:ascii="Arial" w:cs="Arial" w:eastAsia="Arial" w:hAnsi="Arial"/>
          <w:sz w:val="17"/>
          <w:szCs w:val="17"/>
          <w:color w:val="auto"/>
        </w:rPr>
        <w:t>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cancelled, issuance of new equivalent uncertificated shares or certificated shares shall be made to the transferee stockholder entitled thereto, and the transaction shall be recorded upon the books of the Corporation.</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REPLACEMENT CERTIFICATE</w:t>
      </w:r>
      <w:r>
        <w:rPr>
          <w:rFonts w:ascii="Arial" w:cs="Arial" w:eastAsia="Arial" w:hAnsi="Arial"/>
          <w:sz w:val="15"/>
          <w:szCs w:val="15"/>
          <w:color w:val="auto"/>
        </w:rPr>
        <w:t>. In the event that any certificate previously issued by the Corporation is alleged to have been lost, stolen or destroyed in an affidavit of that fact by the person claiming the certificate to be lost, stolen or destroyed, then any officer designated by the Board of Directors may, upon payment of any applicable transfer agent fees, (i) direct a new certificate to be issued in place of such lost, stolen or destroyed certificate or</w:t>
      </w:r>
    </w:p>
    <w:p>
      <w:pPr>
        <w:ind w:right="380" w:firstLine="7"/>
        <w:spacing w:after="0" w:line="261" w:lineRule="auto"/>
        <w:tabs>
          <w:tab w:leader="none" w:pos="562"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direct the issuance of uncertificated shares in place of the shares represented by such lost, stolen or destroyed certificate. When authorizing the issuance of a new certificate, the officer designated by the Board of Directors may, in his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18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w:t>
      </w:r>
    </w:p>
    <w:p>
      <w:pPr>
        <w:spacing w:after="0" w:line="289" w:lineRule="auto"/>
        <w:rPr>
          <w:sz w:val="20"/>
          <w:szCs w:val="20"/>
          <w:color w:val="auto"/>
        </w:rPr>
      </w:pPr>
      <w:r>
        <w:rPr>
          <w:rFonts w:ascii="Arial" w:cs="Arial" w:eastAsia="Arial" w:hAnsi="Arial"/>
          <w:sz w:val="16"/>
          <w:szCs w:val="16"/>
          <w:color w:val="auto"/>
        </w:rPr>
        <w:t>dividend or the allotment of any other rights, or in order to make a determination of stockholders for any other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61"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7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Board of Directors declaring the dividend or allotment of rights is adopted.</w:t>
      </w:r>
    </w:p>
    <w:p>
      <w:pPr>
        <w:spacing w:after="0" w:line="17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78" w:lineRule="exact"/>
        <w:rPr>
          <w:sz w:val="20"/>
          <w:szCs w:val="20"/>
          <w:color w:val="auto"/>
        </w:rPr>
      </w:pPr>
    </w:p>
    <w:p>
      <w:pPr>
        <w:ind w:right="240"/>
        <w:spacing w:after="0" w:line="32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w:t>
      </w:r>
      <w:r>
        <w:rPr>
          <w:rFonts w:ascii="Arial" w:cs="Arial" w:eastAsia="Arial" w:hAnsi="Arial"/>
          <w:sz w:val="16"/>
          <w:szCs w:val="16"/>
          <w:color w:val="auto"/>
        </w:rPr>
        <w:t>EDGER. The Corporation shall maintain at its principal office or at the office of its counsel, accountants or transfer agent, an original or duplicate stock ledger containing the name and address of each stockholder and the number of shares of each class of stock held by such stockholder.</w:t>
      </w:r>
    </w:p>
    <w:p>
      <w:pPr>
        <w:spacing w:after="0" w:line="13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FRACTIONAL SHARES OF STOCK; ISSUANCE OF U</w:t>
      </w:r>
      <w:r>
        <w:rPr>
          <w:rFonts w:ascii="Arial" w:cs="Arial" w:eastAsia="Arial" w:hAnsi="Arial"/>
          <w:sz w:val="17"/>
          <w:szCs w:val="17"/>
          <w:color w:val="auto"/>
        </w:rPr>
        <w:t>NITS. The Board of Directors may issue fractional shares of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457200</wp:posOffset>
            </wp:positionV>
            <wp:extent cx="729297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20"/>
          </w:cols>
          <w:pgMar w:left="380" w:top="389" w:right="39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DIVIDENDS AND DISTRIBUTIONS</w:t>
      </w:r>
    </w:p>
    <w:p>
      <w:pPr>
        <w:spacing w:after="0" w:line="2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AUTHORIZATION</w:t>
      </w:r>
      <w:r>
        <w:rPr>
          <w:rFonts w:ascii="Arial" w:cs="Arial" w:eastAsia="Arial" w:hAnsi="Arial"/>
          <w:sz w:val="17"/>
          <w:szCs w:val="17"/>
          <w:color w:val="auto"/>
        </w:rPr>
        <w:t>. Dividends and other distributions upon the shares of stock of the Corporation may be authorized and declared by the Board of Directors, subject to the provisions of law and the Charter. Dividends may be paid in cash, property or shares of stock of the Corporation, subject to the provisions of law and the Charter.</w:t>
      </w:r>
    </w:p>
    <w:p>
      <w:pPr>
        <w:spacing w:after="0" w:line="1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CONTINGENCIES</w:t>
      </w:r>
      <w:r>
        <w:rPr>
          <w:rFonts w:ascii="Arial" w:cs="Arial" w:eastAsia="Arial" w:hAnsi="Arial"/>
          <w:sz w:val="16"/>
          <w:szCs w:val="16"/>
          <w:color w:val="auto"/>
        </w:rPr>
        <w:t>. Before payment of any dividends, there may be set aside out of any funds of the Corporation available for dividends such sum or sums as the Board of Directors may from time to time, in their absolute discretion, think proper as a reserve fund for contingencies, for equalizing dividends, for repairing or maintaining any property of the Corporation or for such other purpose as the Board of Directors shall determine to be in the best interest of the Corporation; and the Board of Directors may modify or abolish any such reserve in the manner in which it was created.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SEAL</w:t>
      </w:r>
    </w:p>
    <w:p>
      <w:pPr>
        <w:spacing w:after="0" w:line="212" w:lineRule="exact"/>
        <w:rPr>
          <w:sz w:val="20"/>
          <w:szCs w:val="20"/>
          <w:color w:val="auto"/>
        </w:rPr>
      </w:pPr>
    </w:p>
    <w:p>
      <w:pPr>
        <w:ind w:right="560"/>
        <w:spacing w:after="0" w:line="32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SEA</w:t>
      </w:r>
      <w:r>
        <w:rPr>
          <w:rFonts w:ascii="Arial" w:cs="Arial" w:eastAsia="Arial" w:hAnsi="Arial"/>
          <w:sz w:val="16"/>
          <w:szCs w:val="16"/>
          <w:color w:val="auto"/>
        </w:rPr>
        <w:t>L. The Board of Directors may authorize the adoption of a seal by the Corporation. The seal shall have inscribed thereon the name of the Corporation and the year of its formation. The Board of Directors may authorize one or more duplicate seals and provide for the custody thereof.</w:t>
      </w:r>
    </w:p>
    <w:p>
      <w:pPr>
        <w:spacing w:after="0" w:line="135" w:lineRule="exact"/>
        <w:rPr>
          <w:sz w:val="20"/>
          <w:szCs w:val="20"/>
          <w:color w:val="auto"/>
        </w:rPr>
      </w:pPr>
    </w:p>
    <w:p>
      <w:pPr>
        <w:jc w:val="both"/>
        <w:ind w:right="60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AFFIXING S</w:t>
      </w:r>
      <w:r>
        <w:rPr>
          <w:rFonts w:ascii="Arial" w:cs="Arial" w:eastAsia="Arial" w:hAnsi="Arial"/>
          <w:sz w:val="17"/>
          <w:szCs w:val="17"/>
          <w:color w:val="auto"/>
        </w:rPr>
        <w:t>EAL. Whenever the Corporation is required to place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AND ADVANCES FOR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To the maximum extent permitted by Maryland law in effect from time to time, the Corporation shall indemnify</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(a) any Director or officer or any former Director or officer (including among the foregoing, for all purposes of this Article X and without limitation, any individual who, while a Director or officer and at the express request of the Corporation, serves or has served another corporation, partnership, joint venture, trust, employee benefit plan or any other enterprise as a director, officer or partner of such corporation, partnership, joint venture, trust, employee benefit plan</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or other enterprise) who has been successful, on the merits or otherwise, in the defense of a Proceeding, or in the defense of any claim, issue or matter in the Proceeding, to which he was made a Party by reason of service in such capacity, against reasonable expenses incurred by him in connection with the Proceeding, claim, issue or matter in which he has been successful and (b) any Director or officer or any former Director or officer made a Party or</w:t>
      </w:r>
    </w:p>
    <w:p>
      <w:pPr>
        <w:spacing w:after="0" w:line="1"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witness to any Proceeding by reason of such status against any loss, liability, judgment, penalty, fine, settlement or expense (including attorneys’ fees) actually incurred by him in connection with the Proceeding unless it is established that: (i) his act or omission was material to the matter giving rise to the Proceeding</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In addition, the Corporation shall pay or reimburse, in advance of final disposition of a Proceeding, reasonable expenses incurred by a Director or officer or former Director or officer made a Party or witness to a Proceeding by reason of such status, provided that the Corporation shall have received:</w:t>
      </w:r>
    </w:p>
    <w:p>
      <w:pPr>
        <w:spacing w:after="0" w:line="1" w:lineRule="exact"/>
        <w:rPr>
          <w:sz w:val="20"/>
          <w:szCs w:val="20"/>
          <w:color w:val="auto"/>
        </w:rPr>
      </w:pPr>
    </w:p>
    <w:p>
      <w:pPr>
        <w:jc w:val="both"/>
        <w:ind w:right="300" w:firstLine="6"/>
        <w:spacing w:after="0" w:line="273" w:lineRule="auto"/>
        <w:tabs>
          <w:tab w:leader="none" w:pos="2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written affirmation by the Director or officer or former Director or officer of his good faith belief that he has met the applicable standard of conduct necessary for indemnification by the Corporation as authorized by these Bylaws; and (ii) a written undertaking (which need not be secured) by or on the Director’s or officer’s or former Director’s or officer’s behalf to repay the amount paid or reimbursed by the Corporation if it shall ultimately be determined that the applicable standard of conduct was not met. The Corporation may, with the approval of its Directors, provide such indemnification or payment or</w:t>
      </w:r>
    </w:p>
    <w:p>
      <w:pPr>
        <w:spacing w:after="0" w:line="1"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reimbursement of expenses to any Director or officer or any former Director or officer who served a predecessor of the Corporation and to any employee or agent of the Corporation or a predecessor of the Corporation. Neither the amendment nor repeal of this Article, nor the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452755</wp:posOffset>
            </wp:positionV>
            <wp:extent cx="729297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140"/>
          </w:cols>
          <w:pgMar w:left="380" w:top="344" w:right="379" w:bottom="1440" w:gutter="0" w:footer="0" w:header="0"/>
        </w:sectPr>
      </w:pPr>
    </w:p>
    <w:bookmarkStart w:id="157" w:name="page158"/>
    <w:bookmarkEnd w:id="157"/>
    <w:p>
      <w:pPr>
        <w:ind w:left="140" w:right="160"/>
        <w:spacing w:after="0" w:line="289" w:lineRule="auto"/>
        <w:rPr>
          <w:sz w:val="20"/>
          <w:szCs w:val="20"/>
          <w:color w:val="auto"/>
        </w:rPr>
      </w:pPr>
      <w:r>
        <w:rPr>
          <w:rFonts w:ascii="Arial" w:cs="Arial" w:eastAsia="Arial" w:hAnsi="Arial"/>
          <w:sz w:val="17"/>
          <w:szCs w:val="17"/>
          <w:color w:val="auto"/>
        </w:rPr>
        <w:t>or amendment of any other provision of the Charter or these Bylaws inconsistent with this Article, shall apply to or affect in any respect the applicability of this Article with respect to any act or failure to act which occurred prior to such amendment, repeal or adoption.</w:t>
      </w:r>
    </w:p>
    <w:p>
      <w:pPr>
        <w:spacing w:after="0" w:line="158" w:lineRule="exact"/>
        <w:rPr>
          <w:sz w:val="20"/>
          <w:szCs w:val="20"/>
          <w:color w:val="auto"/>
        </w:rPr>
      </w:pPr>
    </w:p>
    <w:p>
      <w:pPr>
        <w:ind w:left="140"/>
        <w:spacing w:after="0" w:line="262" w:lineRule="auto"/>
        <w:rPr>
          <w:sz w:val="20"/>
          <w:szCs w:val="20"/>
          <w:color w:val="auto"/>
        </w:rPr>
      </w:pPr>
      <w:r>
        <w:rPr>
          <w:rFonts w:ascii="Arial" w:cs="Arial" w:eastAsia="Arial" w:hAnsi="Arial"/>
          <w:sz w:val="17"/>
          <w:szCs w:val="17"/>
          <w:color w:val="auto"/>
        </w:rPr>
        <w:t>Any indemnification permitted by these Bylaws and not mandated by the MGCL, shall be furnished in accordance with the procedures provided for indemnification under Section 2-418(e) of the MGCL for directors of Maryland corporations. The Corporation may provide to Directors or officers such other and further indemnification or payment or reimbursement of expenses, as the case may be, to the fullest extent permitted by the MGCL, as in effect from time to time, for directors of Maryland corporations. The right to be indemnified or to the reimbursement or advancement of expenses pursuant hereto (i) is a contract right based upon good and valuable consideration, pursuant to which the person entitled thereto may bring suit as if the provisions hereof were set forth in a separate written contract between the Corporation and the Director or officer and (ii) is intended to be retroactive and shall be available with respect to events occurring prior to the adoption hereof.</w:t>
      </w:r>
    </w:p>
    <w:p>
      <w:pPr>
        <w:spacing w:after="0" w:line="182" w:lineRule="exact"/>
        <w:rPr>
          <w:sz w:val="20"/>
          <w:szCs w:val="20"/>
          <w:color w:val="auto"/>
        </w:rPr>
      </w:pPr>
    </w:p>
    <w:p>
      <w:pPr>
        <w:ind w:left="140" w:right="200"/>
        <w:spacing w:after="0" w:line="273" w:lineRule="auto"/>
        <w:rPr>
          <w:sz w:val="20"/>
          <w:szCs w:val="20"/>
          <w:color w:val="auto"/>
        </w:rPr>
      </w:pPr>
      <w:r>
        <w:rPr>
          <w:rFonts w:ascii="Arial" w:cs="Arial" w:eastAsia="Arial" w:hAnsi="Arial"/>
          <w:sz w:val="17"/>
          <w:szCs w:val="17"/>
          <w:color w:val="auto"/>
        </w:rPr>
        <w:t>If this Article X or any portion thereof shall be invalidated on any ground by any court of competent jurisdiction, then the Corporation shall nevertheless indemnify and advance expenses to each Director and officer and former Director and officer hereunder, to the full extent permitted by any applicable portion of this Article X that shall not have been invalidated, or by Maryland law.</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this Article X, the following words have the meanings set forth below.</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“Party” includes a person who was, is or is threatened to be made a named defendant or respondent in a Proceeding.</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“Proceeding” means any threatened, pending or completed action, suit or proceeding, whether civil, criminal, administrative or investigative.</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ARTICLE XI.</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WAIVER OF NOTICE</w:t>
      </w:r>
    </w:p>
    <w:p>
      <w:pPr>
        <w:spacing w:after="0" w:line="212" w:lineRule="exact"/>
        <w:rPr>
          <w:sz w:val="20"/>
          <w:szCs w:val="20"/>
          <w:color w:val="auto"/>
        </w:rPr>
      </w:pPr>
    </w:p>
    <w:p>
      <w:pPr>
        <w:ind w:left="140" w:right="180"/>
        <w:spacing w:after="0" w:line="285" w:lineRule="auto"/>
        <w:rPr>
          <w:sz w:val="20"/>
          <w:szCs w:val="20"/>
          <w:color w:val="auto"/>
        </w:rPr>
      </w:pPr>
      <w:r>
        <w:rPr>
          <w:rFonts w:ascii="Arial" w:cs="Arial" w:eastAsia="Arial" w:hAnsi="Arial"/>
          <w:sz w:val="16"/>
          <w:szCs w:val="16"/>
          <w:color w:val="auto"/>
        </w:rPr>
        <w:t>Whenever any notice is required to be given pursuant to the Charter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ARTICLE XII.</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AMENDMENT OF BYLAWS</w:t>
      </w:r>
    </w:p>
    <w:p>
      <w:pPr>
        <w:spacing w:after="0" w:line="23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BY DIRECTORS</w:t>
      </w:r>
      <w:r>
        <w:rPr>
          <w:rFonts w:ascii="Arial" w:cs="Arial" w:eastAsia="Arial" w:hAnsi="Arial"/>
          <w:sz w:val="17"/>
          <w:szCs w:val="17"/>
          <w:color w:val="auto"/>
        </w:rPr>
        <w:t>. The Board of Directors shall have the exclusive power to adopt, alter or repeal any provision of these Bylaws and to make new Bylaws in accordance with Article III hereof, except for the power granted by the Board of Directors in Section 2 of this Article XII.</w:t>
      </w:r>
    </w:p>
    <w:p>
      <w:pPr>
        <w:spacing w:after="0" w:line="158" w:lineRule="exact"/>
        <w:rPr>
          <w:sz w:val="20"/>
          <w:szCs w:val="20"/>
          <w:color w:val="auto"/>
        </w:rPr>
      </w:pPr>
    </w:p>
    <w:p>
      <w:pPr>
        <w:ind w:right="540"/>
        <w:spacing w:after="0" w:line="32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BY HOLDERS OF ONE PERCENT OF COMMON STOCK FOR ONE YEAR</w:t>
      </w:r>
      <w:r>
        <w:rPr>
          <w:rFonts w:ascii="Arial" w:cs="Arial" w:eastAsia="Arial" w:hAnsi="Arial"/>
          <w:sz w:val="16"/>
          <w:szCs w:val="16"/>
          <w:color w:val="auto"/>
        </w:rPr>
        <w:t>. Pursuant to a binding proposal submitted for approval of the stockholders at a duly called annual meeting or special meeting of stockholders by a stockholder or group of no more than five stockholders:</w:t>
      </w:r>
    </w:p>
    <w:p>
      <w:pPr>
        <w:spacing w:after="0" w:line="135" w:lineRule="exact"/>
        <w:rPr>
          <w:sz w:val="20"/>
          <w:szCs w:val="20"/>
          <w:color w:val="auto"/>
        </w:rPr>
      </w:pPr>
    </w:p>
    <w:p>
      <w:pPr>
        <w:ind w:right="40" w:firstLine="5"/>
        <w:spacing w:after="0" w:line="265" w:lineRule="auto"/>
        <w:tabs>
          <w:tab w:leader="none" w:pos="281"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of which delivers to the Secretary of the Corporation a notice setting forth the information required by Section 12(a)(2)(ii) and (iii) of Article II of these Bylaws, which notice shall be delivered, if with respect to an annual meeting, within the time period contemplated by Section 12(a)(2) of Article II or, if with respect to a special meeting, not earlier than the 90</w:t>
      </w:r>
      <w:r>
        <w:rPr>
          <w:rFonts w:ascii="Arial" w:cs="Arial" w:eastAsia="Arial" w:hAnsi="Arial"/>
          <w:sz w:val="14"/>
          <w:szCs w:val="14"/>
          <w:color w:val="auto"/>
        </w:rPr>
        <w:t>th</w:t>
      </w:r>
      <w:r>
        <w:rPr>
          <w:rFonts w:ascii="Arial" w:cs="Arial" w:eastAsia="Arial" w:hAnsi="Arial"/>
          <w:sz w:val="17"/>
          <w:szCs w:val="17"/>
          <w:color w:val="auto"/>
        </w:rPr>
        <w:t xml:space="preserve"> day prior to such special meeting and not later than the close of business on the later of the 60</w:t>
      </w:r>
      <w:r>
        <w:rPr>
          <w:rFonts w:ascii="Arial" w:cs="Arial" w:eastAsia="Arial" w:hAnsi="Arial"/>
          <w:sz w:val="14"/>
          <w:szCs w:val="14"/>
          <w:color w:val="auto"/>
        </w:rPr>
        <w:t>th</w:t>
      </w:r>
      <w:r>
        <w:rPr>
          <w:rFonts w:ascii="Arial" w:cs="Arial" w:eastAsia="Arial" w:hAnsi="Arial"/>
          <w:sz w:val="17"/>
          <w:szCs w:val="17"/>
          <w:color w:val="auto"/>
        </w:rPr>
        <w:t xml:space="preserve"> day prior to such special meeting or the tenth day following the day on which the public announcement is first made of the date of the special meeting, and otherwise in accordance with applicable law (the “Notice of Bylaw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316230</wp:posOffset>
            </wp:positionV>
            <wp:extent cx="729297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280"/>
          </w:cols>
          <w:pgMar w:left="240" w:top="389" w:right="379" w:bottom="1440" w:gutter="0" w:footer="0" w:header="0"/>
        </w:sectPr>
      </w:pPr>
    </w:p>
    <w:bookmarkStart w:id="158" w:name="page159"/>
    <w:bookmarkEnd w:id="158"/>
    <w:p>
      <w:pPr>
        <w:ind w:firstLine="5"/>
        <w:spacing w:after="0" w:line="273" w:lineRule="auto"/>
        <w:tabs>
          <w:tab w:leader="none" w:pos="29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that owned at least one percent or more of the Common Stock outstanding from time to time continuously for at least one year as of both the date the Notice of Bylaw Amendment Proposal is delivered to the Secretary of the Company in accordance with of Section 2(a) of this of Article XII, and the close of business on the record date for determining the stockholders entitled to vote at such annual meeting or special meeting of stockholders; and</w:t>
      </w:r>
    </w:p>
    <w:p>
      <w:pPr>
        <w:spacing w:after="0" w:line="171" w:lineRule="exact"/>
        <w:rPr>
          <w:rFonts w:ascii="Arial" w:cs="Arial" w:eastAsia="Arial" w:hAnsi="Arial"/>
          <w:sz w:val="17"/>
          <w:szCs w:val="17"/>
          <w:color w:val="auto"/>
        </w:rPr>
      </w:pPr>
    </w:p>
    <w:p>
      <w:pPr>
        <w:ind w:right="800" w:firstLine="5"/>
        <w:spacing w:after="0" w:line="289" w:lineRule="auto"/>
        <w:tabs>
          <w:tab w:leader="none" w:pos="28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that continuously owns such Common Stock through the date of such annual meeting or special meeting of stockholders (and any postponement or adjournment thereof);</w:t>
      </w:r>
    </w:p>
    <w:p>
      <w:pPr>
        <w:spacing w:after="0" w:line="158"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stockholders shall also have the power, by the affirmative vote of a majority of all votes entitled to be cast on the matter, to adopt, alter or repeal any provision of these Bylaws and to make new Bylaws; provided, however, that the stockholders shall not have the power (i) to alter or repeal Article X or this Article XII or</w:t>
      </w:r>
    </w:p>
    <w:p>
      <w:pPr>
        <w:spacing w:after="0" w:line="1" w:lineRule="exact"/>
        <w:rPr>
          <w:sz w:val="20"/>
          <w:szCs w:val="20"/>
          <w:color w:val="auto"/>
        </w:rPr>
      </w:pPr>
    </w:p>
    <w:p>
      <w:pPr>
        <w:ind w:right="360" w:firstLine="5"/>
        <w:spacing w:after="0" w:line="274" w:lineRule="auto"/>
        <w:tabs>
          <w:tab w:leader="none" w:pos="25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adopt, alter or repeal any provision of these Bylaws in a manner that would be inconsistent with Article X or this Article XII, in either case without the approval of the Board of Directors.</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For purposes of this Article XII, a stockholder or group of no more than five stockholders shall be deemed to "own" Common Stock to the extent, and only to the extent, an Eligible Stockholder would be deemed to own such Common Stock for purposes of Section 12(b) of Article II of these Bylaws.</w:t>
      </w:r>
    </w:p>
    <w:p>
      <w:pPr>
        <w:sectPr>
          <w:pgSz w:w="11900" w:h="16838" w:orient="portrait"/>
          <w:cols w:equalWidth="0" w:num="1">
            <w:col w:w="11340"/>
          </w:cols>
          <w:pgMar w:left="240" w:top="559"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b w:val="1"/>
          <w:bCs w:val="1"/>
          <w:color w:val="auto"/>
        </w:rPr>
        <w:t>Exhibit 10.28</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EMPLOYMENT AGREEMENT</w:t>
      </w:r>
    </w:p>
    <w:p>
      <w:pPr>
        <w:spacing w:after="0" w:line="220"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_________, 20__ and effective as of</w:t>
      </w:r>
      <w:r>
        <w:rPr>
          <w:sz w:val="20"/>
          <w:szCs w:val="20"/>
          <w:color w:val="auto"/>
        </w:rPr>
        <w:tab/>
      </w:r>
      <w:r>
        <w:rPr>
          <w:rFonts w:ascii="Arial" w:cs="Arial" w:eastAsia="Arial" w:hAnsi="Arial"/>
          <w:sz w:val="18"/>
          <w:szCs w:val="18"/>
          <w:color w:val="auto"/>
        </w:rPr>
        <w:t>January 1, 2018 (the</w:t>
      </w:r>
    </w:p>
    <w:p>
      <w:pPr>
        <w:spacing w:after="0" w:line="2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CoreCivic, Inc. a Maryland corporation (the “</w:t>
      </w:r>
      <w:r>
        <w:rPr>
          <w:rFonts w:ascii="Arial" w:cs="Arial" w:eastAsia="Arial" w:hAnsi="Arial"/>
          <w:sz w:val="18"/>
          <w:szCs w:val="18"/>
          <w:u w:val="single" w:color="auto"/>
          <w:color w:val="auto"/>
        </w:rPr>
        <w:t>REIT</w:t>
      </w:r>
      <w:r>
        <w:rPr>
          <w:rFonts w:ascii="Arial" w:cs="Arial" w:eastAsia="Arial" w:hAnsi="Arial"/>
          <w:sz w:val="18"/>
          <w:szCs w:val="18"/>
          <w:color w:val="auto"/>
        </w:rPr>
        <w:t>”), CoreCivic of Tennessee, LLC, a Tennessee limited liability company (“</w:t>
      </w:r>
      <w:r>
        <w:rPr>
          <w:rFonts w:ascii="Arial" w:cs="Arial" w:eastAsia="Arial" w:hAnsi="Arial"/>
          <w:sz w:val="18"/>
          <w:szCs w:val="18"/>
          <w:u w:val="single" w:color="auto"/>
          <w:color w:val="auto"/>
        </w:rPr>
        <w:t>Employer</w:t>
      </w:r>
      <w:r>
        <w:rPr>
          <w:rFonts w:ascii="Arial" w:cs="Arial" w:eastAsia="Arial" w:hAnsi="Arial"/>
          <w:sz w:val="18"/>
          <w:szCs w:val="18"/>
          <w:color w:val="auto"/>
        </w:rPr>
        <w:t>” and, together with the REIT,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___________________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 I T N E S S E T H:</w:t>
      </w:r>
    </w:p>
    <w:p>
      <w:pPr>
        <w:spacing w:after="0" w:line="214"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effective as of the Effective Date, the Company and the Executive desire to enter into this Agreement to set forth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the Executive’s employment with the Company.</w:t>
      </w:r>
    </w:p>
    <w:p>
      <w:pPr>
        <w:spacing w:after="0" w:line="149" w:lineRule="exact"/>
        <w:rPr>
          <w:sz w:val="20"/>
          <w:szCs w:val="20"/>
          <w:color w:val="auto"/>
        </w:rPr>
      </w:pPr>
    </w:p>
    <w:p>
      <w:pPr>
        <w:jc w:val="both"/>
        <w:ind w:firstLine="878"/>
        <w:spacing w:after="0" w:line="30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foregoing recitals, the mutual promises and covenants set forth below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receipt of which is hereby acknowledged, the Company and the Executive do hereby agree as follows: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1.</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gridSpan w:val="13"/>
          </w:tcPr>
          <w:p>
            <w:pPr>
              <w:spacing w:after="0"/>
              <w:rPr>
                <w:sz w:val="20"/>
                <w:szCs w:val="20"/>
                <w:color w:val="auto"/>
              </w:rPr>
            </w:pPr>
            <w:r>
              <w:rPr>
                <w:rFonts w:ascii="Arial" w:cs="Arial" w:eastAsia="Arial" w:hAnsi="Arial"/>
                <w:sz w:val="19"/>
                <w:szCs w:val="19"/>
                <w:color w:val="auto"/>
                <w:w w:val="95"/>
              </w:rPr>
              <w:t>Employment. Effective as of the Effective Date, the Executive shall serve as [TITLE] of the Company. The Executive shall</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8"/>
              </w:rPr>
              <w:t>perform such duties as are customarily associated with the office of [TITLE] and shall report to the [TITLE] of the Company. The</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2"/>
              </w:rPr>
              <w:t>Executive’s principal base of operations for the performance of the Executive’s duties and responsibilities under this Agreement shall be</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3"/>
              </w:rPr>
              <w:t>the offices of the Company located in Nashville, Tennessee. At the Company’s request, Executive shall serve the Company and/or its</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6"/>
              </w:rPr>
              <w:t>subsidiaries and affiliates in such other capacities in addition to the foregoing as the Company shall designate, provided that such</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3"/>
              </w:rPr>
              <w:t>additional capacities are consistent with Executive’s position as [TITLE]. In the event that Executive serves in any one or more of such</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1"/>
              </w:rPr>
              <w:t>additional capacities, Executive’s compensation shall not be increased on account of such additional service beyond that specified in this</w:t>
            </w:r>
          </w:p>
        </w:tc>
      </w:tr>
      <w:tr>
        <w:trPr>
          <w:trHeight w:val="243"/>
        </w:trPr>
        <w:tc>
          <w:tcPr>
            <w:tcW w:w="460" w:type="dxa"/>
            <w:vAlign w:val="bottom"/>
          </w:tcPr>
          <w:p>
            <w:pPr>
              <w:spacing w:after="0"/>
              <w:rPr>
                <w:sz w:val="21"/>
                <w:szCs w:val="21"/>
                <w:color w:val="auto"/>
              </w:rPr>
            </w:pPr>
          </w:p>
        </w:tc>
        <w:tc>
          <w:tcPr>
            <w:tcW w:w="2140" w:type="dxa"/>
            <w:vAlign w:val="bottom"/>
            <w:gridSpan w:val="6"/>
          </w:tcPr>
          <w:p>
            <w:pPr>
              <w:ind w:left="340"/>
              <w:spacing w:after="0"/>
              <w:rPr>
                <w:sz w:val="20"/>
                <w:szCs w:val="20"/>
                <w:color w:val="auto"/>
              </w:rPr>
            </w:pPr>
            <w:r>
              <w:rPr>
                <w:rFonts w:ascii="Arial" w:cs="Arial" w:eastAsia="Arial" w:hAnsi="Arial"/>
                <w:sz w:val="19"/>
                <w:szCs w:val="19"/>
                <w:color w:val="auto"/>
              </w:rPr>
              <w:t>Agreement.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89"/>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2.</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gridSpan w:val="13"/>
          </w:tcPr>
          <w:p>
            <w:pPr>
              <w:spacing w:after="0"/>
              <w:rPr>
                <w:sz w:val="20"/>
                <w:szCs w:val="20"/>
                <w:color w:val="auto"/>
              </w:rPr>
            </w:pPr>
            <w:r>
              <w:rPr>
                <w:rFonts w:ascii="Arial" w:cs="Arial" w:eastAsia="Arial" w:hAnsi="Arial"/>
                <w:sz w:val="19"/>
                <w:szCs w:val="19"/>
                <w:color w:val="auto"/>
                <w:w w:val="94"/>
              </w:rPr>
              <w:t>Term. Subject to the provisions of termination as hereinafter provided, the initial term of the Executive’s employment under</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10880" w:type="dxa"/>
            <w:vAlign w:val="bottom"/>
            <w:gridSpan w:val="16"/>
          </w:tcPr>
          <w:p>
            <w:pPr>
              <w:ind w:left="340"/>
              <w:spacing w:after="0" w:line="203" w:lineRule="exact"/>
              <w:rPr>
                <w:sz w:val="20"/>
                <w:szCs w:val="20"/>
                <w:color w:val="auto"/>
              </w:rPr>
            </w:pPr>
            <w:r>
              <w:rPr>
                <w:rFonts w:ascii="Arial" w:cs="Arial" w:eastAsia="Arial" w:hAnsi="Arial"/>
                <w:sz w:val="19"/>
                <w:szCs w:val="19"/>
                <w:color w:val="auto"/>
                <w:w w:val="94"/>
              </w:rPr>
              <w:t>this Agreement shall begin on the Effective Date and shall terminate on December 31, 2020 (the “Initial Term”). Unless the Company</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9"/>
              </w:rPr>
              <w:t>notifies the Executive that the Executive’s employment under this Agreement will not be extended or the Executive notifies the</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5"/>
              </w:rPr>
              <w:t>Company that the Executive is not willing to extend the Executive’s employment, the term of the Executive’s employment under this</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5"/>
              </w:rPr>
              <w:t>Agreement shall automatically be extended for a single additional one (1) year period on the same terms and conditions as set forth</w:t>
            </w:r>
          </w:p>
        </w:tc>
      </w:tr>
      <w:tr>
        <w:trPr>
          <w:trHeight w:val="200"/>
        </w:trPr>
        <w:tc>
          <w:tcPr>
            <w:tcW w:w="460" w:type="dxa"/>
            <w:vAlign w:val="bottom"/>
          </w:tcPr>
          <w:p>
            <w:pPr>
              <w:spacing w:after="0"/>
              <w:rPr>
                <w:sz w:val="17"/>
                <w:szCs w:val="17"/>
                <w:color w:val="auto"/>
              </w:rPr>
            </w:pPr>
          </w:p>
        </w:tc>
        <w:tc>
          <w:tcPr>
            <w:tcW w:w="10880" w:type="dxa"/>
            <w:vAlign w:val="bottom"/>
            <w:gridSpan w:val="16"/>
          </w:tcPr>
          <w:p>
            <w:pPr>
              <w:ind w:left="340"/>
              <w:spacing w:after="0" w:line="200" w:lineRule="exact"/>
              <w:rPr>
                <w:sz w:val="20"/>
                <w:szCs w:val="20"/>
                <w:color w:val="auto"/>
              </w:rPr>
            </w:pPr>
            <w:r>
              <w:rPr>
                <w:rFonts w:ascii="Arial" w:cs="Arial" w:eastAsia="Arial" w:hAnsi="Arial"/>
                <w:sz w:val="19"/>
                <w:szCs w:val="19"/>
                <w:color w:val="auto"/>
                <w:w w:val="97"/>
              </w:rPr>
              <w:t>herein (the “Renewal Term”). The Initial Term and the Renewal Term (if any) are sometimes referred to collectively herein as the</w:t>
            </w:r>
          </w:p>
        </w:tc>
      </w:tr>
      <w:tr>
        <w:trPr>
          <w:trHeight w:val="203"/>
        </w:trPr>
        <w:tc>
          <w:tcPr>
            <w:tcW w:w="460" w:type="dxa"/>
            <w:vAlign w:val="bottom"/>
          </w:tcPr>
          <w:p>
            <w:pPr>
              <w:spacing w:after="0"/>
              <w:rPr>
                <w:sz w:val="17"/>
                <w:szCs w:val="17"/>
                <w:color w:val="auto"/>
              </w:rPr>
            </w:pPr>
          </w:p>
        </w:tc>
        <w:tc>
          <w:tcPr>
            <w:tcW w:w="1360" w:type="dxa"/>
            <w:vAlign w:val="bottom"/>
            <w:gridSpan w:val="4"/>
          </w:tcPr>
          <w:p>
            <w:pPr>
              <w:ind w:left="340"/>
              <w:spacing w:after="0" w:line="203" w:lineRule="exact"/>
              <w:rPr>
                <w:sz w:val="20"/>
                <w:szCs w:val="20"/>
                <w:color w:val="auto"/>
              </w:rPr>
            </w:pPr>
            <w:r>
              <w:rPr>
                <w:rFonts w:ascii="Arial" w:cs="Arial" w:eastAsia="Arial" w:hAnsi="Arial"/>
                <w:sz w:val="19"/>
                <w:szCs w:val="19"/>
                <w:color w:val="auto"/>
              </w:rPr>
              <w:t>“Term.”</w:t>
            </w:r>
          </w:p>
        </w:tc>
        <w:tc>
          <w:tcPr>
            <w:tcW w:w="78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12"/>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3.</w:t>
            </w: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gridSpan w:val="13"/>
          </w:tcPr>
          <w:p>
            <w:pPr>
              <w:spacing w:after="0"/>
              <w:rPr>
                <w:sz w:val="20"/>
                <w:szCs w:val="20"/>
                <w:color w:val="auto"/>
              </w:rPr>
            </w:pPr>
            <w:r>
              <w:rPr>
                <w:rFonts w:ascii="Arial" w:cs="Arial" w:eastAsia="Arial" w:hAnsi="Arial"/>
                <w:sz w:val="19"/>
                <w:szCs w:val="19"/>
                <w:color w:val="auto"/>
                <w:w w:val="97"/>
              </w:rPr>
              <w:t>Notice of Non-Renewal. The Company or the Executive may elect not to extend the Executive’s employment under this</w:t>
            </w:r>
          </w:p>
        </w:tc>
      </w:tr>
      <w:tr>
        <w:trPr>
          <w:trHeight w:val="20"/>
        </w:trPr>
        <w:tc>
          <w:tcPr>
            <w:tcW w:w="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4"/>
              </w:rPr>
              <w:t>Agreement by notifying the other party in writing not less than sixty (60) days prior to the expiration of the Initial Term or the Renewal</w:t>
            </w:r>
          </w:p>
        </w:tc>
      </w:tr>
      <w:tr>
        <w:trPr>
          <w:trHeight w:val="223"/>
        </w:trPr>
        <w:tc>
          <w:tcPr>
            <w:tcW w:w="460" w:type="dxa"/>
            <w:vAlign w:val="bottom"/>
          </w:tcPr>
          <w:p>
            <w:pPr>
              <w:spacing w:after="0"/>
              <w:rPr>
                <w:sz w:val="19"/>
                <w:szCs w:val="19"/>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w w:val="94"/>
              </w:rPr>
              <w:t>Term. For the purposes of this Agreement, the election by the Company not to extend the Executive’s employment hereunder for the</w:t>
            </w:r>
          </w:p>
        </w:tc>
      </w:tr>
      <w:tr>
        <w:trPr>
          <w:trHeight w:val="243"/>
        </w:trPr>
        <w:tc>
          <w:tcPr>
            <w:tcW w:w="460" w:type="dxa"/>
            <w:vAlign w:val="bottom"/>
          </w:tcPr>
          <w:p>
            <w:pPr>
              <w:spacing w:after="0"/>
              <w:rPr>
                <w:sz w:val="21"/>
                <w:szCs w:val="21"/>
                <w:color w:val="auto"/>
              </w:rPr>
            </w:pPr>
          </w:p>
        </w:tc>
        <w:tc>
          <w:tcPr>
            <w:tcW w:w="10880" w:type="dxa"/>
            <w:vAlign w:val="bottom"/>
            <w:gridSpan w:val="16"/>
          </w:tcPr>
          <w:p>
            <w:pPr>
              <w:ind w:left="340"/>
              <w:spacing w:after="0"/>
              <w:rPr>
                <w:sz w:val="20"/>
                <w:szCs w:val="20"/>
                <w:color w:val="auto"/>
              </w:rPr>
            </w:pPr>
            <w:r>
              <w:rPr>
                <w:rFonts w:ascii="Arial" w:cs="Arial" w:eastAsia="Arial" w:hAnsi="Arial"/>
                <w:sz w:val="19"/>
                <w:szCs w:val="19"/>
                <w:color w:val="auto"/>
              </w:rPr>
              <w:t>Renewal Term shall be deemed a termination of the Executive’s employment without “Cause,” as hereinafter defined.</w:t>
            </w:r>
          </w:p>
        </w:tc>
      </w:tr>
      <w:tr>
        <w:trPr>
          <w:trHeight w:val="389"/>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gridSpan w:val="13"/>
          </w:tcPr>
          <w:p>
            <w:pPr>
              <w:spacing w:after="0"/>
              <w:rPr>
                <w:sz w:val="20"/>
                <w:szCs w:val="20"/>
                <w:color w:val="auto"/>
              </w:rPr>
            </w:pPr>
            <w:r>
              <w:rPr>
                <w:rFonts w:ascii="Arial" w:cs="Arial" w:eastAsia="Arial" w:hAnsi="Arial"/>
                <w:sz w:val="19"/>
                <w:szCs w:val="19"/>
                <w:color w:val="auto"/>
              </w:rPr>
              <w:t>Compensation.</w:t>
            </w:r>
          </w:p>
        </w:tc>
      </w:tr>
      <w:tr>
        <w:trPr>
          <w:trHeight w:val="20"/>
        </w:trPr>
        <w:tc>
          <w:tcPr>
            <w:tcW w:w="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160" w:type="dxa"/>
            <w:vAlign w:val="bottom"/>
            <w:gridSpan w:val="3"/>
          </w:tcPr>
          <w:p>
            <w:pPr>
              <w:spacing w:after="0"/>
              <w:rPr>
                <w:sz w:val="24"/>
                <w:szCs w:val="24"/>
                <w:color w:val="auto"/>
              </w:rPr>
            </w:pPr>
          </w:p>
        </w:tc>
        <w:tc>
          <w:tcPr>
            <w:tcW w:w="400" w:type="dxa"/>
            <w:vAlign w:val="bottom"/>
            <w:gridSpan w:val="2"/>
          </w:tcPr>
          <w:p>
            <w:pPr>
              <w:ind w:left="60"/>
              <w:spacing w:after="0"/>
              <w:rPr>
                <w:sz w:val="20"/>
                <w:szCs w:val="20"/>
                <w:color w:val="auto"/>
              </w:rPr>
            </w:pPr>
            <w:r>
              <w:rPr>
                <w:rFonts w:ascii="Arial" w:cs="Arial" w:eastAsia="Arial" w:hAnsi="Arial"/>
                <w:sz w:val="19"/>
                <w:szCs w:val="19"/>
                <w:color w:val="auto"/>
              </w:rPr>
              <w:t>4.1</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00" w:type="dxa"/>
            <w:vAlign w:val="bottom"/>
            <w:gridSpan w:val="9"/>
          </w:tcPr>
          <w:p>
            <w:pPr>
              <w:spacing w:after="0"/>
              <w:rPr>
                <w:sz w:val="20"/>
                <w:szCs w:val="20"/>
                <w:color w:val="auto"/>
              </w:rPr>
            </w:pPr>
            <w:r>
              <w:rPr>
                <w:rFonts w:ascii="Arial" w:cs="Arial" w:eastAsia="Arial" w:hAnsi="Arial"/>
                <w:sz w:val="19"/>
                <w:szCs w:val="19"/>
                <w:color w:val="auto"/>
                <w:w w:val="99"/>
              </w:rPr>
              <w:t>Base Salary. During the Term, the Company shall pay the Executive an annual salary (“Base Salary”) of</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($_________) per annum, which shall be payable to the Executive hereunder in accordance with the Company’s normal payroll</w:t>
      </w:r>
    </w:p>
    <w:p>
      <w:pPr>
        <w:spacing w:after="0" w:line="3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practices, but in no event less often than bi-weekly. The Executive’s compensation will be reviewed annually by the Board of Directors of the REIT (the “</w:t>
      </w:r>
      <w:r>
        <w:rPr>
          <w:rFonts w:ascii="Arial" w:cs="Arial" w:eastAsia="Arial" w:hAnsi="Arial"/>
          <w:sz w:val="19"/>
          <w:szCs w:val="19"/>
          <w:u w:val="single" w:color="auto"/>
          <w:color w:val="auto"/>
        </w:rPr>
        <w:t>Board</w:t>
      </w:r>
      <w:r>
        <w:rPr>
          <w:rFonts w:ascii="Arial" w:cs="Arial" w:eastAsia="Arial" w:hAnsi="Arial"/>
          <w:sz w:val="19"/>
          <w:szCs w:val="19"/>
          <w:color w:val="auto"/>
        </w:rPr>
        <w:t>”), or the Compensation Committee of the Board, and after taking into consideration both the performance of the Company and the personal performance of the Executive, the Board,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362585</wp:posOffset>
            </wp:positionV>
            <wp:extent cx="729297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Compensation Committee of the Board, in its sole discretion, may increase the Executive’s compensation to any amount it may deem appropriate.</w:t>
      </w:r>
    </w:p>
    <w:p>
      <w:pPr>
        <w:spacing w:after="0" w:line="237" w:lineRule="exact"/>
        <w:rPr>
          <w:sz w:val="20"/>
          <w:szCs w:val="20"/>
          <w:color w:val="auto"/>
        </w:rPr>
      </w:pPr>
    </w:p>
    <w:p>
      <w:pPr>
        <w:jc w:val="both"/>
        <w:ind w:firstLine="1756"/>
        <w:spacing w:after="0" w:line="261" w:lineRule="auto"/>
        <w:rPr>
          <w:sz w:val="20"/>
          <w:szCs w:val="20"/>
          <w:color w:val="auto"/>
        </w:rPr>
      </w:pPr>
      <w:r>
        <w:rPr>
          <w:rFonts w:ascii="Arial" w:cs="Arial" w:eastAsia="Arial" w:hAnsi="Arial"/>
          <w:sz w:val="18"/>
          <w:szCs w:val="18"/>
          <w:color w:val="auto"/>
        </w:rPr>
        <w:t xml:space="preserve">4.2 Discretionary </w:t>
      </w:r>
      <w:r>
        <w:rPr>
          <w:rFonts w:ascii="Arial" w:cs="Arial" w:eastAsia="Arial" w:hAnsi="Arial"/>
          <w:sz w:val="18"/>
          <w:szCs w:val="18"/>
          <w:u w:val="single" w:color="auto"/>
          <w:color w:val="auto"/>
        </w:rPr>
        <w:t>Bonus</w:t>
      </w:r>
      <w:r>
        <w:rPr>
          <w:rFonts w:ascii="Arial" w:cs="Arial" w:eastAsia="Arial" w:hAnsi="Arial"/>
          <w:sz w:val="18"/>
          <w:szCs w:val="18"/>
          <w:color w:val="auto"/>
        </w:rPr>
        <w:t>. In addition to the Base Salary, the Executive shall be eligible to earn, for each fiscal year of the Company ending during the Employment Period, an annual cash discretionary performance bonus (an “</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under the Company’s discretionary bonus plan or program applicable to senior executive officers. The actual amount of the Annual Bonus shall be determined on the basis of the attainment of financial performance metrics and/or individual performance objectives, in each case as established and approved by the Board or the Compensation Committee of the Board in its sole discretion. This Annual Bonus, if any, shall be pro-rated for any partial year of employment and paid to the Executive between January 1 and March 15 of the year following the year in which the services which gave rise to the Annual Bonus were performed;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Company is unable to determine the amount of such Annual Bonus prior to such date, then such Annual Bonus shall be paid no later than December 31 of such year. The Board or the Compensation Committee of the Board, may, in its sole discretion, review, revise and amend the terms of the cash compensation incentive or similar plan(s) referenced above, if any, at any time in any manner it may deem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amendment to the plan(s) shall not, without the Executive’s consent, affect the Executive’s right to participate in such amended plan or plans or change the time or form of payment provided thereunder, except to the extent necessary to comply with applicable law.</w:t>
      </w:r>
    </w:p>
    <w:p>
      <w:pPr>
        <w:spacing w:after="0" w:line="180" w:lineRule="exact"/>
        <w:rPr>
          <w:sz w:val="20"/>
          <w:szCs w:val="20"/>
          <w:color w:val="auto"/>
        </w:rPr>
      </w:pPr>
    </w:p>
    <w:p>
      <w:pPr>
        <w:jc w:val="both"/>
        <w:ind w:firstLine="1756"/>
        <w:spacing w:after="0" w:line="28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the Executive shall be eligible to participate in all other compensation or employee benefit plans or programs maintained from time to time by the Company for the benefit of its salaried employees or senior executives. The Executive will be eligible to participate to the extent permissible under the terms and provisions of such plans or programs in accordance with their respective provisions. These plans and programs may include group hospitalization, health, dental care, life or other insurance, tax qualified pension, savings, thrift and profit sharing plans, termination pay programs, sick leave plans, travel or accident insurance, disability insurance, and contingent compensation plans including unit purchase programs and unit option plans. Nothing in this Agreement shall require the Company to establish, maintain or continue any employee benefit plans or programs and nothing shall preclude the Company from amending or terminating such programs.. In addition, during the Term, the Company shall pay, or reimburse Executive for, all membership fees and related costs in connection with Executive’s membership in professional and civic organizations which are approved in advance by the Company.</w:t>
      </w:r>
    </w:p>
    <w:p>
      <w:pPr>
        <w:spacing w:after="0" w:line="161" w:lineRule="exact"/>
        <w:rPr>
          <w:sz w:val="20"/>
          <w:szCs w:val="20"/>
          <w:color w:val="auto"/>
        </w:rPr>
      </w:pPr>
    </w:p>
    <w:p>
      <w:pPr>
        <w:jc w:val="both"/>
        <w:ind w:firstLine="1756"/>
        <w:spacing w:after="0" w:line="258"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Expenses Incurred in Performance of Duties</w:t>
      </w:r>
      <w:r>
        <w:rPr>
          <w:rFonts w:ascii="Arial" w:cs="Arial" w:eastAsia="Arial" w:hAnsi="Arial"/>
          <w:sz w:val="19"/>
          <w:szCs w:val="19"/>
          <w:color w:val="auto"/>
        </w:rPr>
        <w:t>. The Company shall promptly reimburse the Executive for all reasonable travel and other business expenses incurred by the Executive in the performance of the Executive’s duties under this Agreement upon evidence of receipt and in accordance with Company policies.</w:t>
      </w:r>
    </w:p>
    <w:p>
      <w:pPr>
        <w:spacing w:after="0" w:line="173" w:lineRule="exact"/>
        <w:rPr>
          <w:sz w:val="20"/>
          <w:szCs w:val="20"/>
          <w:color w:val="auto"/>
        </w:rPr>
      </w:pPr>
    </w:p>
    <w:p>
      <w:pPr>
        <w:jc w:val="both"/>
        <w:ind w:firstLine="1756"/>
        <w:spacing w:after="0" w:line="271"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Vacation</w:t>
      </w:r>
      <w:r>
        <w:rPr>
          <w:rFonts w:ascii="Arial" w:cs="Arial" w:eastAsia="Arial" w:hAnsi="Arial"/>
          <w:sz w:val="19"/>
          <w:szCs w:val="19"/>
          <w:color w:val="auto"/>
        </w:rPr>
        <w:t>. The Executive will not accrue paid vacation, but will enjoy time off from work consistent with company practice applicable to other senior executive officers.</w:t>
      </w:r>
    </w:p>
    <w:p>
      <w:pPr>
        <w:spacing w:after="0" w:line="161" w:lineRule="exact"/>
        <w:rPr>
          <w:sz w:val="20"/>
          <w:szCs w:val="20"/>
          <w:color w:val="auto"/>
        </w:rPr>
      </w:pPr>
    </w:p>
    <w:p>
      <w:pPr>
        <w:jc w:val="both"/>
        <w:ind w:firstLine="1756"/>
        <w:spacing w:after="0" w:line="271"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Withholdings</w:t>
      </w:r>
      <w:r>
        <w:rPr>
          <w:rFonts w:ascii="Arial" w:cs="Arial" w:eastAsia="Arial" w:hAnsi="Arial"/>
          <w:sz w:val="19"/>
          <w:szCs w:val="19"/>
          <w:color w:val="auto"/>
        </w:rPr>
        <w:t>. All compensation payable hereunder shall be subject to withholding for federal income taxes, FICA and all other applicable federal, state and local withholding requirements.</w:t>
      </w:r>
    </w:p>
    <w:p>
      <w:pPr>
        <w:spacing w:after="0" w:line="161" w:lineRule="exact"/>
        <w:rPr>
          <w:sz w:val="20"/>
          <w:szCs w:val="20"/>
          <w:color w:val="auto"/>
        </w:rPr>
      </w:pPr>
    </w:p>
    <w:p>
      <w:pPr>
        <w:ind w:left="1760" w:hanging="878"/>
        <w:spacing w:after="0"/>
        <w:tabs>
          <w:tab w:leader="none" w:pos="176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14" w:lineRule="exact"/>
        <w:rPr>
          <w:sz w:val="20"/>
          <w:szCs w:val="20"/>
          <w:color w:val="auto"/>
        </w:rPr>
      </w:pPr>
    </w:p>
    <w:p>
      <w:pPr>
        <w:jc w:val="both"/>
        <w:ind w:firstLine="1756"/>
        <w:spacing w:after="0" w:line="27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During the Term of this Agreement, the Company may, at any time and in its sole discretion, terminate this Agreement with or without Cause (as hereinafter defined) or in connection with a Change in Control (as hereinafter defined), effective as of the date of provision of written notice to the Executive thereof. The Executive shall be entitled to resign the Executive’s employment 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the Company at any time during the Term of this Agreement with Good Reason (as defined below) or without Good Reason.</w:t>
      </w:r>
    </w:p>
    <w:p>
      <w:pPr>
        <w:spacing w:after="0" w:line="214" w:lineRule="exact"/>
        <w:rPr>
          <w:sz w:val="20"/>
          <w:szCs w:val="20"/>
          <w:color w:val="auto"/>
        </w:rPr>
      </w:pPr>
    </w:p>
    <w:p>
      <w:pPr>
        <w:jc w:val="both"/>
        <w:ind w:firstLine="1756"/>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Definition of Cause</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shall mean: (i) the death of the Executive; (ii) the permanent disability of the Executive, which shall be defined as the inability of the Executive, as a result of physical or mental illness or incapacity, to substantially perform the Executive’s duties pursuant to this Agreement for a period of one hundred eighty (180) days during any twelve</w:t>
      </w:r>
    </w:p>
    <w:p>
      <w:pPr>
        <w:spacing w:after="0" w:line="2" w:lineRule="exact"/>
        <w:rPr>
          <w:sz w:val="20"/>
          <w:szCs w:val="20"/>
          <w:color w:val="auto"/>
        </w:rPr>
      </w:pPr>
    </w:p>
    <w:p>
      <w:pPr>
        <w:jc w:val="both"/>
        <w:ind w:firstLine="5"/>
        <w:spacing w:after="0" w:line="260" w:lineRule="auto"/>
        <w:tabs>
          <w:tab w:leader="none" w:pos="3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month period; (iii) the Executive’s conviction of a felony or of a crime involving dishonesty or moral turpitude, including, without limitation, any act or crime involving misappropriation or embezzlement of Company assets or funds; (iv) willful or material wrongdoing by the Executive, including, but not limited to, acts of dishonesty or fraud, which could be expected to have a materially adverse effect, monetarily or otherwise, on the Company or its subsidiaries or affiliates, as determined by the Company and the Board; (v) material breach by the Executive of this Agreement or of the Executive’s fiduciary duty to the Company or its stockholders; (vi) material violation of the Company's Code of Conduct; or (vii) the Executive’s intentional violation of any applicable local, state or federal law or regulation affecting the Company in any material respect, as determined by the Company and the Board. Notwithstanding the foregoing, to the extent that any of the events, actions or breaches set forth above are able to be remedied or cured by the Executive, Cause shall not be deemed to exist (and thus the Company may not terminate the Executive for Cause hereunder) unless the Executive fails to remedy or cure such event, action or breach within twenty (20) days after being given written notice by the Company of such event, action or breach.</w:t>
      </w:r>
    </w:p>
    <w:p>
      <w:pPr>
        <w:spacing w:after="0" w:line="177"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Definition of Good Reason</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(i) a material reduction in the duties, powers or authority of the Executive as an officer or employee of the Company or (ii) the relocation of the Company’s headquarters to a location more than thirty (30) miles outside of the Nashville, Tennessee metropolitan area, in either case, without the Executive’s consent. A termination shall be due to Good Reason only if (A) the Executive notifies the Company of the existence of the condition that otherwise constitutes Good Reason within thirty (30) days of the initial existence of the condition, (B) the Company fails to remedy the condition within thirty (30) days following it’s receipt of Executive’s notice of the condition constituting Good Reason (the “</w:t>
      </w:r>
      <w:r>
        <w:rPr>
          <w:rFonts w:ascii="Arial" w:cs="Arial" w:eastAsia="Arial" w:hAnsi="Arial"/>
          <w:sz w:val="18"/>
          <w:szCs w:val="18"/>
          <w:u w:val="single" w:color="auto"/>
          <w:color w:val="auto"/>
        </w:rPr>
        <w:t>Cure Period</w:t>
      </w:r>
      <w:r>
        <w:rPr>
          <w:rFonts w:ascii="Arial" w:cs="Arial" w:eastAsia="Arial" w:hAnsi="Arial"/>
          <w:sz w:val="18"/>
          <w:szCs w:val="18"/>
          <w:color w:val="auto"/>
        </w:rPr>
        <w:t>”) and (C) if the Company fails to remedy the condition constituting Good Reason during the Cure Period, the Executive terminates employment with the Company due to the condition within thirty (30) days of the expiration of the Cure Period.</w:t>
      </w:r>
    </w:p>
    <w:p>
      <w:pPr>
        <w:spacing w:after="0" w:line="169" w:lineRule="exact"/>
        <w:rPr>
          <w:sz w:val="20"/>
          <w:szCs w:val="20"/>
          <w:color w:val="auto"/>
        </w:rPr>
      </w:pPr>
    </w:p>
    <w:p>
      <w:pPr>
        <w:jc w:val="both"/>
        <w:ind w:firstLine="1756"/>
        <w:spacing w:after="0" w:line="26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Termination Without Cause or for Good Reason</w:t>
      </w:r>
      <w:r>
        <w:rPr>
          <w:rFonts w:ascii="Arial" w:cs="Arial" w:eastAsia="Arial" w:hAnsi="Arial"/>
          <w:sz w:val="18"/>
          <w:szCs w:val="18"/>
          <w:color w:val="auto"/>
        </w:rPr>
        <w:t>. If the Executive’s employment with the Company is terminated without Cause or for Good Reason (and is not a Change in Control Termination, as defined below), in either case, subject to Section 5.7 and the Executive’s continued compliance with Section 6. hereof, the Company shall pay to the Executive an amount in cash equal to the Executive’s Base Salary, based upon the annual rate payable as of the date of termination, without any cost of living adjustments (the “</w:t>
      </w:r>
      <w:r>
        <w:rPr>
          <w:rFonts w:ascii="Arial" w:cs="Arial" w:eastAsia="Arial" w:hAnsi="Arial"/>
          <w:sz w:val="18"/>
          <w:szCs w:val="18"/>
          <w:u w:val="single" w:color="auto"/>
          <w:color w:val="auto"/>
        </w:rPr>
        <w:t>Severance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which shall be paid by the Company to Executive in regular installments in accordance with the Company’s normal payroll policies then in effect, for a period of one (1) year following the Executive’s termination of employment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which payments will commence with the first payroll period occurring after the expiration of the Severance Delay Period (the “</w:t>
      </w:r>
      <w:r>
        <w:rPr>
          <w:rFonts w:ascii="Arial" w:cs="Arial" w:eastAsia="Arial" w:hAnsi="Arial"/>
          <w:sz w:val="18"/>
          <w:szCs w:val="18"/>
          <w:u w:val="single" w:color="auto"/>
          <w:color w:val="auto"/>
        </w:rPr>
        <w:t>Initial Payment</w:t>
      </w:r>
      <w:r>
        <w:rPr>
          <w:rFonts w:ascii="Arial" w:cs="Arial" w:eastAsia="Arial" w:hAnsi="Arial"/>
          <w:sz w:val="18"/>
          <w:szCs w:val="18"/>
          <w:color w:val="auto"/>
        </w:rPr>
        <w:t>”) and shall continue for the remainder of the Severance Period. The Initial Payment shall include payment for any payroll periods which occur during the Severance Delay Period. For purposes of this Agreement, the “</w:t>
      </w:r>
      <w:r>
        <w:rPr>
          <w:rFonts w:ascii="Arial" w:cs="Arial" w:eastAsia="Arial" w:hAnsi="Arial"/>
          <w:sz w:val="18"/>
          <w:szCs w:val="18"/>
          <w:u w:val="single" w:color="auto"/>
          <w:color w:val="auto"/>
        </w:rPr>
        <w:t>Severance Delay Period</w:t>
      </w:r>
      <w:r>
        <w:rPr>
          <w:rFonts w:ascii="Arial" w:cs="Arial" w:eastAsia="Arial" w:hAnsi="Arial"/>
          <w:sz w:val="18"/>
          <w:szCs w:val="18"/>
          <w:color w:val="auto"/>
        </w:rPr>
        <w:t>” shall mean the period beginning on the date of the Executive’s termination of employment and ending on the thirtieth (30</w:t>
      </w:r>
      <w:r>
        <w:rPr>
          <w:rFonts w:ascii="Arial" w:cs="Arial" w:eastAsia="Arial" w:hAnsi="Arial"/>
          <w:sz w:val="15"/>
          <w:szCs w:val="15"/>
          <w:color w:val="auto"/>
        </w:rPr>
        <w:t>th</w:t>
      </w:r>
      <w:r>
        <w:rPr>
          <w:rFonts w:ascii="Arial" w:cs="Arial" w:eastAsia="Arial" w:hAnsi="Arial"/>
          <w:sz w:val="18"/>
          <w:szCs w:val="18"/>
          <w:color w:val="auto"/>
        </w:rPr>
        <w:t>) day thereafter.</w:t>
      </w:r>
    </w:p>
    <w:p>
      <w:pPr>
        <w:spacing w:after="0" w:line="176" w:lineRule="exact"/>
        <w:rPr>
          <w:sz w:val="20"/>
          <w:szCs w:val="20"/>
          <w:color w:val="auto"/>
        </w:rPr>
      </w:pPr>
    </w:p>
    <w:p>
      <w:pPr>
        <w:jc w:val="both"/>
        <w:ind w:firstLine="1756"/>
        <w:spacing w:after="0" w:line="27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Effect of a Change in Control Termination</w:t>
      </w:r>
      <w:r>
        <w:rPr>
          <w:rFonts w:ascii="Arial" w:cs="Arial" w:eastAsia="Arial" w:hAnsi="Arial"/>
          <w:sz w:val="18"/>
          <w:szCs w:val="18"/>
          <w:color w:val="auto"/>
        </w:rPr>
        <w:t>. If the Executive’s employment with the Company is terminated due to a Change in Control Termination, subject to Section 5.7 and the Executive’s continued compliance with Section 6.1 and Section 6.2 hereof, the Company shall (i) pay to the Executive a lump-sum cash payment equal to 2.99 times the Executive’s Base Salary, based upon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62" w:name="page163"/>
    <w:bookmarkEnd w:id="162"/>
    <w:p>
      <w:pPr>
        <w:jc w:val="both"/>
        <w:spacing w:after="0" w:line="276" w:lineRule="auto"/>
        <w:rPr>
          <w:sz w:val="20"/>
          <w:szCs w:val="20"/>
          <w:color w:val="auto"/>
        </w:rPr>
      </w:pPr>
      <w:r>
        <w:rPr>
          <w:rFonts w:ascii="Arial" w:cs="Arial" w:eastAsia="Arial" w:hAnsi="Arial"/>
          <w:sz w:val="17"/>
          <w:szCs w:val="17"/>
          <w:color w:val="auto"/>
        </w:rPr>
        <w:t>annual rate payable as of the date of termination, without any cost of living adjustments, which payment shall be made within ten (10) days following the expiration of the Severance Delay Period and (ii) continue to provide hospitalization, health, dental care, and life and other insurance benefits to the Executive for a period beginning on the date of the Executive’s termination and ending on the one (1) year anniversary of such termination or, if earlier, the date on which the Executive becomes eligible to receive comparable benefits from any other employer or the date on which such coverage terminates under Section 4980B of the Code (as defined below) (in any case, the “</w:t>
      </w:r>
      <w:r>
        <w:rPr>
          <w:rFonts w:ascii="Arial" w:cs="Arial" w:eastAsia="Arial" w:hAnsi="Arial"/>
          <w:sz w:val="17"/>
          <w:szCs w:val="17"/>
          <w:u w:val="single" w:color="auto"/>
          <w:color w:val="auto"/>
        </w:rPr>
        <w:t>Change in Control Severance Period</w:t>
      </w:r>
      <w:r>
        <w:rPr>
          <w:rFonts w:ascii="Arial" w:cs="Arial" w:eastAsia="Arial" w:hAnsi="Arial"/>
          <w:sz w:val="17"/>
          <w:szCs w:val="17"/>
          <w:color w:val="auto"/>
        </w:rPr>
        <w:t xml:space="preserve">”) on the same terms and conditions existing immediately prior to termination, with the costs of such benefits (including the Company’s portion of any premiums) paid by the Company on the Executive’s behalf included in the Executive’s gross income to the extent required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that the Executive shall continue to pay the same amount towards the cost of such benefits as paid immediately prior to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termination and shall comply with all applicable election and eligibility requirements;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any plan pursuant to which such benefits are provided is not, or ceases to be, exempt from the application of Section 409A of the Code or the Company cannot provide the benefits without violating applicable law, then the Company shall instead pay to the Executive a lump-sum amount equal to the remaining costs of such benefits that would be paid by the Company through the Change in Control Severance Period (or remaining portion thereof). For purposes of this Agreement, (x) a “</w:t>
      </w:r>
      <w:r>
        <w:rPr>
          <w:rFonts w:ascii="Arial" w:cs="Arial" w:eastAsia="Arial" w:hAnsi="Arial"/>
          <w:sz w:val="17"/>
          <w:szCs w:val="17"/>
          <w:u w:val="single" w:color="auto"/>
          <w:color w:val="auto"/>
        </w:rPr>
        <w:t>Change in Control Termination</w:t>
      </w:r>
      <w:r>
        <w:rPr>
          <w:rFonts w:ascii="Arial" w:cs="Arial" w:eastAsia="Arial" w:hAnsi="Arial"/>
          <w:sz w:val="17"/>
          <w:szCs w:val="17"/>
          <w:color w:val="auto"/>
        </w:rPr>
        <w:t>” shall mean: (i) the Executive’s employment with the Company is terminated without Cause within one-hundred eighty (180) days following a Change in Control, or (ii) the Executive resigns the Executive’s employment with the Company for Good Reason within one-hundred eighty (180) days following a Change in Control; and (y)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 “change in the ownership of the Company,” a “change in the effective control of the Company,” or a “change in the ownership of a substantial portion of the assets of the Company” as such terms are defined in Section 1.409A-3(i)(5) of the Treasury Regulations.</w:t>
      </w:r>
    </w:p>
    <w:p>
      <w:pPr>
        <w:spacing w:after="0" w:line="172"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Other Terminations</w:t>
      </w:r>
      <w:r>
        <w:rPr>
          <w:rFonts w:ascii="Arial" w:cs="Arial" w:eastAsia="Arial" w:hAnsi="Arial"/>
          <w:sz w:val="19"/>
          <w:szCs w:val="19"/>
          <w:color w:val="auto"/>
        </w:rPr>
        <w:t>. If the Executive’s employment terminates for any reason not described in Sections 5.4 or 5.5 above (including, without limitation, due to the Executive resigning the Executive’s employment with the Company without Good Reason, due to a termination of the Executive’s employment by the Company for Cause): (i) the Company shall pay the Executive the Executive’s Base Salary earned through the date of termination of the Executive’s employment with the Company as the result of the Executive’s resignation, which payment shall be made upon the regular payroll period occurring immediately following the Executive’s termination of employment; and (ii) the Company shall not have any further obligations to the Executive under this Agreement except those required to be provided by law or under the terms of any other agreement between the Company and the Executive.</w:t>
      </w:r>
    </w:p>
    <w:p>
      <w:pPr>
        <w:spacing w:after="0" w:line="181" w:lineRule="exact"/>
        <w:rPr>
          <w:sz w:val="20"/>
          <w:szCs w:val="20"/>
          <w:color w:val="auto"/>
        </w:rPr>
      </w:pPr>
    </w:p>
    <w:p>
      <w:pPr>
        <w:jc w:val="both"/>
        <w:ind w:firstLine="1756"/>
        <w:spacing w:after="0" w:line="27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Conditions</w:t>
      </w:r>
      <w:r>
        <w:rPr>
          <w:rFonts w:ascii="Arial" w:cs="Arial" w:eastAsia="Arial" w:hAnsi="Arial"/>
          <w:sz w:val="17"/>
          <w:szCs w:val="17"/>
          <w:color w:val="auto"/>
        </w:rPr>
        <w:t xml:space="preserve">. Any payments or benefits made or provided pursuant to Sections 5.4 and 5.5 of this Agreement shall be available if and only if (i) the Executive has executed and delivered to the Company a general release substantially in a form and substance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general release has become effective, the Executive has not revoked the general release and all applicable revocation periods with respect to the General Release have expired, in all instances, prior to the expiration of the Severance Delay Period and</w:t>
      </w:r>
    </w:p>
    <w:p>
      <w:pPr>
        <w:spacing w:after="0" w:line="1" w:lineRule="exact"/>
        <w:rPr>
          <w:sz w:val="20"/>
          <w:szCs w:val="20"/>
          <w:color w:val="auto"/>
        </w:rPr>
      </w:pPr>
    </w:p>
    <w:p>
      <w:pPr>
        <w:jc w:val="both"/>
        <w:ind w:firstLine="5"/>
        <w:spacing w:after="0" w:line="292" w:lineRule="auto"/>
        <w:tabs>
          <w:tab w:leader="none" w:pos="30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Executive has not breached the provisions of the general release or breached the provisions of Sections 6hereof. In no event shall cash severance payments received pursuant to Section 5.4 or 5.5 hereof be reduced as a result of the receipt by the Executive of compensation or benefits from a subsequent employer during the period during which severance payments are being made under Section 5.4 or 5.5 above, as applicable.</w:t>
      </w:r>
    </w:p>
    <w:p>
      <w:pPr>
        <w:spacing w:after="0" w:line="148"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Section 409A and Other Tax Provisions</w:t>
      </w:r>
      <w:r>
        <w:rPr>
          <w:rFonts w:ascii="Arial" w:cs="Arial" w:eastAsia="Arial" w:hAnsi="Arial"/>
          <w:sz w:val="17"/>
          <w:szCs w:val="17"/>
          <w:color w:val="auto"/>
        </w:rPr>
        <w:t>.</w:t>
      </w:r>
    </w:p>
    <w:p>
      <w:pPr>
        <w:spacing w:after="0" w:line="214" w:lineRule="exact"/>
        <w:rPr>
          <w:sz w:val="20"/>
          <w:szCs w:val="20"/>
          <w:color w:val="auto"/>
        </w:rPr>
      </w:pPr>
    </w:p>
    <w:p>
      <w:pPr>
        <w:jc w:val="both"/>
        <w:ind w:firstLine="1761"/>
        <w:spacing w:after="0" w:line="279" w:lineRule="auto"/>
        <w:tabs>
          <w:tab w:leader="none" w:pos="26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intended that (1) each installment of the payments provided under this Agreement is a separate “payment” for purposes of Section 409A of the United States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and (2) the payments satisfy, to the greatest extent possible, the exemptions from the application of Section 409A of the Code, including those provided under Treasury Regulations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63" w:name="page164"/>
    <w:bookmarkEnd w:id="163"/>
    <w:p>
      <w:pPr>
        <w:jc w:val="both"/>
        <w:spacing w:after="0" w:line="261" w:lineRule="auto"/>
        <w:rPr>
          <w:sz w:val="20"/>
          <w:szCs w:val="20"/>
          <w:color w:val="auto"/>
        </w:rPr>
      </w:pPr>
      <w:r>
        <w:rPr>
          <w:rFonts w:ascii="Arial" w:cs="Arial" w:eastAsia="Arial" w:hAnsi="Arial"/>
          <w:sz w:val="18"/>
          <w:szCs w:val="18"/>
          <w:color w:val="auto"/>
        </w:rPr>
        <w:t>1.409A-1(b)(4), 1.409A-1(b)(9)(iii), and 1.409A-1(b)(9)(v). Notwithstanding anything to the contrary in this Agreement, if the Company determines in accordance with its “specified employee” procedures (i) that on the date Executive’s employment with the Company terminates or at such other time that the Company determines to be relevant, the Executive is a “specified employee” (as such term is defined under Treasury Regulation 1.409A-1(i)(1)) of the Company and (ii) that any payments to be provided to the Executive pursuant to this Agreement are or may become subject to the additional tax under Section 409A(a)(1)(B) of the Code or any other taxes or penalties imposed under Section 409A of the Code (“</w:t>
      </w:r>
      <w:r>
        <w:rPr>
          <w:rFonts w:ascii="Arial" w:cs="Arial" w:eastAsia="Arial" w:hAnsi="Arial"/>
          <w:sz w:val="18"/>
          <w:szCs w:val="18"/>
          <w:u w:val="single" w:color="auto"/>
          <w:color w:val="auto"/>
        </w:rPr>
        <w:t>Section 409A Taxes</w:t>
      </w:r>
      <w:r>
        <w:rPr>
          <w:rFonts w:ascii="Arial" w:cs="Arial" w:eastAsia="Arial" w:hAnsi="Arial"/>
          <w:sz w:val="18"/>
          <w:szCs w:val="18"/>
          <w:color w:val="auto"/>
        </w:rPr>
        <w:t>”) if provided at the time otherwise required under this Agreement then (A) such payments shall be delayed until the date that is six months after the date of Executive’s “separation from service” (as such term is defined under Treasury Regulation 1.409A-1(h)) with the Company, or, if earlier, the Executive’s death (the “</w:t>
      </w:r>
      <w:r>
        <w:rPr>
          <w:rFonts w:ascii="Arial" w:cs="Arial" w:eastAsia="Arial" w:hAnsi="Arial"/>
          <w:sz w:val="18"/>
          <w:szCs w:val="18"/>
          <w:u w:val="single" w:color="auto"/>
          <w:color w:val="auto"/>
        </w:rPr>
        <w:t>Payment Delay Period</w:t>
      </w:r>
      <w:r>
        <w:rPr>
          <w:rFonts w:ascii="Arial" w:cs="Arial" w:eastAsia="Arial" w:hAnsi="Arial"/>
          <w:sz w:val="18"/>
          <w:szCs w:val="18"/>
          <w:color w:val="auto"/>
        </w:rPr>
        <w:t>”) and (B) such payments shall be increased by an amount equal to interest on such payments for the Payment Delay Period at a rate equal to the prime rate in effect as of the date the payment was first due (for this purpose, the prime rate will be based on the rate published from time to time in The Wall Street Journal). Any payments delayed pursuant to this Section 5.8(i) shall be made in a lump sum on the first day of the seventh month following the Executive’s “separation from service” (as such term is defined under Treasury Regulation 1.409A-1(h)), or, if earlier, the Executive’s death. It is intended that this Agreement shall comply with or be exempt from the provisions of Section 409A of the Code and the Treasury Regulations relating thereto so as not to subject Executive to the payment of additional taxes and interest under Section 409A of the Code. In furtherance of this intent, this Agreement shall be interpreted, operated, and administered in a manner consistent with these intentions.</w:t>
      </w:r>
    </w:p>
    <w:p>
      <w:pPr>
        <w:spacing w:after="0" w:line="172" w:lineRule="exact"/>
        <w:rPr>
          <w:sz w:val="20"/>
          <w:szCs w:val="20"/>
          <w:color w:val="auto"/>
        </w:rPr>
      </w:pPr>
    </w:p>
    <w:p>
      <w:pPr>
        <w:jc w:val="both"/>
        <w:ind w:firstLine="1761"/>
        <w:spacing w:after="0" w:line="249" w:lineRule="auto"/>
        <w:tabs>
          <w:tab w:leader="none" w:pos="2619"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“termination of the Executive’s employment,” “date of termination” or like terms shall mean the Executive’s “separation from service.”</w:t>
      </w:r>
    </w:p>
    <w:p>
      <w:pPr>
        <w:spacing w:after="0" w:line="194" w:lineRule="exact"/>
        <w:rPr>
          <w:rFonts w:ascii="Arial" w:cs="Arial" w:eastAsia="Arial" w:hAnsi="Arial"/>
          <w:sz w:val="19"/>
          <w:szCs w:val="19"/>
          <w:color w:val="auto"/>
        </w:rPr>
      </w:pPr>
    </w:p>
    <w:p>
      <w:pPr>
        <w:jc w:val="both"/>
        <w:ind w:firstLine="1761"/>
        <w:spacing w:after="0" w:line="258" w:lineRule="auto"/>
        <w:tabs>
          <w:tab w:leader="none" w:pos="27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172" w:lineRule="exact"/>
        <w:rPr>
          <w:rFonts w:ascii="Arial" w:cs="Arial" w:eastAsia="Arial" w:hAnsi="Arial"/>
          <w:sz w:val="19"/>
          <w:szCs w:val="19"/>
          <w:color w:val="auto"/>
        </w:rPr>
      </w:pPr>
    </w:p>
    <w:p>
      <w:pPr>
        <w:ind w:firstLine="1761"/>
        <w:spacing w:after="0" w:line="299" w:lineRule="auto"/>
        <w:tabs>
          <w:tab w:leader="none" w:pos="27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Executive’s termination of employment or other event, shall be made on a date during such period as determined by the Company in its sole discretion.</w:t>
      </w:r>
    </w:p>
    <w:p>
      <w:pPr>
        <w:spacing w:after="0" w:line="138" w:lineRule="exact"/>
        <w:rPr>
          <w:rFonts w:ascii="Arial" w:cs="Arial" w:eastAsia="Arial" w:hAnsi="Arial"/>
          <w:sz w:val="18"/>
          <w:szCs w:val="18"/>
          <w:color w:val="auto"/>
        </w:rPr>
      </w:pPr>
    </w:p>
    <w:p>
      <w:pPr>
        <w:jc w:val="both"/>
        <w:ind w:firstLine="1761"/>
        <w:spacing w:after="0" w:line="278" w:lineRule="auto"/>
        <w:tabs>
          <w:tab w:leader="none" w:pos="2669" w:val="left"/>
        </w:tabs>
        <w:numPr>
          <w:ilvl w:val="1"/>
          <w:numId w:val="72"/>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Executive participates during the term of Executive’s employment under this Agreement or thereafter (including reimbursements under Section 4.3 and Section 4.4 hereunder) provides for a “deferral of compensation” within the meaning of Section 409A of the Code, such amounts shall be reimbursed strictly in accordance with Section 409A of the Code and Treasury Regulation 1.409A-3(i)(1)(iv), including the following requirements:</w:t>
      </w:r>
    </w:p>
    <w:p>
      <w:pPr>
        <w:jc w:val="both"/>
        <w:ind w:firstLine="5"/>
        <w:spacing w:after="0" w:line="286" w:lineRule="auto"/>
        <w:tabs>
          <w:tab w:leader="none" w:pos="24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64" w:name="page165"/>
    <w:bookmarkEnd w:id="164"/>
    <w:p>
      <w:pPr>
        <w:spacing w:after="0" w:line="271" w:lineRule="auto"/>
        <w:rPr>
          <w:sz w:val="20"/>
          <w:szCs w:val="20"/>
          <w:color w:val="auto"/>
        </w:rPr>
      </w:pPr>
      <w:r>
        <w:rPr>
          <w:rFonts w:ascii="Arial" w:cs="Arial" w:eastAsia="Arial" w:hAnsi="Arial"/>
          <w:sz w:val="19"/>
          <w:szCs w:val="19"/>
          <w:color w:val="auto"/>
        </w:rPr>
        <w:t>following the calendar year in which the expense was incurred; and (iii) any such reimbursement or payment may not be subject to liquidation or exchange for another benefit.</w:t>
      </w:r>
    </w:p>
    <w:p>
      <w:pPr>
        <w:spacing w:after="0" w:line="161" w:lineRule="exact"/>
        <w:rPr>
          <w:sz w:val="20"/>
          <w:szCs w:val="20"/>
          <w:color w:val="auto"/>
        </w:rPr>
      </w:pPr>
    </w:p>
    <w:p>
      <w:pPr>
        <w:jc w:val="both"/>
        <w:ind w:firstLine="1761"/>
        <w:spacing w:after="0" w:line="279" w:lineRule="auto"/>
        <w:tabs>
          <w:tab w:leader="none" w:pos="2710"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By accepting this Agreement, Executive hereby agrees and acknowledges that the Company does not make any representations with respect to the application of Section 409A of the Code to any tax, economic or legal consequences of any payments payable to Executive hereunder. Further, by the acceptance of this Agreement, Executive acknowledges that (A) Executive has obtained independent tax advice regarding the application of Section 409A of the Code to the payments due to Executive hereunder, (B) Executive retains full responsibility for the potential application of Section 409A of the Code to the tax and legal consequences of payments payable to Executive hereunder and (C) the Company shall not indemnify or otherwise compensate Executive for any violation of Section 409A of the Code that may occur in connection with this Agreement. The parties agree to cooperate in good faith to amend such documents and to take such actions as may be necessary or appropriate to (i) exempt the compensation and benefits payable under this Agreement from Section 409A of the Code and/or preserve the intended tax treatment of such compensation and benefits, or (ii) comply with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Section 5.8 shall not create any obligation on the part of the Company to adopt any such amendment or take any such other action.</w:t>
      </w:r>
    </w:p>
    <w:p>
      <w:pPr>
        <w:spacing w:after="0" w:line="163" w:lineRule="exact"/>
        <w:rPr>
          <w:rFonts w:ascii="Arial" w:cs="Arial" w:eastAsia="Arial" w:hAnsi="Arial"/>
          <w:sz w:val="17"/>
          <w:szCs w:val="17"/>
          <w:color w:val="auto"/>
        </w:rPr>
      </w:pPr>
    </w:p>
    <w:p>
      <w:pPr>
        <w:ind w:left="1760" w:hanging="878"/>
        <w:spacing w:after="0"/>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Non-Competition, Non-Solicitation and Confidentiality and Non-Disclosure.</w:t>
      </w:r>
    </w:p>
    <w:p>
      <w:pPr>
        <w:spacing w:after="0" w:line="213"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19"/>
          <w:szCs w:val="19"/>
          <w:color w:val="auto"/>
        </w:rPr>
        <w:t>6.1</w:t>
      </w:r>
      <w:r>
        <w:rPr>
          <w:rFonts w:ascii="Arial" w:cs="Arial" w:eastAsia="Arial" w:hAnsi="Arial"/>
          <w:sz w:val="18"/>
          <w:szCs w:val="18"/>
          <w:color w:val="auto"/>
        </w:rPr>
        <w:t>Business Considerations. All confidential or proprietary information, including but not limited to, any programs,</w:t>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plans or designs whether in hard copy or electronic format developed by, at the direction of, or with the assistance and/or collaboration of Employee during his tenure at the Company, contract terms, financial information, operating data, staffing patterns, wage levels, quality assurance audit materials and techniques, customer lists, supplier lists, pricing policies, marketing plans, business plans or models, marketing or lobbying information and all other information (the “Confidential &amp; Proprietary Information”), and all other tangible or intangible items or ideas making up the Confidential &amp; Proprietary Information owned or developed by or related to the Company, and the goodwill associated with them, which (i) is or was obtained or created by Executive in whole or in part as a result of his employment with the Company, and (ii) is not generally available to the public, shall remain the sole and exclusive property of the Company.</w:t>
      </w:r>
    </w:p>
    <w:p>
      <w:pPr>
        <w:spacing w:after="0" w:line="176" w:lineRule="exact"/>
        <w:rPr>
          <w:sz w:val="20"/>
          <w:szCs w:val="20"/>
          <w:color w:val="auto"/>
        </w:rPr>
      </w:pPr>
    </w:p>
    <w:p>
      <w:pPr>
        <w:jc w:val="both"/>
        <w:ind w:firstLine="1756"/>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Non-Competition, Non-Solicitation</w:t>
      </w:r>
      <w:r>
        <w:rPr>
          <w:rFonts w:ascii="Arial" w:cs="Arial" w:eastAsia="Arial" w:hAnsi="Arial"/>
          <w:sz w:val="17"/>
          <w:szCs w:val="17"/>
          <w:color w:val="auto"/>
        </w:rPr>
        <w:t>. The Executive hereby covenants and agrees that during the Term of the Executive’s employment hereunder and for a period of one (1) year thereafter, Executive shall not, directly or indirectly: (i) own any interest in, operate, join, control or participate as a partner, director, principal, officer or agent of, enter into the employment of, act as a consultant to, or perform any services for any entity (each a “</w:t>
      </w:r>
      <w:r>
        <w:rPr>
          <w:rFonts w:ascii="Arial" w:cs="Arial" w:eastAsia="Arial" w:hAnsi="Arial"/>
          <w:sz w:val="17"/>
          <w:szCs w:val="17"/>
          <w:u w:val="single" w:color="auto"/>
          <w:color w:val="auto"/>
        </w:rPr>
        <w:t>Competing Entity</w:t>
      </w:r>
      <w:r>
        <w:rPr>
          <w:rFonts w:ascii="Arial" w:cs="Arial" w:eastAsia="Arial" w:hAnsi="Arial"/>
          <w:sz w:val="17"/>
          <w:szCs w:val="17"/>
          <w:color w:val="auto"/>
        </w:rPr>
        <w:t xml:space="preserve">”) which has material operations which compete with any business in which the Company or any of its subsidiaries is then engaged or, to the then existing knowledge of the Executive, proposes to engage; (ii) solicit any customer or client of the Company or any of its subsidiaries (other than on behalf of the Company) with respect to any business in which the Company or any of its subsidiaries is then engaged or, to the then existing knowledge of the Executive, proposes to engage; or (iii) induce or encourage any employee of the Company or any of its subsidiaries to leave the employ of the Company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that the Executive may, solely as an investment, hold not more than five percent (5%) of the combined voting securities of any publicly-traded corporation or other business entity. The foregoing covenants and agreements of the Executive are referred to herein as the “</w:t>
      </w:r>
      <w:r>
        <w:rPr>
          <w:rFonts w:ascii="Arial" w:cs="Arial" w:eastAsia="Arial" w:hAnsi="Arial"/>
          <w:sz w:val="17"/>
          <w:szCs w:val="17"/>
          <w:u w:val="single" w:color="auto"/>
          <w:color w:val="auto"/>
        </w:rPr>
        <w:t>Restrictive Covenant</w:t>
      </w:r>
      <w:r>
        <w:rPr>
          <w:rFonts w:ascii="Arial" w:cs="Arial" w:eastAsia="Arial" w:hAnsi="Arial"/>
          <w:sz w:val="17"/>
          <w:szCs w:val="17"/>
          <w:color w:val="auto"/>
        </w:rPr>
        <w:t>.” The Executive acknowledges that the Executive has carefully read and considered the provisions of the Restrictive Covenant and, having done so, agrees that the restrictions set forth in this Section 6.1, including without limitation the time period of restriction set forth above, are fair and reasonable and are reasonably required for the protection of the legitimate business and economic interests of the Company. The Executive further acknowledges that the Company would not have entered into this Agreement absent Executive’s agreement to the foregoing. In the event that, notwithstanding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65" w:name="page166"/>
    <w:bookmarkEnd w:id="165"/>
    <w:p>
      <w:pPr>
        <w:jc w:val="both"/>
        <w:spacing w:after="0" w:line="281" w:lineRule="auto"/>
        <w:rPr>
          <w:sz w:val="20"/>
          <w:szCs w:val="20"/>
          <w:color w:val="auto"/>
        </w:rPr>
      </w:pPr>
      <w:r>
        <w:rPr>
          <w:rFonts w:ascii="Arial" w:cs="Arial" w:eastAsia="Arial" w:hAnsi="Arial"/>
          <w:sz w:val="17"/>
          <w:szCs w:val="17"/>
          <w:color w:val="auto"/>
        </w:rPr>
        <w:t>foregoing, any of the provisions of this Section 6.1 or any parts hereof shall be held to be invalid or unenforceable, the remaining provisions or parts hereof shall nevertheless continue to be valid and enforceable as though the invalid or unenforceable portions or parts had not been included herein. In the event that any provision of this Section 6.1 relating to the time period and/or the area of restriction, if any, and/or related aspects shall be declared by a court of competent jurisdiction to exceed the maximum restrictiveness such court deems reasonable and enforceable, the time period and/or area of restriction and/or related aspects deemed reasonable and enforceable by such court shall become and thereafter be the maximum restrictions in such regard, and the provisions of the Restrictive Covenant shall remain enforceable to the fullest extent deemed reasonable by such court. The portion of the payments set forth in Section 5.4 or 5.5, as applicable, that is allocable to the value of the non-compete provisions set forth in this Section 6.1 shall be determined consistent with Section 1.280G-1 Q/A 9, and 40-44 of the Treasury Regulations.</w:t>
      </w:r>
    </w:p>
    <w:p>
      <w:pPr>
        <w:spacing w:after="0" w:line="159" w:lineRule="exact"/>
        <w:rPr>
          <w:sz w:val="20"/>
          <w:szCs w:val="20"/>
          <w:color w:val="auto"/>
        </w:rPr>
      </w:pPr>
    </w:p>
    <w:p>
      <w:pPr>
        <w:jc w:val="both"/>
        <w:ind w:firstLine="1756"/>
        <w:spacing w:after="0" w:line="299" w:lineRule="auto"/>
        <w:rPr>
          <w:sz w:val="20"/>
          <w:szCs w:val="20"/>
          <w:color w:val="auto"/>
        </w:rPr>
      </w:pPr>
      <w:r>
        <w:rPr>
          <w:rFonts w:ascii="Arial" w:cs="Arial" w:eastAsia="Arial" w:hAnsi="Arial"/>
          <w:sz w:val="18"/>
          <w:szCs w:val="18"/>
          <w:color w:val="auto"/>
        </w:rPr>
        <w:t>[The Executive and the Company agree that nothing contained in this Section 6.2 is intended to restrict the Executive’s right to practice law in violation of Rule 5.6 (Restrictions on the Rights to Practice) of the Tennessee Rules of Professional Conduct.]</w:t>
      </w:r>
    </w:p>
    <w:p>
      <w:pPr>
        <w:spacing w:after="0" w:line="139" w:lineRule="exact"/>
        <w:rPr>
          <w:sz w:val="20"/>
          <w:szCs w:val="20"/>
          <w:color w:val="auto"/>
        </w:rPr>
      </w:pPr>
    </w:p>
    <w:p>
      <w:pPr>
        <w:jc w:val="both"/>
        <w:ind w:firstLine="1756"/>
        <w:spacing w:after="0" w:line="24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Confidentiality and Non-Disclosure</w:t>
      </w:r>
      <w:r>
        <w:rPr>
          <w:rFonts w:ascii="Arial" w:cs="Arial" w:eastAsia="Arial" w:hAnsi="Arial"/>
          <w:sz w:val="19"/>
          <w:szCs w:val="19"/>
          <w:color w:val="auto"/>
        </w:rPr>
        <w:t>. In consideration of the rights granted to the Executive hereunder, the Executive hereby agrees that during the term of this Agreement and thereafter to hold in confidence the Company's Confidential and Proprietary Information, whether communicated orally or in documentary or other tangible form. The parties to this Agreement recognize that the Company has invested considerable amounts of time and money in attaining and developing all of the information described above, and any unauthorized disclosure or release of such Confidential and Proprietary Information in any form would irreparably harm the Company. Notwithstanding the foregoing, Paragraph 6.3 does not limit rights of the Executive to file a charge or complaint with or from participating in an investigation or proceeding conducted by the Equal Employment Opportunity Commission, National Labor Relations Board, Occupational Safety and Health Administration, the Securities and Exchange Commission, or any other any federal, state or local agency charged with the enforcement of any laws, including providing documents or any other information.</w:t>
      </w:r>
    </w:p>
    <w:p>
      <w:pPr>
        <w:spacing w:after="0" w:line="189"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Equitable Relief</w:t>
      </w:r>
      <w:r>
        <w:rPr>
          <w:rFonts w:ascii="Arial" w:cs="Arial" w:eastAsia="Arial" w:hAnsi="Arial"/>
          <w:sz w:val="19"/>
          <w:szCs w:val="19"/>
          <w:color w:val="auto"/>
        </w:rPr>
        <w:t>. The Executive agrees that it would be impossible to adequately compensate the Company and its subsidiaries for the damage suffered by the Company or its subsidiaries as a result of Executive’s breach of any of the covenants and obligations set forth in this Section 6. Accordingly, the Executive agrees that if the Executive breaches any such covenants and obligations, the Company or its subsidiaries may, in addition to any other right or remedy available, obtain an injunction from a court of competent jurisdiction restraining such breach or threatened breach and to specific performance of any such provision of this Agreement. The Executive further agrees that no bond or other security shall be required in obtaining such equitable relief and the Executive hereby consents to the issuance of such injunction and to the ordering of specific performance.</w:t>
      </w:r>
    </w:p>
    <w:p>
      <w:pPr>
        <w:spacing w:after="0" w:line="181" w:lineRule="exact"/>
        <w:rPr>
          <w:sz w:val="20"/>
          <w:szCs w:val="20"/>
          <w:color w:val="auto"/>
        </w:rPr>
      </w:pPr>
    </w:p>
    <w:p>
      <w:pPr>
        <w:jc w:val="both"/>
        <w:ind w:left="880" w:hanging="809"/>
        <w:spacing w:after="0" w:line="263" w:lineRule="auto"/>
        <w:tabs>
          <w:tab w:leader="none" w:pos="86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the Executive to the fullest extent permitted by law (including a payment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expenses in advance of final disposition of a proceeding) as in effect at the time of the subject act or omission, or by the Charter or Bylaws of the Company as in effect at such time, or by the terms of any indemnification agreement between the Company and the Executive, whichever affords greatest protection to the Executive, and the Executive shall be entitled to the protection of any insurance policies the Company may elect to maintain generally for the benefit of its officers or, during the Executive’s service in such capacity, directors (and to the extent the Company maintains such an insurance policy or policies, in accordance with its or their terms to the maximum extent of the coverage available for any company officer or director), against all costs, charges and expenses whatsoever incurred or sustained by the Executive (including but not limited to any judgment entered by a court of law) at the time such costs, charges and expenses are incurred or sustained, in connection with any action, suit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6"/>
              </w:rPr>
              <w:t>proceeding to which the Executive may be made a party by reason of the Executive’s being or having been an officer or</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1"/>
              </w:rPr>
              <w:t>employee of the Company, or serving as an officer or employee of an affiliate of the Company, at the request of the Company, other than</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8"/>
              </w:rPr>
              <w:t>any action, suit or proceeding brought against the Executive by or on account of the Executive’s breach of the provisions of any</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2"/>
              </w:rPr>
              <w:t>employment agreement with a third party that has not been disclosed by the Executive to the Company. The provisions of this Section 7</w:t>
            </w:r>
          </w:p>
        </w:tc>
      </w:tr>
      <w:tr>
        <w:trPr>
          <w:trHeight w:val="243"/>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rPr>
              <w:t>shall specifically survive the expiration or earlier termination of this Agreement.</w:t>
            </w:r>
          </w:p>
        </w:tc>
      </w:tr>
      <w:tr>
        <w:trPr>
          <w:trHeight w:val="389"/>
        </w:trPr>
        <w:tc>
          <w:tcPr>
            <w:tcW w:w="520" w:type="dxa"/>
            <w:vAlign w:val="bottom"/>
          </w:tcPr>
          <w:p>
            <w:pPr>
              <w:spacing w:after="0"/>
              <w:rPr>
                <w:sz w:val="20"/>
                <w:szCs w:val="20"/>
                <w:color w:val="auto"/>
              </w:rPr>
            </w:pPr>
            <w:r>
              <w:rPr>
                <w:rFonts w:ascii="Arial" w:cs="Arial" w:eastAsia="Arial" w:hAnsi="Arial"/>
                <w:sz w:val="19"/>
                <w:szCs w:val="19"/>
                <w:color w:val="auto"/>
              </w:rPr>
              <w:t>8.</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3"/>
              </w:rPr>
              <w:t>Payment of Financial Obligations. The payment or provision to the Executive by the Company of any remuneration, benefits</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2"/>
              </w:rPr>
              <w:t>or other financial obligations pursuant to this Agreement shall be allocated among the REIT, the Employer and any subsidiary or affiliate</w:t>
            </w:r>
          </w:p>
        </w:tc>
      </w:tr>
      <w:tr>
        <w:trPr>
          <w:trHeight w:val="243"/>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rPr>
              <w:t>thereof in such manner as such entities determine in order to reflect the services provided by the Executive to such entities.</w:t>
            </w:r>
          </w:p>
        </w:tc>
      </w:tr>
      <w:tr>
        <w:trPr>
          <w:trHeight w:val="389"/>
        </w:trPr>
        <w:tc>
          <w:tcPr>
            <w:tcW w:w="520" w:type="dxa"/>
            <w:vAlign w:val="bottom"/>
          </w:tcPr>
          <w:p>
            <w:pPr>
              <w:spacing w:after="0"/>
              <w:rPr>
                <w:sz w:val="20"/>
                <w:szCs w:val="20"/>
                <w:color w:val="auto"/>
              </w:rPr>
            </w:pPr>
            <w:r>
              <w:rPr>
                <w:rFonts w:ascii="Arial" w:cs="Arial" w:eastAsia="Arial" w:hAnsi="Arial"/>
                <w:sz w:val="19"/>
                <w:szCs w:val="19"/>
                <w:color w:val="auto"/>
              </w:rPr>
              <w:t>9.</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2"/>
              </w:rPr>
              <w:t>Notices. Any notice required or desired to be given under this Agreement shall be in writing and shall be delivered personally,</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5"/>
              </w:rPr>
              <w:t>transmitted by facsimile or mailed by registered mail, return receipt requested, or delivered by overnight courier service and shall be</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6"/>
              </w:rPr>
              <w:t>deemed to have been given on the date of its delivery, if delivered, and on the third (3rd) full business day following the date of the</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3"/>
              </w:rPr>
              <w:t>mailing, if mailed, to each of the parties thereto at the following respective addresses or such other address as may be specified in any</w:t>
            </w:r>
          </w:p>
        </w:tc>
      </w:tr>
      <w:tr>
        <w:trPr>
          <w:trHeight w:val="243"/>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rPr>
              <w:t>notice delivered or mailed as above provided:</w:t>
            </w:r>
          </w:p>
        </w:tc>
      </w:tr>
      <w:tr>
        <w:trPr>
          <w:trHeight w:val="432"/>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9"/>
                <w:szCs w:val="19"/>
                <w:color w:val="auto"/>
              </w:rPr>
              <w:t>i)</w:t>
            </w:r>
          </w:p>
        </w:tc>
        <w:tc>
          <w:tcPr>
            <w:tcW w:w="180" w:type="dxa"/>
            <w:vAlign w:val="bottom"/>
          </w:tcPr>
          <w:p>
            <w:pPr>
              <w:spacing w:after="0"/>
              <w:rPr>
                <w:sz w:val="24"/>
                <w:szCs w:val="24"/>
                <w:color w:val="auto"/>
              </w:rPr>
            </w:pPr>
          </w:p>
        </w:tc>
        <w:tc>
          <w:tcPr>
            <w:tcW w:w="8960" w:type="dxa"/>
            <w:vAlign w:val="bottom"/>
            <w:gridSpan w:val="5"/>
          </w:tcPr>
          <w:p>
            <w:pPr>
              <w:ind w:left="40"/>
              <w:spacing w:after="0"/>
              <w:rPr>
                <w:sz w:val="20"/>
                <w:szCs w:val="20"/>
                <w:color w:val="auto"/>
              </w:rPr>
            </w:pPr>
            <w:r>
              <w:rPr>
                <w:rFonts w:ascii="Arial" w:cs="Arial" w:eastAsia="Arial" w:hAnsi="Arial"/>
                <w:sz w:val="19"/>
                <w:szCs w:val="19"/>
                <w:color w:val="auto"/>
              </w:rPr>
              <w:t>If to the Executive, to the Executive’s then current address on the Company’s books and records.</w:t>
            </w:r>
          </w:p>
        </w:tc>
      </w:tr>
      <w:tr>
        <w:trPr>
          <w:trHeight w:val="445"/>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9"/>
                <w:szCs w:val="19"/>
                <w:color w:val="auto"/>
              </w:rPr>
              <w:t>ii)</w:t>
            </w:r>
          </w:p>
        </w:tc>
        <w:tc>
          <w:tcPr>
            <w:tcW w:w="180" w:type="dxa"/>
            <w:vAlign w:val="bottom"/>
          </w:tcPr>
          <w:p>
            <w:pPr>
              <w:spacing w:after="0"/>
              <w:rPr>
                <w:sz w:val="24"/>
                <w:szCs w:val="24"/>
                <w:color w:val="auto"/>
              </w:rPr>
            </w:pPr>
          </w:p>
        </w:tc>
        <w:tc>
          <w:tcPr>
            <w:tcW w:w="8960" w:type="dxa"/>
            <w:vAlign w:val="bottom"/>
            <w:gridSpan w:val="5"/>
          </w:tcPr>
          <w:p>
            <w:pPr>
              <w:ind w:left="100"/>
              <w:spacing w:after="0"/>
              <w:rPr>
                <w:sz w:val="20"/>
                <w:szCs w:val="20"/>
                <w:color w:val="auto"/>
              </w:rPr>
            </w:pPr>
            <w:r>
              <w:rPr>
                <w:rFonts w:ascii="Arial" w:cs="Arial" w:eastAsia="Arial" w:hAnsi="Arial"/>
                <w:sz w:val="19"/>
                <w:szCs w:val="19"/>
                <w:color w:val="auto"/>
              </w:rPr>
              <w:t>If to the Company, the REIT or the Employer, to:</w:t>
            </w:r>
          </w:p>
        </w:tc>
      </w:tr>
      <w:tr>
        <w:trPr>
          <w:trHeight w:val="425"/>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20" w:type="dxa"/>
            <w:vAlign w:val="bottom"/>
            <w:gridSpan w:val="7"/>
          </w:tcPr>
          <w:p>
            <w:pPr>
              <w:ind w:left="60"/>
              <w:spacing w:after="0"/>
              <w:rPr>
                <w:sz w:val="20"/>
                <w:szCs w:val="20"/>
                <w:color w:val="auto"/>
              </w:rPr>
            </w:pPr>
            <w:r>
              <w:rPr>
                <w:rFonts w:ascii="Arial" w:cs="Arial" w:eastAsia="Arial" w:hAnsi="Arial"/>
                <w:sz w:val="19"/>
                <w:szCs w:val="19"/>
                <w:color w:val="auto"/>
              </w:rPr>
              <w:t>CoreCivic</w:t>
            </w:r>
          </w:p>
        </w:tc>
      </w:tr>
      <w:tr>
        <w:trPr>
          <w:trHeight w:val="223"/>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20" w:type="dxa"/>
            <w:vAlign w:val="bottom"/>
            <w:gridSpan w:val="7"/>
          </w:tcPr>
          <w:p>
            <w:pPr>
              <w:ind w:left="60"/>
              <w:spacing w:after="0"/>
              <w:rPr>
                <w:sz w:val="20"/>
                <w:szCs w:val="20"/>
                <w:color w:val="auto"/>
              </w:rPr>
            </w:pPr>
            <w:r>
              <w:rPr>
                <w:rFonts w:ascii="Arial" w:cs="Arial" w:eastAsia="Arial" w:hAnsi="Arial"/>
                <w:sz w:val="19"/>
                <w:szCs w:val="19"/>
                <w:color w:val="auto"/>
              </w:rPr>
              <w:t>10 Burton Hills Boulevard</w:t>
            </w:r>
          </w:p>
        </w:tc>
      </w:tr>
      <w:tr>
        <w:trPr>
          <w:trHeight w:val="223"/>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20" w:type="dxa"/>
            <w:vAlign w:val="bottom"/>
            <w:gridSpan w:val="7"/>
          </w:tcPr>
          <w:p>
            <w:pPr>
              <w:ind w:left="60"/>
              <w:spacing w:after="0"/>
              <w:rPr>
                <w:sz w:val="20"/>
                <w:szCs w:val="20"/>
                <w:color w:val="auto"/>
              </w:rPr>
            </w:pPr>
            <w:r>
              <w:rPr>
                <w:rFonts w:ascii="Arial" w:cs="Arial" w:eastAsia="Arial" w:hAnsi="Arial"/>
                <w:sz w:val="19"/>
                <w:szCs w:val="19"/>
                <w:color w:val="auto"/>
              </w:rPr>
              <w:t>Nashville, Tennessee 37215</w:t>
            </w:r>
          </w:p>
        </w:tc>
      </w:tr>
      <w:tr>
        <w:trPr>
          <w:trHeight w:val="223"/>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20" w:type="dxa"/>
            <w:vAlign w:val="bottom"/>
            <w:gridSpan w:val="7"/>
          </w:tcPr>
          <w:p>
            <w:pPr>
              <w:ind w:left="60"/>
              <w:spacing w:after="0"/>
              <w:rPr>
                <w:sz w:val="20"/>
                <w:szCs w:val="20"/>
                <w:color w:val="auto"/>
              </w:rPr>
            </w:pPr>
            <w:r>
              <w:rPr>
                <w:rFonts w:ascii="Arial" w:cs="Arial" w:eastAsia="Arial" w:hAnsi="Arial"/>
                <w:sz w:val="19"/>
                <w:szCs w:val="19"/>
                <w:color w:val="auto"/>
              </w:rPr>
              <w:t>Attention: General Counsel</w:t>
            </w:r>
          </w:p>
        </w:tc>
      </w:tr>
      <w:tr>
        <w:trPr>
          <w:trHeight w:val="243"/>
        </w:trPr>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720" w:type="dxa"/>
            <w:vAlign w:val="bottom"/>
            <w:gridSpan w:val="7"/>
          </w:tcPr>
          <w:p>
            <w:pPr>
              <w:ind w:left="60"/>
              <w:spacing w:after="0"/>
              <w:rPr>
                <w:sz w:val="20"/>
                <w:szCs w:val="20"/>
                <w:color w:val="auto"/>
              </w:rPr>
            </w:pPr>
            <w:r>
              <w:rPr>
                <w:rFonts w:ascii="Arial" w:cs="Arial" w:eastAsia="Arial" w:hAnsi="Arial"/>
                <w:sz w:val="19"/>
                <w:szCs w:val="19"/>
                <w:color w:val="auto"/>
              </w:rPr>
              <w:t>Facsimile: (615) 263-3020</w:t>
            </w:r>
          </w:p>
        </w:tc>
      </w:tr>
      <w:tr>
        <w:trPr>
          <w:trHeight w:val="402"/>
        </w:trPr>
        <w:tc>
          <w:tcPr>
            <w:tcW w:w="520" w:type="dxa"/>
            <w:vAlign w:val="bottom"/>
          </w:tcPr>
          <w:p>
            <w:pPr>
              <w:spacing w:after="0"/>
              <w:rPr>
                <w:sz w:val="20"/>
                <w:szCs w:val="20"/>
                <w:color w:val="auto"/>
              </w:rPr>
            </w:pPr>
            <w:r>
              <w:rPr>
                <w:rFonts w:ascii="Arial" w:cs="Arial" w:eastAsia="Arial" w:hAnsi="Arial"/>
                <w:sz w:val="19"/>
                <w:szCs w:val="19"/>
                <w:color w:val="auto"/>
              </w:rPr>
              <w:t>10.</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2"/>
              </w:rPr>
              <w:t>Clawback. The Executive agrees that compensation paid or payable to the Executive pursuant to this Agreement shall, to the</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8"/>
              </w:rPr>
              <w:t>extent applicable, be subject to (i) the provisions of  any claw-back policy adopted by the Company from time to time, including,</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3"/>
              </w:rPr>
              <w:t>without limitation, any claw-back policy adopted to comply with the requirements of the Dodd-Frank Wall Street Reform and Consumer</w:t>
            </w:r>
          </w:p>
        </w:tc>
      </w:tr>
      <w:tr>
        <w:trPr>
          <w:trHeight w:val="243"/>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4"/>
              </w:rPr>
              <w:t>Protection Act and any rules or regulations promulgated thereunder, and (ii) any other claw-back requirements under applicable law.</w:t>
            </w:r>
          </w:p>
        </w:tc>
      </w:tr>
      <w:tr>
        <w:trPr>
          <w:trHeight w:val="389"/>
        </w:trPr>
        <w:tc>
          <w:tcPr>
            <w:tcW w:w="520" w:type="dxa"/>
            <w:vAlign w:val="bottom"/>
          </w:tcPr>
          <w:p>
            <w:pPr>
              <w:spacing w:after="0"/>
              <w:rPr>
                <w:sz w:val="20"/>
                <w:szCs w:val="20"/>
                <w:color w:val="auto"/>
              </w:rPr>
            </w:pPr>
            <w:r>
              <w:rPr>
                <w:rFonts w:ascii="Arial" w:cs="Arial" w:eastAsia="Arial" w:hAnsi="Arial"/>
                <w:sz w:val="19"/>
                <w:szCs w:val="19"/>
                <w:color w:val="auto"/>
              </w:rPr>
              <w:t>11.</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2"/>
              </w:rPr>
              <w:t>Waiver of Breach. The waiver by either party of any provision of this Agreement shall not operate or be construed as a waiver</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246"/>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rPr>
              <w:t>of any subsequent breach by the other party.</w:t>
            </w:r>
          </w:p>
        </w:tc>
      </w:tr>
      <w:tr>
        <w:trPr>
          <w:trHeight w:val="389"/>
        </w:trPr>
        <w:tc>
          <w:tcPr>
            <w:tcW w:w="520" w:type="dxa"/>
            <w:vAlign w:val="bottom"/>
          </w:tcPr>
          <w:p>
            <w:pPr>
              <w:spacing w:after="0"/>
              <w:rPr>
                <w:sz w:val="20"/>
                <w:szCs w:val="20"/>
                <w:color w:val="auto"/>
              </w:rPr>
            </w:pPr>
            <w:r>
              <w:rPr>
                <w:rFonts w:ascii="Arial" w:cs="Arial" w:eastAsia="Arial" w:hAnsi="Arial"/>
                <w:sz w:val="19"/>
                <w:szCs w:val="19"/>
                <w:color w:val="auto"/>
              </w:rPr>
              <w:t>12.</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8"/>
              </w:rPr>
              <w:t>Assignment. The rights and obligations of the Company under this Agreement shall inure to the benefit of and shall be</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0"/>
              </w:rPr>
              <w:t>binding upon the successors and assigns of the Company. The Executive acknowledges that the services to be rendered by the Executive</w:t>
            </w:r>
          </w:p>
        </w:tc>
      </w:tr>
      <w:tr>
        <w:trPr>
          <w:trHeight w:val="223"/>
        </w:trPr>
        <w:tc>
          <w:tcPr>
            <w:tcW w:w="520" w:type="dxa"/>
            <w:vAlign w:val="bottom"/>
          </w:tcPr>
          <w:p>
            <w:pPr>
              <w:spacing w:after="0"/>
              <w:rPr>
                <w:sz w:val="19"/>
                <w:szCs w:val="19"/>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4"/>
              </w:rPr>
              <w:t>are unique and personal, and the Executive may not assign any of the Executive’s rights or delegate any of the Executive’s duties or</w:t>
            </w:r>
          </w:p>
        </w:tc>
      </w:tr>
      <w:tr>
        <w:trPr>
          <w:trHeight w:val="243"/>
        </w:trPr>
        <w:tc>
          <w:tcPr>
            <w:tcW w:w="520" w:type="dxa"/>
            <w:vAlign w:val="bottom"/>
          </w:tcPr>
          <w:p>
            <w:pPr>
              <w:spacing w:after="0"/>
              <w:rPr>
                <w:sz w:val="21"/>
                <w:szCs w:val="21"/>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rPr>
              <w:t>obligations under this Agreement.</w:t>
            </w:r>
          </w:p>
        </w:tc>
      </w:tr>
      <w:tr>
        <w:trPr>
          <w:trHeight w:val="389"/>
        </w:trPr>
        <w:tc>
          <w:tcPr>
            <w:tcW w:w="520" w:type="dxa"/>
            <w:vAlign w:val="bottom"/>
          </w:tcPr>
          <w:p>
            <w:pPr>
              <w:spacing w:after="0"/>
              <w:rPr>
                <w:sz w:val="20"/>
                <w:szCs w:val="20"/>
                <w:color w:val="auto"/>
              </w:rPr>
            </w:pPr>
            <w:r>
              <w:rPr>
                <w:rFonts w:ascii="Arial" w:cs="Arial" w:eastAsia="Arial" w:hAnsi="Arial"/>
                <w:sz w:val="19"/>
                <w:szCs w:val="19"/>
                <w:color w:val="auto"/>
              </w:rPr>
              <w:t>13.</w:t>
            </w:r>
          </w:p>
        </w:tc>
        <w:tc>
          <w:tcPr>
            <w:tcW w:w="110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9"/>
                <w:szCs w:val="19"/>
                <w:color w:val="auto"/>
                <w:w w:val="92"/>
              </w:rPr>
              <w:t>Entire Agreement. This instrument contains the entire agreement of the parties and supersedes in full and in all respects any</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gridSpan w:val="5"/>
            <w:shd w:val="clear" w:color="auto" w:fill="000000"/>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10820" w:type="dxa"/>
            <w:vAlign w:val="bottom"/>
            <w:gridSpan w:val="8"/>
          </w:tcPr>
          <w:p>
            <w:pPr>
              <w:ind w:left="280"/>
              <w:spacing w:after="0"/>
              <w:rPr>
                <w:sz w:val="20"/>
                <w:szCs w:val="20"/>
                <w:color w:val="auto"/>
              </w:rPr>
            </w:pPr>
            <w:r>
              <w:rPr>
                <w:rFonts w:ascii="Arial" w:cs="Arial" w:eastAsia="Arial" w:hAnsi="Arial"/>
                <w:sz w:val="19"/>
                <w:szCs w:val="19"/>
                <w:color w:val="auto"/>
                <w:w w:val="93"/>
              </w:rPr>
              <w:t>prior oral or written agreement between the parties with respect to Executive’s employment with the Company. It may not be changed</w:t>
            </w:r>
          </w:p>
        </w:tc>
      </w:tr>
    </w:tbl>
    <w:p>
      <w:pPr>
        <w:ind w:left="800"/>
        <w:spacing w:after="0" w:line="253" w:lineRule="auto"/>
        <w:rPr>
          <w:sz w:val="20"/>
          <w:szCs w:val="20"/>
          <w:color w:val="auto"/>
        </w:rPr>
      </w:pPr>
      <w:r>
        <w:rPr>
          <w:rFonts w:ascii="Arial" w:cs="Arial" w:eastAsia="Arial" w:hAnsi="Arial"/>
          <w:sz w:val="19"/>
          <w:szCs w:val="19"/>
          <w:color w:val="auto"/>
        </w:rPr>
        <w:t>orally but only by an agreement in writing signed by the party against whom enforcement of any waiver, change, modification, extension or discharge is sought, and in accordance with Section 409A of the Code.</w:t>
      </w: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246380</wp:posOffset>
            </wp:positionV>
            <wp:extent cx="729297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8"/>
        </w:trPr>
        <w:tc>
          <w:tcPr>
            <w:tcW w:w="520" w:type="dxa"/>
            <w:vAlign w:val="bottom"/>
          </w:tcPr>
          <w:p>
            <w:pPr>
              <w:jc w:val="right"/>
              <w:ind w:right="184"/>
              <w:spacing w:after="0"/>
              <w:rPr>
                <w:sz w:val="20"/>
                <w:szCs w:val="20"/>
                <w:color w:val="auto"/>
              </w:rPr>
            </w:pPr>
            <w:r>
              <w:rPr>
                <w:rFonts w:ascii="Arial" w:cs="Arial" w:eastAsia="Arial" w:hAnsi="Arial"/>
                <w:sz w:val="19"/>
                <w:szCs w:val="19"/>
                <w:color w:val="auto"/>
                <w:w w:val="83"/>
              </w:rPr>
              <w:t>14.</w:t>
            </w:r>
          </w:p>
        </w:tc>
        <w:tc>
          <w:tcPr>
            <w:tcW w:w="1100" w:type="dxa"/>
            <w:vAlign w:val="bottom"/>
          </w:tcPr>
          <w:p>
            <w:pPr>
              <w:spacing w:after="0"/>
              <w:rPr>
                <w:sz w:val="18"/>
                <w:szCs w:val="18"/>
                <w:color w:val="auto"/>
              </w:rPr>
            </w:pPr>
          </w:p>
        </w:tc>
        <w:tc>
          <w:tcPr>
            <w:tcW w:w="9720" w:type="dxa"/>
            <w:vAlign w:val="bottom"/>
            <w:gridSpan w:val="5"/>
          </w:tcPr>
          <w:p>
            <w:pPr>
              <w:spacing w:after="0"/>
              <w:rPr>
                <w:sz w:val="20"/>
                <w:szCs w:val="20"/>
                <w:color w:val="auto"/>
              </w:rPr>
            </w:pPr>
            <w:r>
              <w:rPr>
                <w:rFonts w:ascii="Arial" w:cs="Arial" w:eastAsia="Arial" w:hAnsi="Arial"/>
                <w:sz w:val="19"/>
                <w:szCs w:val="19"/>
                <w:color w:val="auto"/>
              </w:rPr>
              <w:t>Controlling Law. This Agreement shall be governed and interpreted under the laws of the State of Tennessee.</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12"/>
        </w:trPr>
        <w:tc>
          <w:tcPr>
            <w:tcW w:w="520" w:type="dxa"/>
            <w:vAlign w:val="bottom"/>
          </w:tcPr>
          <w:p>
            <w:pPr>
              <w:jc w:val="right"/>
              <w:ind w:right="184"/>
              <w:spacing w:after="0"/>
              <w:rPr>
                <w:sz w:val="20"/>
                <w:szCs w:val="20"/>
                <w:color w:val="auto"/>
              </w:rPr>
            </w:pPr>
            <w:r>
              <w:rPr>
                <w:rFonts w:ascii="Arial" w:cs="Arial" w:eastAsia="Arial" w:hAnsi="Arial"/>
                <w:sz w:val="19"/>
                <w:szCs w:val="19"/>
                <w:color w:val="auto"/>
                <w:w w:val="83"/>
              </w:rPr>
              <w:t>15.</w:t>
            </w:r>
          </w:p>
        </w:tc>
        <w:tc>
          <w:tcPr>
            <w:tcW w:w="110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9"/>
                <w:szCs w:val="19"/>
                <w:color w:val="auto"/>
                <w:w w:val="91"/>
              </w:rPr>
              <w:t>Headings. The sections, subjects and headings in this Agreement are inserted for convenience only and shall not affect in any</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46"/>
        </w:trPr>
        <w:tc>
          <w:tcPr>
            <w:tcW w:w="520" w:type="dxa"/>
            <w:vAlign w:val="bottom"/>
          </w:tcPr>
          <w:p>
            <w:pPr>
              <w:spacing w:after="0"/>
              <w:rPr>
                <w:sz w:val="21"/>
                <w:szCs w:val="21"/>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rPr>
              <w:t>way the meaning or interpretation of this Agreement.</w:t>
            </w:r>
          </w:p>
        </w:tc>
      </w:tr>
      <w:tr>
        <w:trPr>
          <w:trHeight w:val="389"/>
        </w:trPr>
        <w:tc>
          <w:tcPr>
            <w:tcW w:w="520" w:type="dxa"/>
            <w:vAlign w:val="bottom"/>
          </w:tcPr>
          <w:p>
            <w:pPr>
              <w:jc w:val="right"/>
              <w:ind w:right="184"/>
              <w:spacing w:after="0"/>
              <w:rPr>
                <w:sz w:val="20"/>
                <w:szCs w:val="20"/>
                <w:color w:val="auto"/>
              </w:rPr>
            </w:pPr>
            <w:r>
              <w:rPr>
                <w:rFonts w:ascii="Arial" w:cs="Arial" w:eastAsia="Arial" w:hAnsi="Arial"/>
                <w:sz w:val="19"/>
                <w:szCs w:val="19"/>
                <w:color w:val="auto"/>
                <w:w w:val="83"/>
              </w:rPr>
              <w:t>16.</w:t>
            </w:r>
          </w:p>
        </w:tc>
        <w:tc>
          <w:tcPr>
            <w:tcW w:w="110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9"/>
                <w:szCs w:val="19"/>
                <w:color w:val="auto"/>
                <w:w w:val="91"/>
              </w:rPr>
              <w:t>Enforcement. If the Executive is the prevailing party in any dispute among the parties hereto regarding the enforcement of one</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w w:val="94"/>
              </w:rPr>
              <w:t>or more of the provisions of this Agreement, then the Company shall reimburse the Executive for any reasonable attorneys’ fees and</w:t>
            </w:r>
          </w:p>
        </w:tc>
      </w:tr>
      <w:tr>
        <w:trPr>
          <w:trHeight w:val="243"/>
        </w:trPr>
        <w:tc>
          <w:tcPr>
            <w:tcW w:w="520" w:type="dxa"/>
            <w:vAlign w:val="bottom"/>
          </w:tcPr>
          <w:p>
            <w:pPr>
              <w:spacing w:after="0"/>
              <w:rPr>
                <w:sz w:val="21"/>
                <w:szCs w:val="21"/>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rPr>
              <w:t>other expenses incurred by the Executive in connection with such dispute.</w:t>
            </w:r>
          </w:p>
        </w:tc>
      </w:tr>
      <w:tr>
        <w:trPr>
          <w:trHeight w:val="389"/>
        </w:trPr>
        <w:tc>
          <w:tcPr>
            <w:tcW w:w="520" w:type="dxa"/>
            <w:vAlign w:val="bottom"/>
          </w:tcPr>
          <w:p>
            <w:pPr>
              <w:jc w:val="right"/>
              <w:ind w:right="184"/>
              <w:spacing w:after="0"/>
              <w:rPr>
                <w:sz w:val="20"/>
                <w:szCs w:val="20"/>
                <w:color w:val="auto"/>
              </w:rPr>
            </w:pPr>
            <w:r>
              <w:rPr>
                <w:rFonts w:ascii="Arial" w:cs="Arial" w:eastAsia="Arial" w:hAnsi="Arial"/>
                <w:sz w:val="19"/>
                <w:szCs w:val="19"/>
                <w:color w:val="auto"/>
                <w:w w:val="83"/>
              </w:rPr>
              <w:t>17.</w:t>
            </w:r>
          </w:p>
        </w:tc>
        <w:tc>
          <w:tcPr>
            <w:tcW w:w="110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9"/>
                <w:szCs w:val="19"/>
                <w:color w:val="auto"/>
                <w:w w:val="95"/>
              </w:rPr>
              <w:t>Acknowledgement.  The Executive acknowledges (a) that the Executive has consulted with or has had the opportunity to</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w w:val="96"/>
              </w:rPr>
              <w:t>consult with independent counsel of the Executive’s own choice concerning this Agreement and has been advised to do so by the</w:t>
            </w:r>
          </w:p>
        </w:tc>
      </w:tr>
      <w:tr>
        <w:trPr>
          <w:trHeight w:val="223"/>
        </w:trPr>
        <w:tc>
          <w:tcPr>
            <w:tcW w:w="520" w:type="dxa"/>
            <w:vAlign w:val="bottom"/>
          </w:tcPr>
          <w:p>
            <w:pPr>
              <w:spacing w:after="0"/>
              <w:rPr>
                <w:sz w:val="19"/>
                <w:szCs w:val="19"/>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w w:val="93"/>
              </w:rPr>
              <w:t>Company, and (b) that the Executive has read and understands the Agreement, is fully aware of its legal effect, and has entered into it</w:t>
            </w:r>
          </w:p>
        </w:tc>
      </w:tr>
      <w:tr>
        <w:trPr>
          <w:trHeight w:val="243"/>
        </w:trPr>
        <w:tc>
          <w:tcPr>
            <w:tcW w:w="520" w:type="dxa"/>
            <w:vAlign w:val="bottom"/>
          </w:tcPr>
          <w:p>
            <w:pPr>
              <w:spacing w:after="0"/>
              <w:rPr>
                <w:sz w:val="21"/>
                <w:szCs w:val="21"/>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rPr>
              <w:t>freely based on the Executive’s own judgment.</w:t>
            </w:r>
          </w:p>
        </w:tc>
      </w:tr>
      <w:tr>
        <w:trPr>
          <w:trHeight w:val="389"/>
        </w:trPr>
        <w:tc>
          <w:tcPr>
            <w:tcW w:w="520" w:type="dxa"/>
            <w:vAlign w:val="bottom"/>
          </w:tcPr>
          <w:p>
            <w:pPr>
              <w:jc w:val="right"/>
              <w:ind w:right="184"/>
              <w:spacing w:after="0"/>
              <w:rPr>
                <w:sz w:val="20"/>
                <w:szCs w:val="20"/>
                <w:color w:val="auto"/>
              </w:rPr>
            </w:pPr>
            <w:r>
              <w:rPr>
                <w:rFonts w:ascii="Arial" w:cs="Arial" w:eastAsia="Arial" w:hAnsi="Arial"/>
                <w:sz w:val="19"/>
                <w:szCs w:val="19"/>
                <w:color w:val="auto"/>
                <w:w w:val="83"/>
              </w:rPr>
              <w:t>18.</w:t>
            </w:r>
          </w:p>
        </w:tc>
        <w:tc>
          <w:tcPr>
            <w:tcW w:w="110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9"/>
                <w:szCs w:val="19"/>
                <w:color w:val="auto"/>
                <w:w w:val="92"/>
              </w:rPr>
              <w:t>Counterparts. This Agreement may be executed in several counterparts, each of which shall be deemed to be an original, but</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225"/>
        </w:trPr>
        <w:tc>
          <w:tcPr>
            <w:tcW w:w="520" w:type="dxa"/>
            <w:vAlign w:val="bottom"/>
          </w:tcPr>
          <w:p>
            <w:pPr>
              <w:spacing w:after="0"/>
              <w:rPr>
                <w:sz w:val="19"/>
                <w:szCs w:val="19"/>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w w:val="94"/>
              </w:rPr>
              <w:t>all of which together will constitute one and the same Agreement. Signatures delivered by facsimile or in .pdf format shall be deemed</w:t>
            </w:r>
          </w:p>
        </w:tc>
      </w:tr>
      <w:tr>
        <w:trPr>
          <w:trHeight w:val="243"/>
        </w:trPr>
        <w:tc>
          <w:tcPr>
            <w:tcW w:w="520" w:type="dxa"/>
            <w:vAlign w:val="bottom"/>
          </w:tcPr>
          <w:p>
            <w:pPr>
              <w:spacing w:after="0"/>
              <w:rPr>
                <w:sz w:val="21"/>
                <w:szCs w:val="21"/>
                <w:color w:val="auto"/>
              </w:rPr>
            </w:pPr>
          </w:p>
        </w:tc>
        <w:tc>
          <w:tcPr>
            <w:tcW w:w="10820" w:type="dxa"/>
            <w:vAlign w:val="bottom"/>
            <w:gridSpan w:val="6"/>
          </w:tcPr>
          <w:p>
            <w:pPr>
              <w:ind w:left="280"/>
              <w:spacing w:after="0"/>
              <w:rPr>
                <w:sz w:val="20"/>
                <w:szCs w:val="20"/>
                <w:color w:val="auto"/>
              </w:rPr>
            </w:pPr>
            <w:r>
              <w:rPr>
                <w:rFonts w:ascii="Arial" w:cs="Arial" w:eastAsia="Arial" w:hAnsi="Arial"/>
                <w:sz w:val="19"/>
                <w:szCs w:val="19"/>
                <w:color w:val="auto"/>
              </w:rPr>
              <w:t>effective for all purposes.</w:t>
            </w:r>
          </w:p>
        </w:tc>
      </w:tr>
    </w:tbl>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246380</wp:posOffset>
            </wp:positionV>
            <wp:extent cx="729297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40"/>
          </w:cols>
          <w:pgMar w:left="320" w:top="327" w:right="239" w:bottom="1440" w:gutter="0" w:footer="0" w:header="0"/>
        </w:sectPr>
      </w:pPr>
    </w:p>
    <w:bookmarkStart w:id="168" w:name="page169"/>
    <w:bookmarkEnd w:id="168"/>
    <w:p>
      <w:pPr>
        <w:ind w:left="240"/>
        <w:spacing w:after="0"/>
        <w:rPr>
          <w:sz w:val="20"/>
          <w:szCs w:val="20"/>
          <w:color w:val="auto"/>
        </w:rPr>
      </w:pPr>
      <w:r>
        <w:rPr>
          <w:rFonts w:ascii="Arial" w:cs="Arial" w:eastAsia="Arial" w:hAnsi="Arial"/>
          <w:sz w:val="17"/>
          <w:szCs w:val="17"/>
          <w:color w:val="auto"/>
        </w:rPr>
        <w:t>IN WITNESS WHEREOF, the parties have executed this Agreement as of the day and year first written.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EXECUTIVE: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REIT:</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CORECIVIC, INC.</w:t>
      </w:r>
    </w:p>
    <w:p>
      <w:pPr>
        <w:spacing w:after="0" w:line="200" w:lineRule="exact"/>
        <w:rPr>
          <w:sz w:val="20"/>
          <w:szCs w:val="20"/>
          <w:color w:val="auto"/>
        </w:rPr>
      </w:pPr>
    </w:p>
    <w:p>
      <w:pPr>
        <w:spacing w:after="0" w:line="249"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Name:</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EMPLOYER:</w:t>
      </w: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CORECIVIC OF TENNESSEE, LLC</w:t>
      </w:r>
    </w:p>
    <w:p>
      <w:pPr>
        <w:spacing w:after="0" w:line="200" w:lineRule="exact"/>
        <w:rPr>
          <w:sz w:val="20"/>
          <w:szCs w:val="20"/>
          <w:color w:val="auto"/>
        </w:rPr>
      </w:pPr>
    </w:p>
    <w:p>
      <w:pPr>
        <w:spacing w:after="0" w:line="236"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Name:</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246380</wp:posOffset>
            </wp:positionV>
            <wp:extent cx="729297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9579"/>
          </w:cols>
          <w:pgMar w:left="880" w:top="346"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9"/>
          <w:szCs w:val="19"/>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Release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WAIVER AND RELEASE OF CLAIMS</w:t>
      </w:r>
    </w:p>
    <w:p>
      <w:pPr>
        <w:spacing w:after="0" w:line="220"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u w:val="single" w:color="auto"/>
          <w:color w:val="auto"/>
        </w:rPr>
        <w:t>General Release</w:t>
      </w:r>
      <w:r>
        <w:rPr>
          <w:rFonts w:ascii="Arial" w:cs="Arial" w:eastAsia="Arial" w:hAnsi="Arial"/>
          <w:sz w:val="17"/>
          <w:szCs w:val="17"/>
          <w:color w:val="auto"/>
        </w:rPr>
        <w:t>. In consideration of the payments and benefits to be made under the Employment Agreement, dated as of</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 20__, to which CoreCivic, Inc. (the “</w:t>
      </w:r>
      <w:r>
        <w:rPr>
          <w:rFonts w:ascii="Arial" w:cs="Arial" w:eastAsia="Arial" w:hAnsi="Arial"/>
          <w:sz w:val="18"/>
          <w:szCs w:val="18"/>
          <w:u w:val="single" w:color="auto"/>
          <w:color w:val="auto"/>
        </w:rPr>
        <w:t>REIT</w:t>
      </w:r>
      <w:r>
        <w:rPr>
          <w:rFonts w:ascii="Arial" w:cs="Arial" w:eastAsia="Arial" w:hAnsi="Arial"/>
          <w:sz w:val="18"/>
          <w:szCs w:val="18"/>
          <w:color w:val="auto"/>
        </w:rPr>
        <w:t>”), CoreCivic of Tennessee, LLC (“</w:t>
      </w:r>
      <w:r>
        <w:rPr>
          <w:rFonts w:ascii="Arial" w:cs="Arial" w:eastAsia="Arial" w:hAnsi="Arial"/>
          <w:sz w:val="18"/>
          <w:szCs w:val="18"/>
          <w:u w:val="single" w:color="auto"/>
          <w:color w:val="auto"/>
        </w:rPr>
        <w:t>Employer</w:t>
      </w:r>
      <w:r>
        <w:rPr>
          <w:rFonts w:ascii="Arial" w:cs="Arial" w:eastAsia="Arial" w:hAnsi="Arial"/>
          <w:sz w:val="18"/>
          <w:szCs w:val="18"/>
          <w:color w:val="auto"/>
        </w:rPr>
        <w:t>” and, together with the REIT,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_______________________ (the “</w:t>
      </w:r>
      <w:r>
        <w:rPr>
          <w:rFonts w:ascii="Arial" w:cs="Arial" w:eastAsia="Arial" w:hAnsi="Arial"/>
          <w:sz w:val="18"/>
          <w:szCs w:val="18"/>
          <w:u w:val="single" w:color="auto"/>
          <w:color w:val="auto"/>
        </w:rPr>
        <w:t>Executive</w:t>
      </w:r>
      <w:r>
        <w:rPr>
          <w:rFonts w:ascii="Arial" w:cs="Arial" w:eastAsia="Arial" w:hAnsi="Arial"/>
          <w:sz w:val="18"/>
          <w:szCs w:val="18"/>
          <w:color w:val="auto"/>
        </w:rPr>
        <w:t>”) are parties (the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with the intention of</w:t>
      </w:r>
    </w:p>
    <w:p>
      <w:pPr>
        <w:spacing w:after="0" w:line="16" w:lineRule="exact"/>
        <w:rPr>
          <w:sz w:val="20"/>
          <w:szCs w:val="20"/>
          <w:color w:val="auto"/>
        </w:rPr>
      </w:pPr>
    </w:p>
    <w:p>
      <w:pPr>
        <w:jc w:val="both"/>
        <w:ind w:left="880"/>
        <w:spacing w:after="0" w:line="275" w:lineRule="auto"/>
        <w:rPr>
          <w:sz w:val="20"/>
          <w:szCs w:val="20"/>
          <w:color w:val="auto"/>
        </w:rPr>
      </w:pPr>
      <w:r>
        <w:rPr>
          <w:rFonts w:ascii="Arial" w:cs="Arial" w:eastAsia="Arial" w:hAnsi="Arial"/>
          <w:sz w:val="17"/>
          <w:szCs w:val="17"/>
          <w:color w:val="auto"/>
        </w:rPr>
        <w:t>binding the Executive and the Executive’s heirs, executors, administrators and assigns, does hereby release, remise, acquit and forever discharge the Company and its parents, subsidiaries and affiliates (collectively, the “</w:t>
      </w:r>
      <w:r>
        <w:rPr>
          <w:rFonts w:ascii="Arial" w:cs="Arial" w:eastAsia="Arial" w:hAnsi="Arial"/>
          <w:sz w:val="17"/>
          <w:szCs w:val="17"/>
          <w:u w:val="single" w:color="auto"/>
          <w:color w:val="auto"/>
        </w:rPr>
        <w:t>Company Affiliated Group</w:t>
      </w:r>
      <w:r>
        <w:rPr>
          <w:rFonts w:ascii="Arial" w:cs="Arial" w:eastAsia="Arial" w:hAnsi="Arial"/>
          <w:sz w:val="17"/>
          <w:szCs w:val="17"/>
          <w:color w:val="auto"/>
        </w:rPr>
        <w:t>”), their present and former officers, directors, executives, agents, shareholders, attorneys, employees and employee benefits plans (and the fiduciaries thereof), and the successors, predecessors and assigns of each of the foregoing (collectively, the “</w:t>
      </w:r>
      <w:r>
        <w:rPr>
          <w:rFonts w:ascii="Arial" w:cs="Arial" w:eastAsia="Arial" w:hAnsi="Arial"/>
          <w:sz w:val="17"/>
          <w:szCs w:val="17"/>
          <w:u w:val="single" w:color="auto"/>
          <w:color w:val="auto"/>
        </w:rPr>
        <w:t>Company Released Parties</w:t>
      </w:r>
      <w:r>
        <w:rPr>
          <w:rFonts w:ascii="Arial" w:cs="Arial" w:eastAsia="Arial" w:hAnsi="Arial"/>
          <w:sz w:val="17"/>
          <w:szCs w:val="17"/>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unknown, suspected or unsuspected which the Executive, individually or as a member of a class, now has, owns or holds, or has at any time heretofore had, owned or held, against any Company Released Party (an “</w:t>
      </w:r>
      <w:r>
        <w:rPr>
          <w:rFonts w:ascii="Arial" w:cs="Arial" w:eastAsia="Arial" w:hAnsi="Arial"/>
          <w:sz w:val="17"/>
          <w:szCs w:val="17"/>
          <w:u w:val="single" w:color="auto"/>
          <w:color w:val="auto"/>
        </w:rPr>
        <w:t>Action</w:t>
      </w:r>
      <w:r>
        <w:rPr>
          <w:rFonts w:ascii="Arial" w:cs="Arial" w:eastAsia="Arial" w:hAnsi="Arial"/>
          <w:sz w:val="17"/>
          <w:szCs w:val="17"/>
          <w:color w:val="auto"/>
        </w:rPr>
        <w:t>”) arising out of or in connection with the Executive’s service as an employee, officer and/or director to any member of the Company Affiliated Group (or the predecessors thereof), including (i)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and (iv) for any violation of applicable state and local labor and employment laws (including, without limitation, all laws concerning harassment, discrimination, retaliation and other unlawful or unfair labor and employment practices), any and all Actions based on the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any penalties, taxes or interest assessed under Section 409A of the Code and any and all Actions arising under the civil rights laws of any federal, state or local jurisdiction, including, without limitation, Title VII of the Civil Rights Act of 1964 (“</w:t>
      </w:r>
      <w:r>
        <w:rPr>
          <w:rFonts w:ascii="Arial" w:cs="Arial" w:eastAsia="Arial" w:hAnsi="Arial"/>
          <w:sz w:val="17"/>
          <w:szCs w:val="17"/>
          <w:u w:val="single" w:color="auto"/>
          <w:color w:val="auto"/>
        </w:rPr>
        <w:t>Title VII</w:t>
      </w:r>
      <w:r>
        <w:rPr>
          <w:rFonts w:ascii="Arial" w:cs="Arial" w:eastAsia="Arial" w:hAnsi="Arial"/>
          <w:sz w:val="17"/>
          <w:szCs w:val="17"/>
          <w:color w:val="auto"/>
        </w:rPr>
        <w:t>”), the Americans with Disabilities Act (“</w:t>
      </w:r>
      <w:r>
        <w:rPr>
          <w:rFonts w:ascii="Arial" w:cs="Arial" w:eastAsia="Arial" w:hAnsi="Arial"/>
          <w:sz w:val="17"/>
          <w:szCs w:val="17"/>
          <w:u w:val="single" w:color="auto"/>
          <w:color w:val="auto"/>
        </w:rPr>
        <w:t>ADA</w:t>
      </w:r>
      <w:r>
        <w:rPr>
          <w:rFonts w:ascii="Arial" w:cs="Arial" w:eastAsia="Arial" w:hAnsi="Arial"/>
          <w:sz w:val="17"/>
          <w:szCs w:val="17"/>
          <w:color w:val="auto"/>
        </w:rPr>
        <w:t>”), Sections 503 and 504 of the Rehabilitation Act, the Family and Medical Leave Act and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w:t>
      </w:r>
    </w:p>
    <w:p>
      <w:pPr>
        <w:spacing w:after="0" w:line="393" w:lineRule="exact"/>
        <w:rPr>
          <w:sz w:val="20"/>
          <w:szCs w:val="20"/>
          <w:color w:val="auto"/>
        </w:rPr>
      </w:pPr>
    </w:p>
    <w:p>
      <w:pPr>
        <w:ind w:left="1660" w:hanging="777"/>
        <w:spacing w:after="0"/>
        <w:tabs>
          <w:tab w:leader="none" w:pos="166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Scope and Limitations of Waiver and Release of Claims</w:t>
      </w:r>
      <w:r>
        <w:rPr>
          <w:rFonts w:ascii="Arial" w:cs="Arial" w:eastAsia="Arial" w:hAnsi="Arial"/>
          <w:sz w:val="17"/>
          <w:szCs w:val="17"/>
          <w:color w:val="auto"/>
        </w:rPr>
        <w:t>. Nothing in this Waiver and Release of Claims is intended to waive:</w:t>
      </w:r>
    </w:p>
    <w:p>
      <w:pPr>
        <w:spacing w:after="0" w:line="236" w:lineRule="exact"/>
        <w:rPr>
          <w:rFonts w:ascii="Arial" w:cs="Arial" w:eastAsia="Arial" w:hAnsi="Arial"/>
          <w:sz w:val="17"/>
          <w:szCs w:val="17"/>
          <w:color w:val="auto"/>
        </w:rPr>
      </w:pPr>
    </w:p>
    <w:p>
      <w:pPr>
        <w:ind w:left="2660" w:hanging="899"/>
        <w:spacing w:after="0"/>
        <w:tabs>
          <w:tab w:leader="none" w:pos="26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claims for unemployment or workers’ compensation benefits,</w:t>
      </w:r>
    </w:p>
    <w:p>
      <w:pPr>
        <w:spacing w:after="0" w:line="226" w:lineRule="exact"/>
        <w:rPr>
          <w:rFonts w:ascii="Arial" w:cs="Arial" w:eastAsia="Arial" w:hAnsi="Arial"/>
          <w:sz w:val="19"/>
          <w:szCs w:val="19"/>
          <w:color w:val="auto"/>
        </w:rPr>
      </w:pPr>
    </w:p>
    <w:p>
      <w:pPr>
        <w:ind w:left="2700" w:hanging="939"/>
        <w:spacing w:after="0"/>
        <w:tabs>
          <w:tab w:leader="none" w:pos="2700" w:val="left"/>
        </w:tabs>
        <w:numPr>
          <w:ilvl w:val="1"/>
          <w:numId w:val="76"/>
        </w:numPr>
        <w:rPr>
          <w:rFonts w:ascii="Arial" w:cs="Arial" w:eastAsia="Arial" w:hAnsi="Arial"/>
          <w:sz w:val="19"/>
          <w:szCs w:val="19"/>
          <w:color w:val="auto"/>
        </w:rPr>
      </w:pPr>
      <w:r>
        <w:rPr>
          <w:rFonts w:ascii="Arial" w:cs="Arial" w:eastAsia="Arial" w:hAnsi="Arial"/>
          <w:sz w:val="17"/>
          <w:szCs w:val="17"/>
          <w:color w:val="auto"/>
        </w:rPr>
        <w:t>rights of the Executive under this Waiver and Release of Claims and to severance payments and benefits under</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Section 5 of the Agreement;</w:t>
      </w:r>
    </w:p>
    <w:p>
      <w:pPr>
        <w:spacing w:after="0" w:line="197" w:lineRule="exact"/>
        <w:rPr>
          <w:rFonts w:ascii="Arial" w:cs="Arial" w:eastAsia="Arial" w:hAnsi="Arial"/>
          <w:sz w:val="19"/>
          <w:szCs w:val="19"/>
          <w:color w:val="auto"/>
        </w:rPr>
      </w:pPr>
    </w:p>
    <w:p>
      <w:pPr>
        <w:ind w:left="2660" w:hanging="899"/>
        <w:spacing w:after="0"/>
        <w:tabs>
          <w:tab w:leader="none" w:pos="26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rights of the Executive relating to equity awards held by the Executive as of the Executive’s date of termination;</w:t>
      </w:r>
    </w:p>
    <w:p>
      <w:pPr>
        <w:spacing w:after="0" w:line="236" w:lineRule="exact"/>
        <w:rPr>
          <w:rFonts w:ascii="Arial" w:cs="Arial" w:eastAsia="Arial" w:hAnsi="Arial"/>
          <w:sz w:val="17"/>
          <w:szCs w:val="17"/>
          <w:color w:val="auto"/>
        </w:rPr>
      </w:pPr>
    </w:p>
    <w:p>
      <w:pPr>
        <w:ind w:left="2660" w:hanging="899"/>
        <w:spacing w:after="0"/>
        <w:tabs>
          <w:tab w:leader="none" w:pos="26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right of the Executive to receive benefits required to be paid in accordance with applicable law;</w:t>
      </w:r>
    </w:p>
    <w:p>
      <w:pPr>
        <w:spacing w:after="0" w:line="213" w:lineRule="exact"/>
        <w:rPr>
          <w:rFonts w:ascii="Arial" w:cs="Arial" w:eastAsia="Arial" w:hAnsi="Arial"/>
          <w:sz w:val="19"/>
          <w:szCs w:val="19"/>
          <w:color w:val="auto"/>
        </w:rPr>
      </w:pPr>
    </w:p>
    <w:p>
      <w:pPr>
        <w:jc w:val="both"/>
        <w:ind w:firstLine="1761"/>
        <w:spacing w:after="0" w:line="331" w:lineRule="auto"/>
        <w:tabs>
          <w:tab w:leader="none" w:pos="2659" w:val="left"/>
        </w:tabs>
        <w:numPr>
          <w:ilvl w:val="1"/>
          <w:numId w:val="76"/>
        </w:numPr>
        <w:rPr>
          <w:rFonts w:ascii="Arial" w:cs="Arial" w:eastAsia="Arial" w:hAnsi="Arial"/>
          <w:sz w:val="17"/>
          <w:szCs w:val="17"/>
          <w:color w:val="auto"/>
        </w:rPr>
      </w:pPr>
      <w:r>
        <w:rPr>
          <w:rFonts w:ascii="Arial" w:cs="Arial" w:eastAsia="Arial" w:hAnsi="Arial"/>
          <w:sz w:val="17"/>
          <w:szCs w:val="17"/>
          <w:color w:val="auto"/>
        </w:rPr>
        <w:t>rights to indemnification the Executive may have (i) under applicable corporate law, (ii) under the by-laws or charter of any Company Released Party or (iii) as an insured under any director’s and officer’s liability insurance policy now or previously in force;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0" w:name="page171"/>
    <w:bookmarkEnd w:id="170"/>
    <w:p>
      <w:pPr>
        <w:jc w:val="both"/>
        <w:ind w:firstLine="1761"/>
        <w:spacing w:after="0" w:line="279" w:lineRule="auto"/>
        <w:tabs>
          <w:tab w:leader="none" w:pos="2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claims (i) for accrued or vested benefits under any health, disability, retirement, supplemental retirement, deferred compensation, life insurance or other, similar employee benefit plan or arrangement of the Company Affiliated Group and (ii) for earned but unused vacation pay through the date of termination in accordance with applicable policy of the Company Affiliated Group;</w:t>
      </w:r>
    </w:p>
    <w:p>
      <w:pPr>
        <w:spacing w:after="0" w:line="155" w:lineRule="exact"/>
        <w:rPr>
          <w:sz w:val="20"/>
          <w:szCs w:val="20"/>
          <w:color w:val="auto"/>
        </w:rPr>
      </w:pPr>
    </w:p>
    <w:p>
      <w:pPr>
        <w:ind w:left="1760"/>
        <w:spacing w:after="0" w:line="271" w:lineRule="auto"/>
        <w:rPr>
          <w:sz w:val="20"/>
          <w:szCs w:val="20"/>
          <w:color w:val="auto"/>
        </w:rPr>
      </w:pPr>
      <w:r>
        <w:rPr>
          <w:rFonts w:ascii="Arial" w:cs="Arial" w:eastAsia="Arial" w:hAnsi="Arial"/>
          <w:sz w:val="19"/>
          <w:szCs w:val="19"/>
          <w:color w:val="auto"/>
        </w:rPr>
        <w:t>(g claims for the reimbursement of unreimbursed business expenses incurred prior to the date of termination pursuant to applicable policy of the Company Affiliated Group;</w:t>
      </w:r>
    </w:p>
    <w:p>
      <w:pPr>
        <w:spacing w:after="0" w:line="174" w:lineRule="exact"/>
        <w:rPr>
          <w:sz w:val="20"/>
          <w:szCs w:val="20"/>
          <w:color w:val="auto"/>
        </w:rPr>
      </w:pPr>
    </w:p>
    <w:p>
      <w:pPr>
        <w:ind w:left="2620" w:hanging="859"/>
        <w:spacing w:after="0"/>
        <w:tabs>
          <w:tab w:leader="none" w:pos="26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rights of the Executive to challenge the validity of this Agreement under the ADEA or the OWBPA; or</w:t>
      </w:r>
    </w:p>
    <w:p>
      <w:pPr>
        <w:spacing w:after="0" w:line="226" w:lineRule="exact"/>
        <w:rPr>
          <w:rFonts w:ascii="Arial" w:cs="Arial" w:eastAsia="Arial" w:hAnsi="Arial"/>
          <w:sz w:val="19"/>
          <w:szCs w:val="19"/>
          <w:color w:val="auto"/>
        </w:rPr>
      </w:pPr>
    </w:p>
    <w:p>
      <w:pPr>
        <w:jc w:val="both"/>
        <w:ind w:left="1760" w:firstLine="1"/>
        <w:spacing w:after="0" w:line="264" w:lineRule="auto"/>
        <w:tabs>
          <w:tab w:leader="none" w:pos="26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rights of the Executive to file a charge or complaint with or from participating in an investigation or proceeding conducted by the Equal Employment Opportunity Commission, National Labor Relations Board, Occupational Safety and Health Administration, the Securities and Exchange Commission, or any other any federal, state or local agency charged with the enforcement of any laws, including providing documents or any other information, although by signing this Agreement Executive is waiving rights to individual relief (including backpay, frontpay, reinstatement or other legal or equitable relief) in any charge, complaint, or lawsuit or other proceeding brought by Executive or on Executive’s behalf by any third party, except for any right Executive may have to receive a payment from a government agency (and not the Company) for information provided to the government agency.</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3.</w:t>
            </w:r>
          </w:p>
        </w:tc>
        <w:tc>
          <w:tcPr>
            <w:tcW w:w="1160" w:type="dxa"/>
            <w:vAlign w:val="bottom"/>
          </w:tcPr>
          <w:p>
            <w:pPr>
              <w:spacing w:after="0"/>
              <w:rPr>
                <w:sz w:val="18"/>
                <w:szCs w:val="18"/>
                <w:color w:val="auto"/>
              </w:rPr>
            </w:pPr>
          </w:p>
        </w:tc>
        <w:tc>
          <w:tcPr>
            <w:tcW w:w="9720" w:type="dxa"/>
            <w:vAlign w:val="bottom"/>
            <w:gridSpan w:val="4"/>
          </w:tcPr>
          <w:p>
            <w:pPr>
              <w:spacing w:after="0"/>
              <w:rPr>
                <w:sz w:val="20"/>
                <w:szCs w:val="20"/>
                <w:color w:val="auto"/>
              </w:rPr>
            </w:pPr>
            <w:r>
              <w:rPr>
                <w:rFonts w:ascii="Arial" w:cs="Arial" w:eastAsia="Arial" w:hAnsi="Arial"/>
                <w:sz w:val="19"/>
                <w:szCs w:val="19"/>
                <w:color w:val="auto"/>
                <w:w w:val="91"/>
              </w:rPr>
              <w:t>No Admissions, Complaints or Other Claims. The Executive acknowledges and agrees that this Waiver and Release of Claims</w:t>
            </w:r>
          </w:p>
        </w:tc>
      </w:tr>
      <w:tr>
        <w:trPr>
          <w:trHeight w:val="20"/>
        </w:trPr>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3"/>
              </w:rPr>
              <w:t>is not to be construed in any way as an admission of any liability whatsoever by any Company Released Party, any such liability being</w:t>
            </w:r>
          </w:p>
        </w:tc>
      </w:tr>
      <w:tr>
        <w:trPr>
          <w:trHeight w:val="223"/>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3"/>
              </w:rPr>
              <w:t>expressly denied. The Executive also acknowledges and agrees that the Executive has not, with respect to any transaction or state of</w:t>
            </w:r>
          </w:p>
        </w:tc>
      </w:tr>
      <w:tr>
        <w:trPr>
          <w:trHeight w:val="223"/>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4"/>
              </w:rPr>
              <w:t>facts existing prior to the date hereof, filed any Actions against any Company Released Party with any governmental agency, court or</w:t>
            </w:r>
          </w:p>
        </w:tc>
      </w:tr>
      <w:tr>
        <w:trPr>
          <w:trHeight w:val="243"/>
        </w:trPr>
        <w:tc>
          <w:tcPr>
            <w:tcW w:w="460" w:type="dxa"/>
            <w:vAlign w:val="bottom"/>
          </w:tcPr>
          <w:p>
            <w:pPr>
              <w:spacing w:after="0"/>
              <w:rPr>
                <w:sz w:val="21"/>
                <w:szCs w:val="21"/>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rPr>
              <w:t>tribunal.</w:t>
            </w:r>
          </w:p>
        </w:tc>
      </w:tr>
      <w:tr>
        <w:trPr>
          <w:trHeight w:val="389"/>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4.</w:t>
            </w:r>
          </w:p>
        </w:tc>
        <w:tc>
          <w:tcPr>
            <w:tcW w:w="116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9"/>
                <w:szCs w:val="19"/>
                <w:color w:val="auto"/>
                <w:w w:val="95"/>
              </w:rPr>
              <w:t>Application to all Forms of Relief. This Waiver and Release of Claims applies to any relief no matter how called, including,</w:t>
            </w:r>
          </w:p>
        </w:tc>
      </w:tr>
      <w:tr>
        <w:trPr>
          <w:trHeight w:val="20"/>
        </w:trPr>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1"/>
              </w:rPr>
              <w:t>without limitation, wages, back pay, front pay, compensatory damages, liquidated damages, punitive damages for pain or suffering, costs</w:t>
            </w:r>
          </w:p>
        </w:tc>
      </w:tr>
      <w:tr>
        <w:trPr>
          <w:trHeight w:val="243"/>
        </w:trPr>
        <w:tc>
          <w:tcPr>
            <w:tcW w:w="460" w:type="dxa"/>
            <w:vAlign w:val="bottom"/>
          </w:tcPr>
          <w:p>
            <w:pPr>
              <w:spacing w:after="0"/>
              <w:rPr>
                <w:sz w:val="21"/>
                <w:szCs w:val="21"/>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rPr>
              <w:t>and attorney’s fees and expenses.</w:t>
            </w:r>
          </w:p>
        </w:tc>
      </w:tr>
      <w:tr>
        <w:trPr>
          <w:trHeight w:val="389"/>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5.</w:t>
            </w:r>
          </w:p>
        </w:tc>
        <w:tc>
          <w:tcPr>
            <w:tcW w:w="116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9"/>
                <w:szCs w:val="19"/>
                <w:color w:val="auto"/>
                <w:w w:val="95"/>
              </w:rPr>
              <w:t>Specific Waiver. The Executive specifically acknowledges that the Executive’s acceptance of the terms of this Waiver and</w:t>
            </w:r>
          </w:p>
        </w:tc>
      </w:tr>
      <w:tr>
        <w:trPr>
          <w:trHeight w:val="20"/>
        </w:trPr>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5"/>
              </w:rPr>
              <w:t>Release of Claims is, among other things, a specific waiver of any and all Actions under Title VII, ADEA, ADA and any state or local</w:t>
            </w:r>
          </w:p>
        </w:tc>
      </w:tr>
      <w:tr>
        <w:trPr>
          <w:trHeight w:val="223"/>
        </w:trPr>
        <w:tc>
          <w:tcPr>
            <w:tcW w:w="460" w:type="dxa"/>
            <w:vAlign w:val="bottom"/>
          </w:tcPr>
          <w:p>
            <w:pPr>
              <w:spacing w:after="0"/>
              <w:rPr>
                <w:sz w:val="19"/>
                <w:szCs w:val="19"/>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5"/>
              </w:rPr>
              <w:t xml:space="preserve">law or regulation in respect of discrimination of any kind; </w:t>
            </w:r>
            <w:r>
              <w:rPr>
                <w:rFonts w:ascii="Arial" w:cs="Arial" w:eastAsia="Arial" w:hAnsi="Arial"/>
                <w:sz w:val="19"/>
                <w:szCs w:val="19"/>
                <w:i w:val="1"/>
                <w:iCs w:val="1"/>
                <w:color w:val="auto"/>
                <w:w w:val="95"/>
              </w:rPr>
              <w:t>provided, however</w:t>
            </w:r>
            <w:r>
              <w:rPr>
                <w:rFonts w:ascii="Arial" w:cs="Arial" w:eastAsia="Arial" w:hAnsi="Arial"/>
                <w:sz w:val="19"/>
                <w:szCs w:val="19"/>
                <w:color w:val="auto"/>
                <w:w w:val="95"/>
              </w:rPr>
              <w:t>, that nothing herein shall be deemed, nor does anything</w:t>
            </w:r>
          </w:p>
        </w:tc>
      </w:tr>
      <w:tr>
        <w:trPr>
          <w:trHeight w:val="243"/>
        </w:trPr>
        <w:tc>
          <w:tcPr>
            <w:tcW w:w="460" w:type="dxa"/>
            <w:vAlign w:val="bottom"/>
          </w:tcPr>
          <w:p>
            <w:pPr>
              <w:spacing w:after="0"/>
              <w:rPr>
                <w:sz w:val="21"/>
                <w:szCs w:val="21"/>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9"/>
              </w:rPr>
              <w:t>herein purport, to be a waiver of any right or Action which by law the Executive is not permitted to waive under applicable law.</w:t>
            </w:r>
          </w:p>
        </w:tc>
      </w:tr>
      <w:tr>
        <w:trPr>
          <w:trHeight w:val="412"/>
        </w:trPr>
        <w:tc>
          <w:tcPr>
            <w:tcW w:w="460" w:type="dxa"/>
            <w:vAlign w:val="bottom"/>
          </w:tcPr>
          <w:p>
            <w:pPr>
              <w:jc w:val="right"/>
              <w:ind w:right="224"/>
              <w:spacing w:after="0"/>
              <w:rPr>
                <w:sz w:val="20"/>
                <w:szCs w:val="20"/>
                <w:color w:val="auto"/>
              </w:rPr>
            </w:pPr>
            <w:r>
              <w:rPr>
                <w:rFonts w:ascii="Arial" w:cs="Arial" w:eastAsia="Arial" w:hAnsi="Arial"/>
                <w:sz w:val="19"/>
                <w:szCs w:val="19"/>
                <w:color w:val="auto"/>
                <w:w w:val="75"/>
              </w:rPr>
              <w:t>6.</w:t>
            </w:r>
          </w:p>
        </w:tc>
        <w:tc>
          <w:tcPr>
            <w:tcW w:w="116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9"/>
                <w:szCs w:val="19"/>
                <w:color w:val="auto"/>
                <w:w w:val="92"/>
              </w:rPr>
              <w:t>Acknowledgement Executive acknowledges (i) receipt of all compensation and benefits due through the Termination Date as</w:t>
            </w:r>
          </w:p>
        </w:tc>
      </w:tr>
      <w:tr>
        <w:trPr>
          <w:trHeight w:val="239"/>
        </w:trPr>
        <w:tc>
          <w:tcPr>
            <w:tcW w:w="460" w:type="dxa"/>
            <w:vAlign w:val="bottom"/>
          </w:tcPr>
          <w:p>
            <w:pPr>
              <w:spacing w:after="0"/>
              <w:rPr>
                <w:sz w:val="20"/>
                <w:szCs w:val="20"/>
                <w:color w:val="auto"/>
              </w:rPr>
            </w:pPr>
          </w:p>
        </w:tc>
        <w:tc>
          <w:tcPr>
            <w:tcW w:w="10880" w:type="dxa"/>
            <w:vAlign w:val="bottom"/>
            <w:gridSpan w:val="5"/>
          </w:tcPr>
          <w:p>
            <w:pPr>
              <w:ind w:left="340"/>
              <w:spacing w:after="0"/>
              <w:rPr>
                <w:sz w:val="20"/>
                <w:szCs w:val="20"/>
                <w:color w:val="auto"/>
              </w:rPr>
            </w:pPr>
            <w:r>
              <w:rPr>
                <w:rFonts w:ascii="Arial" w:cs="Arial" w:eastAsia="Arial" w:hAnsi="Arial"/>
                <w:sz w:val="19"/>
                <w:szCs w:val="19"/>
                <w:color w:val="auto"/>
                <w:w w:val="93"/>
              </w:rPr>
              <w:t>a result of services performed for the Company with the receipt of a final paycheck except as provided in this Agreement; (ii) Executive</w:t>
            </w:r>
          </w:p>
        </w:tc>
      </w:tr>
    </w:tbl>
    <w:p>
      <w:pPr>
        <w:jc w:val="both"/>
        <w:ind w:left="880"/>
        <w:spacing w:after="0" w:line="246" w:lineRule="auto"/>
        <w:rPr>
          <w:sz w:val="20"/>
          <w:szCs w:val="20"/>
          <w:color w:val="auto"/>
        </w:rPr>
      </w:pPr>
      <w:r>
        <w:rPr>
          <w:rFonts w:ascii="Arial" w:cs="Arial" w:eastAsia="Arial" w:hAnsi="Arial"/>
          <w:sz w:val="19"/>
          <w:szCs w:val="19"/>
          <w:color w:val="auto"/>
        </w:rPr>
        <w:t>has reported to the Company any and all work-related injuries incurred during employment; (iii) the Company properly provided any leave of absence because of Executive’s or a family member’s health condition and Executive has not been subjected to any improper treatment, conduct or actions due to a request for or taking such leave; (iv) Executive has had the opportunity to provide the Company with written notice of any and all concerns regarding suspected ethical and compliance issues or violations on the part of the Company or any other Company Released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40" w:type="dxa"/>
            <w:vAlign w:val="bottom"/>
            <w:gridSpan w:val="6"/>
          </w:tcPr>
          <w:p>
            <w:pPr>
              <w:spacing w:after="0"/>
              <w:rPr>
                <w:sz w:val="20"/>
                <w:szCs w:val="20"/>
                <w:color w:val="auto"/>
              </w:rPr>
            </w:pPr>
            <w:r>
              <w:rPr>
                <w:rFonts w:ascii="Arial" w:cs="Arial" w:eastAsia="Arial" w:hAnsi="Arial"/>
                <w:sz w:val="19"/>
                <w:szCs w:val="19"/>
                <w:color w:val="auto"/>
                <w:w w:val="93"/>
              </w:rPr>
              <w:t>Parties; and (v) Executive has reported any pending judicial or administrative complaints, claims, or actions filed against the</w:t>
            </w:r>
          </w:p>
        </w:tc>
      </w:tr>
      <w:tr>
        <w:trPr>
          <w:trHeight w:val="200"/>
        </w:trPr>
        <w:tc>
          <w:tcPr>
            <w:tcW w:w="600" w:type="dxa"/>
            <w:vAlign w:val="bottom"/>
          </w:tcPr>
          <w:p>
            <w:pPr>
              <w:spacing w:after="0"/>
              <w:rPr>
                <w:sz w:val="17"/>
                <w:szCs w:val="17"/>
                <w:color w:val="auto"/>
              </w:rPr>
            </w:pPr>
          </w:p>
        </w:tc>
        <w:tc>
          <w:tcPr>
            <w:tcW w:w="10840" w:type="dxa"/>
            <w:vAlign w:val="bottom"/>
            <w:gridSpan w:val="7"/>
          </w:tcPr>
          <w:p>
            <w:pPr>
              <w:ind w:left="280"/>
              <w:spacing w:after="0" w:line="200" w:lineRule="exact"/>
              <w:rPr>
                <w:sz w:val="20"/>
                <w:szCs w:val="20"/>
                <w:color w:val="auto"/>
              </w:rPr>
            </w:pPr>
            <w:r>
              <w:rPr>
                <w:rFonts w:ascii="Arial" w:cs="Arial" w:eastAsia="Arial" w:hAnsi="Arial"/>
                <w:sz w:val="19"/>
                <w:szCs w:val="19"/>
                <w:color w:val="auto"/>
                <w:w w:val="90"/>
              </w:rPr>
              <w:t>Company or any other Company Released Parties.7. Voluntariness. The Executive acknowledges and agrees that the Executive is relying</w:t>
            </w:r>
          </w:p>
        </w:tc>
      </w:tr>
      <w:tr>
        <w:trPr>
          <w:trHeight w:val="20"/>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25"/>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solely upon the Executive’s own judgment; that the Executive is over eighteen years of age and is legally competent to sign this Waiver</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8"/>
              </w:rPr>
              <w:t>and Release of Claims; that the Executive is signing this Waiver and Release of Claims of the Executive’s own free will; that the</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1"/>
              </w:rPr>
              <w:t>Executive has read and understood the Waiver and Release of Claims before signing it; and that the Executive is signing this Waiver and</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Release of Claims in exchange for consideration that the Executive believes is satisfactory and adequate. In accordance with the Older</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6"/>
              </w:rPr>
              <w:t>Workers Benefit Protection Act of 1990, the Executive also acknowledges and agrees that the Executive has been informed of the</w:t>
            </w:r>
          </w:p>
        </w:tc>
      </w:tr>
      <w:tr>
        <w:trPr>
          <w:trHeight w:val="243"/>
        </w:trPr>
        <w:tc>
          <w:tcPr>
            <w:tcW w:w="600" w:type="dxa"/>
            <w:vAlign w:val="bottom"/>
          </w:tcPr>
          <w:p>
            <w:pPr>
              <w:spacing w:after="0"/>
              <w:rPr>
                <w:sz w:val="21"/>
                <w:szCs w:val="21"/>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Executive’s right to consult with legal counsel prior to executing this Waiver and Release of Claims and has been encouraged to do so.</w:t>
            </w:r>
          </w:p>
        </w:tc>
      </w:tr>
      <w:tr>
        <w:trPr>
          <w:trHeight w:val="389"/>
        </w:trPr>
        <w:tc>
          <w:tcPr>
            <w:tcW w:w="600" w:type="dxa"/>
            <w:vAlign w:val="bottom"/>
          </w:tcPr>
          <w:p>
            <w:pPr>
              <w:ind w:left="80"/>
              <w:spacing w:after="0"/>
              <w:rPr>
                <w:sz w:val="20"/>
                <w:szCs w:val="20"/>
                <w:color w:val="auto"/>
              </w:rPr>
            </w:pPr>
            <w:r>
              <w:rPr>
                <w:rFonts w:ascii="Arial" w:cs="Arial" w:eastAsia="Arial" w:hAnsi="Arial"/>
                <w:sz w:val="19"/>
                <w:szCs w:val="19"/>
                <w:color w:val="auto"/>
              </w:rPr>
              <w:t>8.</w:t>
            </w:r>
          </w:p>
        </w:tc>
        <w:tc>
          <w:tcPr>
            <w:tcW w:w="110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9"/>
                <w:szCs w:val="19"/>
                <w:color w:val="auto"/>
                <w:w w:val="92"/>
              </w:rPr>
              <w:t>Complete Agreement/Severability. This Waiver and Release of Claims constitutes the complete and final agreement between</w:t>
            </w:r>
          </w:p>
        </w:tc>
      </w:tr>
      <w:tr>
        <w:trPr>
          <w:trHeight w:val="20"/>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r>
      <w:tr>
        <w:trPr>
          <w:trHeight w:val="225"/>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the parties and supersedes and replaces all prior or contemporaneous agreements, negotiations, or discussions relating to the subject</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1"/>
              </w:rPr>
              <w:t>matter of this Waiver and Release of Claims with the exception of any stock based compensation agreement and/or any prior agreements</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4"/>
              </w:rPr>
              <w:t>Employee entered into with the Company regarding confidentiality, trade secrets, or unfair competition. All provisions and portions of</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this Waiver and Release of Claims are severable. If any provision or portion of this Waiver and Release of Claims or the application of</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2"/>
              </w:rPr>
              <w:t>any provision or portion of the Waiver and Release of Claims shall be determined to be invalid or unenforceable to any extent or for any</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9"/>
              </w:rPr>
              <w:t>reason, all other provisions and portions of this Waiver and Release of Claims shall remain in full force and shall continue to be</w:t>
            </w:r>
          </w:p>
        </w:tc>
      </w:tr>
      <w:tr>
        <w:trPr>
          <w:trHeight w:val="243"/>
        </w:trPr>
        <w:tc>
          <w:tcPr>
            <w:tcW w:w="600" w:type="dxa"/>
            <w:vAlign w:val="bottom"/>
          </w:tcPr>
          <w:p>
            <w:pPr>
              <w:spacing w:after="0"/>
              <w:rPr>
                <w:sz w:val="21"/>
                <w:szCs w:val="21"/>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rPr>
              <w:t>enforceable to the fullest and greatest extent permitted by law.</w:t>
            </w:r>
          </w:p>
        </w:tc>
      </w:tr>
      <w:tr>
        <w:trPr>
          <w:trHeight w:val="412"/>
        </w:trPr>
        <w:tc>
          <w:tcPr>
            <w:tcW w:w="600" w:type="dxa"/>
            <w:vAlign w:val="bottom"/>
          </w:tcPr>
          <w:p>
            <w:pPr>
              <w:ind w:left="80"/>
              <w:spacing w:after="0"/>
              <w:rPr>
                <w:sz w:val="20"/>
                <w:szCs w:val="20"/>
                <w:color w:val="auto"/>
              </w:rPr>
            </w:pPr>
            <w:r>
              <w:rPr>
                <w:rFonts w:ascii="Arial" w:cs="Arial" w:eastAsia="Arial" w:hAnsi="Arial"/>
                <w:sz w:val="19"/>
                <w:szCs w:val="19"/>
                <w:color w:val="auto"/>
              </w:rPr>
              <w:t>9.</w:t>
            </w:r>
          </w:p>
        </w:tc>
        <w:tc>
          <w:tcPr>
            <w:tcW w:w="110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9"/>
                <w:szCs w:val="19"/>
                <w:color w:val="auto"/>
                <w:w w:val="93"/>
              </w:rPr>
              <w:t>Confidentiality. Subject to the terms of Paragraph 2, the nature and terms of this Agreement are strictly confidential and they</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8"/>
              </w:rPr>
              <w:t>have not been and shall not be disclosed by Executive at any time to any person other than Executive’s lawyer or accountant, a</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8"/>
              </w:rPr>
              <w:t>governmental agency, or Executive’s immediate family without the prior written consent of an officer of the Company, except as</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necessary in any legal proceedings directly related to the provisions and terms of this Agreement, to prepare and file income tax forms,</w:t>
            </w:r>
          </w:p>
        </w:tc>
      </w:tr>
      <w:tr>
        <w:trPr>
          <w:trHeight w:val="243"/>
        </w:trPr>
        <w:tc>
          <w:tcPr>
            <w:tcW w:w="600" w:type="dxa"/>
            <w:vAlign w:val="bottom"/>
          </w:tcPr>
          <w:p>
            <w:pPr>
              <w:spacing w:after="0"/>
              <w:rPr>
                <w:sz w:val="21"/>
                <w:szCs w:val="21"/>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rPr>
              <w:t>or as required by court order after reasonable notice to the Company.</w:t>
            </w:r>
          </w:p>
        </w:tc>
      </w:tr>
      <w:tr>
        <w:trPr>
          <w:trHeight w:val="412"/>
        </w:trPr>
        <w:tc>
          <w:tcPr>
            <w:tcW w:w="600" w:type="dxa"/>
            <w:vAlign w:val="bottom"/>
          </w:tcPr>
          <w:p>
            <w:pPr>
              <w:ind w:left="80"/>
              <w:spacing w:after="0"/>
              <w:rPr>
                <w:sz w:val="20"/>
                <w:szCs w:val="20"/>
                <w:color w:val="auto"/>
              </w:rPr>
            </w:pPr>
            <w:r>
              <w:rPr>
                <w:rFonts w:ascii="Arial" w:cs="Arial" w:eastAsia="Arial" w:hAnsi="Arial"/>
                <w:sz w:val="19"/>
                <w:szCs w:val="19"/>
                <w:color w:val="auto"/>
              </w:rPr>
              <w:t>10.</w:t>
            </w:r>
          </w:p>
        </w:tc>
        <w:tc>
          <w:tcPr>
            <w:tcW w:w="110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9"/>
                <w:szCs w:val="19"/>
                <w:color w:val="auto"/>
                <w:w w:val="94"/>
              </w:rPr>
              <w:t>Cooperation. Subject to the terms of Paragraph 2, Executive agrees to cooperate with the Released Parties regarding any</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9"/>
              </w:rPr>
              <w:t>pending or subsequently filed litigation, claims or other disputes involving the Released Parties that relate to matters within the</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rPr>
              <w:t>knowledge or responsibility of Executive.  Without limiting the foregoing, Executive agrees (i) to meet with a Released Party’s</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1"/>
              </w:rPr>
              <w:t>representatives, its counsel or other designees at mutually convenient times and places with respect to any items within the scope of this</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7"/>
              </w:rPr>
              <w:t>provision; (ii) to provide truthful testimony regarding same to any court, agency, or other adjudicatory body; and (iii) to provide the</w:t>
            </w:r>
          </w:p>
        </w:tc>
      </w:tr>
      <w:tr>
        <w:trPr>
          <w:trHeight w:val="243"/>
        </w:trPr>
        <w:tc>
          <w:tcPr>
            <w:tcW w:w="600" w:type="dxa"/>
            <w:vAlign w:val="bottom"/>
          </w:tcPr>
          <w:p>
            <w:pPr>
              <w:spacing w:after="0"/>
              <w:rPr>
                <w:sz w:val="21"/>
                <w:szCs w:val="21"/>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8"/>
              </w:rPr>
              <w:t>Company with notice of contact by any adverse party or such adverse party’s representative, except as may be required by law.</w:t>
            </w:r>
          </w:p>
        </w:tc>
      </w:tr>
      <w:tr>
        <w:trPr>
          <w:trHeight w:val="389"/>
        </w:trPr>
        <w:tc>
          <w:tcPr>
            <w:tcW w:w="600" w:type="dxa"/>
            <w:vAlign w:val="bottom"/>
          </w:tcPr>
          <w:p>
            <w:pPr>
              <w:ind w:left="80"/>
              <w:spacing w:after="0"/>
              <w:rPr>
                <w:sz w:val="20"/>
                <w:szCs w:val="20"/>
                <w:color w:val="auto"/>
              </w:rPr>
            </w:pPr>
            <w:r>
              <w:rPr>
                <w:rFonts w:ascii="Arial" w:cs="Arial" w:eastAsia="Arial" w:hAnsi="Arial"/>
                <w:sz w:val="19"/>
                <w:szCs w:val="19"/>
                <w:color w:val="auto"/>
              </w:rPr>
              <w:t>11.</w:t>
            </w:r>
          </w:p>
        </w:tc>
        <w:tc>
          <w:tcPr>
            <w:tcW w:w="110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9"/>
                <w:szCs w:val="19"/>
                <w:color w:val="auto"/>
              </w:rPr>
              <w:t>Acceptance and Revocability. In accordance with the Older Workers Benefit Protection Act of 1990, the Executive</w:t>
            </w:r>
          </w:p>
        </w:tc>
      </w:tr>
      <w:tr>
        <w:trPr>
          <w:trHeight w:val="20"/>
        </w:trPr>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r>
      <w:tr>
        <w:trPr>
          <w:trHeight w:val="225"/>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4"/>
              </w:rPr>
              <w:t>acknowledges that the Executive has been given a period of [21 days] [45 days]</w:t>
            </w:r>
            <w:r>
              <w:rPr>
                <w:rFonts w:ascii="Arial" w:cs="Arial" w:eastAsia="Arial" w:hAnsi="Arial"/>
                <w:sz w:val="16"/>
                <w:szCs w:val="16"/>
                <w:color w:val="auto"/>
                <w:w w:val="94"/>
              </w:rPr>
              <w:t>1</w:t>
            </w:r>
            <w:r>
              <w:rPr>
                <w:rFonts w:ascii="Arial" w:cs="Arial" w:eastAsia="Arial" w:hAnsi="Arial"/>
                <w:sz w:val="19"/>
                <w:szCs w:val="19"/>
                <w:color w:val="auto"/>
                <w:w w:val="94"/>
              </w:rPr>
              <w:t xml:space="preserve"> within which to consider this Waiver and Release of</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7"/>
              </w:rPr>
              <w:t>Claims before executing it. The Executive may accept this Waiver and Release of Claims at any time within this period of time by</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5"/>
              </w:rPr>
              <w:t>signing the Waiver and Release of Claims and returning it to [______] at the Employer. The Executive further acknowledges that the</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1"/>
              </w:rPr>
              <w:t>Executive has been given at least seven (7) days following the execution of this Waiver and Release of Claims to revoke this Waiver and</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5"/>
              </w:rPr>
              <w:t>Release of Claims and that this Waiver and Release of Claims shall not become effective or enforceable until the expiration of such</w:t>
            </w:r>
          </w:p>
        </w:tc>
      </w:tr>
      <w:tr>
        <w:trPr>
          <w:trHeight w:val="223"/>
        </w:trPr>
        <w:tc>
          <w:tcPr>
            <w:tcW w:w="600" w:type="dxa"/>
            <w:vAlign w:val="bottom"/>
          </w:tcPr>
          <w:p>
            <w:pPr>
              <w:spacing w:after="0"/>
              <w:rPr>
                <w:sz w:val="19"/>
                <w:szCs w:val="19"/>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w w:val="93"/>
              </w:rPr>
              <w:t>revocation period. The Executive may revoke the Executive’s acceptance of this Waiver and Release of Claims at any time within that</w:t>
            </w:r>
          </w:p>
        </w:tc>
      </w:tr>
      <w:tr>
        <w:trPr>
          <w:trHeight w:val="243"/>
        </w:trPr>
        <w:tc>
          <w:tcPr>
            <w:tcW w:w="600" w:type="dxa"/>
            <w:vAlign w:val="bottom"/>
          </w:tcPr>
          <w:p>
            <w:pPr>
              <w:spacing w:after="0"/>
              <w:rPr>
                <w:sz w:val="21"/>
                <w:szCs w:val="21"/>
                <w:color w:val="auto"/>
              </w:rPr>
            </w:pPr>
          </w:p>
        </w:tc>
        <w:tc>
          <w:tcPr>
            <w:tcW w:w="10840" w:type="dxa"/>
            <w:vAlign w:val="bottom"/>
            <w:gridSpan w:val="7"/>
          </w:tcPr>
          <w:p>
            <w:pPr>
              <w:ind w:left="280"/>
              <w:spacing w:after="0"/>
              <w:rPr>
                <w:sz w:val="20"/>
                <w:szCs w:val="20"/>
                <w:color w:val="auto"/>
              </w:rPr>
            </w:pPr>
            <w:r>
              <w:rPr>
                <w:rFonts w:ascii="Arial" w:cs="Arial" w:eastAsia="Arial" w:hAnsi="Arial"/>
                <w:sz w:val="19"/>
                <w:szCs w:val="19"/>
                <w:color w:val="auto"/>
              </w:rPr>
              <w:t>seven calendar day</w:t>
            </w:r>
          </w:p>
        </w:tc>
      </w:tr>
      <w:tr>
        <w:trPr>
          <w:trHeight w:val="350"/>
        </w:trPr>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07"/>
        </w:trPr>
        <w:tc>
          <w:tcPr>
            <w:tcW w:w="600" w:type="dxa"/>
            <w:vAlign w:val="bottom"/>
          </w:tcPr>
          <w:p>
            <w:pPr>
              <w:spacing w:after="0"/>
              <w:rPr>
                <w:sz w:val="20"/>
                <w:szCs w:val="20"/>
                <w:color w:val="auto"/>
              </w:rPr>
            </w:pPr>
            <w:r>
              <w:rPr>
                <w:rFonts w:ascii="Arial" w:cs="Arial" w:eastAsia="Arial" w:hAnsi="Arial"/>
                <w:sz w:val="15"/>
                <w:szCs w:val="15"/>
                <w:color w:val="auto"/>
              </w:rPr>
              <w:t>1</w:t>
            </w:r>
          </w:p>
        </w:tc>
        <w:tc>
          <w:tcPr>
            <w:tcW w:w="10840" w:type="dxa"/>
            <w:vAlign w:val="bottom"/>
            <w:gridSpan w:val="7"/>
          </w:tcPr>
          <w:p>
            <w:pPr>
              <w:ind w:left="300"/>
              <w:spacing w:after="0"/>
              <w:rPr>
                <w:sz w:val="20"/>
                <w:szCs w:val="20"/>
                <w:color w:val="auto"/>
              </w:rPr>
            </w:pPr>
            <w:r>
              <w:rPr>
                <w:rFonts w:ascii="Arial" w:cs="Arial" w:eastAsia="Arial" w:hAnsi="Arial"/>
                <w:sz w:val="17"/>
                <w:szCs w:val="17"/>
                <w:color w:val="auto"/>
              </w:rPr>
              <w:t>Applicable release consideration period to be inserted at the time of termination.</w:t>
            </w:r>
          </w:p>
        </w:tc>
      </w:tr>
      <w:tr>
        <w:trPr>
          <w:trHeight w:val="455"/>
        </w:trPr>
        <w:tc>
          <w:tcPr>
            <w:tcW w:w="600" w:type="dxa"/>
            <w:vAlign w:val="bottom"/>
          </w:tcPr>
          <w:p>
            <w:pPr>
              <w:spacing w:after="0"/>
              <w:rPr>
                <w:sz w:val="24"/>
                <w:szCs w:val="24"/>
                <w:color w:val="auto"/>
              </w:rPr>
            </w:pPr>
          </w:p>
        </w:tc>
        <w:tc>
          <w:tcPr>
            <w:tcW w:w="5400" w:type="dxa"/>
            <w:vAlign w:val="bottom"/>
            <w:gridSpan w:val="6"/>
          </w:tcPr>
          <w:p>
            <w:pPr>
              <w:ind w:left="5000"/>
              <w:spacing w:after="0"/>
              <w:rPr>
                <w:sz w:val="20"/>
                <w:szCs w:val="20"/>
                <w:color w:val="auto"/>
              </w:rPr>
            </w:pPr>
            <w:r>
              <w:rPr>
                <w:rFonts w:ascii="Arial" w:cs="Arial" w:eastAsia="Arial" w:hAnsi="Arial"/>
                <w:sz w:val="21"/>
                <w:szCs w:val="21"/>
                <w:color w:val="auto"/>
              </w:rPr>
              <w:t>13</w:t>
            </w:r>
          </w:p>
        </w:tc>
        <w:tc>
          <w:tcPr>
            <w:tcW w:w="5440" w:type="dxa"/>
            <w:vAlign w:val="bottom"/>
          </w:tcPr>
          <w:p>
            <w:pPr>
              <w:spacing w:after="0"/>
              <w:rPr>
                <w:sz w:val="24"/>
                <w:szCs w:val="24"/>
                <w:color w:val="auto"/>
              </w:rPr>
            </w:pPr>
          </w:p>
        </w:tc>
      </w:tr>
      <w:tr>
        <w:trPr>
          <w:trHeight w:val="389"/>
        </w:trPr>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172" w:name="page173"/>
    <w:bookmarkEnd w:id="172"/>
    <w:p>
      <w:pPr>
        <w:ind w:left="1700"/>
        <w:spacing w:after="0"/>
        <w:rPr>
          <w:sz w:val="20"/>
          <w:szCs w:val="20"/>
          <w:color w:val="auto"/>
        </w:rPr>
      </w:pPr>
      <w:r>
        <w:rPr>
          <w:rFonts w:ascii="Arial" w:cs="Arial" w:eastAsia="Arial" w:hAnsi="Arial"/>
          <w:sz w:val="17"/>
          <w:szCs w:val="17"/>
          <w:color w:val="auto"/>
        </w:rPr>
        <w:t>period by sending written notice to [______] at the Employer. Such notice must be received by the Employer within the seven</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calendar day period in order to be effective and, if so received, would void this Waiver and Release of Claims for all purposes.</w:t>
      </w:r>
    </w:p>
    <w:p>
      <w:pPr>
        <w:spacing w:after="0" w:line="198" w:lineRule="exact"/>
        <w:rPr>
          <w:sz w:val="20"/>
          <w:szCs w:val="20"/>
          <w:color w:val="auto"/>
        </w:rPr>
      </w:pPr>
    </w:p>
    <w:p>
      <w:pPr>
        <w:jc w:val="both"/>
        <w:ind w:right="80" w:firstLine="5"/>
        <w:spacing w:after="0" w:line="331" w:lineRule="auto"/>
        <w:tabs>
          <w:tab w:leader="none" w:pos="916"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Except for issues or matters as to which federal law is applicable, this Waiver and Release of Claims shall be governed by and construed and enforced in accordance with the laws of the State of Tennessee without giving effect to the conflicts of law principles thereof.</w:t>
      </w:r>
    </w:p>
    <w:p>
      <w:pPr>
        <w:spacing w:after="0" w:line="76"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Executive:</w:t>
      </w:r>
    </w:p>
    <w:p>
      <w:pPr>
        <w:spacing w:after="0" w:line="214" w:lineRule="exact"/>
        <w:rPr>
          <w:sz w:val="20"/>
          <w:szCs w:val="20"/>
          <w:color w:val="auto"/>
        </w:rPr>
      </w:pPr>
    </w:p>
    <w:p>
      <w:pPr>
        <w:ind w:left="9280"/>
        <w:spacing w:after="0"/>
        <w:rPr>
          <w:sz w:val="20"/>
          <w:szCs w:val="20"/>
          <w:color w:val="auto"/>
        </w:rPr>
      </w:pPr>
      <w:r>
        <w:rPr>
          <w:rFonts w:ascii="Arial" w:cs="Arial" w:eastAsia="Arial" w:hAnsi="Arial"/>
          <w:sz w:val="19"/>
          <w:szCs w:val="19"/>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-10795</wp:posOffset>
            </wp:positionV>
            <wp:extent cx="2284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-10795</wp:posOffset>
            </wp:positionV>
            <wp:extent cx="19805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246380</wp:posOffset>
            </wp:positionV>
            <wp:extent cx="729297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71"/>
        </w:trPr>
        <w:tc>
          <w:tcPr>
            <w:tcW w:w="4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440" w:type="dxa"/>
            <w:vAlign w:val="bottom"/>
          </w:tcPr>
          <w:p>
            <w:pPr>
              <w:ind w:left="1160"/>
              <w:spacing w:after="0"/>
              <w:rPr>
                <w:sz w:val="20"/>
                <w:szCs w:val="20"/>
                <w:color w:val="auto"/>
              </w:rPr>
            </w:pPr>
            <w:r>
              <w:rPr>
                <w:rFonts w:ascii="Arial" w:cs="Arial" w:eastAsia="Arial" w:hAnsi="Arial"/>
                <w:sz w:val="21"/>
                <w:szCs w:val="21"/>
                <w:b w:val="1"/>
                <w:bCs w:val="1"/>
                <w:color w:val="auto"/>
                <w:w w:val="98"/>
              </w:rPr>
              <w:t>Exhibit 10.28</w:t>
            </w:r>
          </w:p>
        </w:tc>
      </w:tr>
      <w:tr>
        <w:trPr>
          <w:trHeight w:val="632"/>
        </w:trPr>
        <w:tc>
          <w:tcPr>
            <w:tcW w:w="4080" w:type="dxa"/>
            <w:vAlign w:val="bottom"/>
          </w:tcPr>
          <w:p>
            <w:pPr>
              <w:spacing w:after="0"/>
              <w:rPr>
                <w:sz w:val="24"/>
                <w:szCs w:val="24"/>
                <w:color w:val="auto"/>
              </w:rPr>
            </w:pPr>
          </w:p>
        </w:tc>
        <w:tc>
          <w:tcPr>
            <w:tcW w:w="2460" w:type="dxa"/>
            <w:vAlign w:val="bottom"/>
            <w:gridSpan w:val="3"/>
          </w:tcPr>
          <w:p>
            <w:pPr>
              <w:ind w:left="1140"/>
              <w:spacing w:after="0"/>
              <w:rPr>
                <w:sz w:val="20"/>
                <w:szCs w:val="20"/>
                <w:color w:val="auto"/>
              </w:rPr>
            </w:pPr>
            <w:r>
              <w:rPr>
                <w:rFonts w:ascii="Arial" w:cs="Arial" w:eastAsia="Arial" w:hAnsi="Arial"/>
                <w:sz w:val="21"/>
                <w:szCs w:val="21"/>
                <w:b w:val="1"/>
                <w:bCs w:val="1"/>
                <w:color w:val="auto"/>
              </w:rPr>
              <w:t>Schedule A</w:t>
            </w: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2"/>
        </w:trPr>
        <w:tc>
          <w:tcPr>
            <w:tcW w:w="40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343"/>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b w:val="1"/>
                <w:bCs w:val="1"/>
                <w:color w:val="auto"/>
              </w:rPr>
              <w:t>Name</w:t>
            </w:r>
          </w:p>
        </w:tc>
        <w:tc>
          <w:tcPr>
            <w:tcW w:w="2460" w:type="dxa"/>
            <w:vAlign w:val="bottom"/>
            <w:gridSpan w:val="3"/>
          </w:tcPr>
          <w:p>
            <w:pPr>
              <w:ind w:left="100"/>
              <w:spacing w:after="0"/>
              <w:rPr>
                <w:sz w:val="20"/>
                <w:szCs w:val="20"/>
                <w:color w:val="auto"/>
              </w:rPr>
            </w:pPr>
            <w:r>
              <w:rPr>
                <w:rFonts w:ascii="Arial" w:cs="Arial" w:eastAsia="Arial" w:hAnsi="Arial"/>
                <w:sz w:val="21"/>
                <w:szCs w:val="21"/>
                <w:b w:val="1"/>
                <w:bCs w:val="1"/>
                <w:color w:val="auto"/>
              </w:rPr>
              <w:t>Position</w:t>
            </w:r>
          </w:p>
        </w:tc>
        <w:tc>
          <w:tcPr>
            <w:tcW w:w="2540" w:type="dxa"/>
            <w:vAlign w:val="bottom"/>
            <w:tcBorders>
              <w:right w:val="single" w:sz="8" w:color="auto"/>
            </w:tcBorders>
          </w:tcPr>
          <w:p>
            <w:pPr>
              <w:spacing w:after="0"/>
              <w:rPr>
                <w:sz w:val="24"/>
                <w:szCs w:val="24"/>
                <w:color w:val="auto"/>
              </w:rPr>
            </w:pPr>
          </w:p>
        </w:tc>
        <w:tc>
          <w:tcPr>
            <w:tcW w:w="2440" w:type="dxa"/>
            <w:vAlign w:val="bottom"/>
          </w:tcPr>
          <w:p>
            <w:pPr>
              <w:jc w:val="center"/>
              <w:ind w:left="235"/>
              <w:spacing w:after="0"/>
              <w:rPr>
                <w:sz w:val="20"/>
                <w:szCs w:val="20"/>
                <w:color w:val="auto"/>
              </w:rPr>
            </w:pPr>
            <w:r>
              <w:rPr>
                <w:rFonts w:ascii="Arial" w:cs="Arial" w:eastAsia="Arial" w:hAnsi="Arial"/>
                <w:sz w:val="21"/>
                <w:szCs w:val="21"/>
                <w:b w:val="1"/>
                <w:bCs w:val="1"/>
                <w:color w:val="auto"/>
                <w:w w:val="91"/>
              </w:rPr>
              <w:t>Salary</w:t>
            </w: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60" w:type="dxa"/>
            <w:vAlign w:val="bottom"/>
            <w:tcBorders>
              <w:bottom w:val="single" w:sz="8" w:color="auto"/>
              <w:right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43"/>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Damon T. Hininger</w:t>
            </w:r>
          </w:p>
        </w:tc>
        <w:tc>
          <w:tcPr>
            <w:tcW w:w="5000" w:type="dxa"/>
            <w:vAlign w:val="bottom"/>
            <w:tcBorders>
              <w:right w:val="single" w:sz="8" w:color="auto"/>
            </w:tcBorders>
            <w:gridSpan w:val="4"/>
          </w:tcPr>
          <w:p>
            <w:pPr>
              <w:ind w:left="100"/>
              <w:spacing w:after="0"/>
              <w:rPr>
                <w:sz w:val="20"/>
                <w:szCs w:val="20"/>
                <w:color w:val="auto"/>
              </w:rPr>
            </w:pPr>
            <w:r>
              <w:rPr>
                <w:rFonts w:ascii="Arial" w:cs="Arial" w:eastAsia="Arial" w:hAnsi="Arial"/>
                <w:sz w:val="21"/>
                <w:szCs w:val="21"/>
                <w:color w:val="auto"/>
              </w:rPr>
              <w:t>President and Chief Executive Officer</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$912,660</w:t>
            </w: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12"/>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David M. Garfinkle</w:t>
            </w: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Executive Vice President</w:t>
            </w:r>
          </w:p>
        </w:tc>
        <w:tc>
          <w:tcPr>
            <w:tcW w:w="254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 Financial</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$429,570</w:t>
            </w:r>
          </w:p>
        </w:tc>
      </w:tr>
      <w:tr>
        <w:trPr>
          <w:trHeight w:val="267"/>
        </w:trPr>
        <w:tc>
          <w:tcPr>
            <w:tcW w:w="4080" w:type="dxa"/>
            <w:vAlign w:val="bottom"/>
            <w:tcBorders>
              <w:left w:val="single" w:sz="8" w:color="auto"/>
              <w:right w:val="single" w:sz="8" w:color="auto"/>
            </w:tcBorders>
          </w:tcPr>
          <w:p>
            <w:pPr>
              <w:spacing w:after="0"/>
              <w:rPr>
                <w:sz w:val="23"/>
                <w:szCs w:val="23"/>
                <w:color w:val="auto"/>
              </w:rPr>
            </w:pP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Officer</w:t>
            </w:r>
          </w:p>
        </w:tc>
        <w:tc>
          <w:tcPr>
            <w:tcW w:w="2540" w:type="dxa"/>
            <w:vAlign w:val="bottom"/>
            <w:tcBorders>
              <w:right w:val="single" w:sz="8" w:color="auto"/>
            </w:tcBorders>
          </w:tcPr>
          <w:p>
            <w:pPr>
              <w:spacing w:after="0"/>
              <w:rPr>
                <w:sz w:val="23"/>
                <w:szCs w:val="23"/>
                <w:color w:val="auto"/>
              </w:rPr>
            </w:pPr>
          </w:p>
        </w:tc>
        <w:tc>
          <w:tcPr>
            <w:tcW w:w="2440" w:type="dxa"/>
            <w:vAlign w:val="bottom"/>
          </w:tcPr>
          <w:p>
            <w:pPr>
              <w:spacing w:after="0"/>
              <w:rPr>
                <w:sz w:val="23"/>
                <w:szCs w:val="23"/>
                <w:color w:val="auto"/>
              </w:rPr>
            </w:pP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12"/>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Patrick Swindle</w:t>
            </w: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Executive Vice President</w:t>
            </w:r>
          </w:p>
        </w:tc>
        <w:tc>
          <w:tcPr>
            <w:tcW w:w="254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$398,394</w:t>
            </w:r>
          </w:p>
        </w:tc>
      </w:tr>
      <w:tr>
        <w:trPr>
          <w:trHeight w:val="267"/>
        </w:trPr>
        <w:tc>
          <w:tcPr>
            <w:tcW w:w="4080" w:type="dxa"/>
            <w:vAlign w:val="bottom"/>
            <w:tcBorders>
              <w:left w:val="single" w:sz="8" w:color="auto"/>
              <w:right w:val="single" w:sz="8" w:color="auto"/>
            </w:tcBorders>
          </w:tcPr>
          <w:p>
            <w:pPr>
              <w:spacing w:after="0"/>
              <w:rPr>
                <w:sz w:val="23"/>
                <w:szCs w:val="23"/>
                <w:color w:val="auto"/>
              </w:rPr>
            </w:pP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Corrections Officer</w:t>
            </w:r>
          </w:p>
        </w:tc>
        <w:tc>
          <w:tcPr>
            <w:tcW w:w="2540" w:type="dxa"/>
            <w:vAlign w:val="bottom"/>
            <w:tcBorders>
              <w:right w:val="single" w:sz="8" w:color="auto"/>
            </w:tcBorders>
          </w:tcPr>
          <w:p>
            <w:pPr>
              <w:spacing w:after="0"/>
              <w:rPr>
                <w:sz w:val="23"/>
                <w:szCs w:val="23"/>
                <w:color w:val="auto"/>
              </w:rPr>
            </w:pPr>
          </w:p>
        </w:tc>
        <w:tc>
          <w:tcPr>
            <w:tcW w:w="2440" w:type="dxa"/>
            <w:vAlign w:val="bottom"/>
          </w:tcPr>
          <w:p>
            <w:pPr>
              <w:spacing w:after="0"/>
              <w:rPr>
                <w:sz w:val="23"/>
                <w:szCs w:val="23"/>
                <w:color w:val="auto"/>
              </w:rPr>
            </w:pP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12"/>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Anthony L. Grande</w:t>
            </w: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Executive Vice President</w:t>
            </w:r>
          </w:p>
        </w:tc>
        <w:tc>
          <w:tcPr>
            <w:tcW w:w="254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$436,814</w:t>
            </w:r>
          </w:p>
        </w:tc>
      </w:tr>
      <w:tr>
        <w:trPr>
          <w:trHeight w:val="267"/>
        </w:trPr>
        <w:tc>
          <w:tcPr>
            <w:tcW w:w="4080" w:type="dxa"/>
            <w:vAlign w:val="bottom"/>
            <w:tcBorders>
              <w:left w:val="single" w:sz="8" w:color="auto"/>
              <w:right w:val="single" w:sz="8" w:color="auto"/>
            </w:tcBorders>
          </w:tcPr>
          <w:p>
            <w:pPr>
              <w:spacing w:after="0"/>
              <w:rPr>
                <w:sz w:val="23"/>
                <w:szCs w:val="23"/>
                <w:color w:val="auto"/>
              </w:rPr>
            </w:pP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Development Officer</w:t>
            </w:r>
          </w:p>
        </w:tc>
        <w:tc>
          <w:tcPr>
            <w:tcW w:w="2540" w:type="dxa"/>
            <w:vAlign w:val="bottom"/>
            <w:tcBorders>
              <w:right w:val="single" w:sz="8" w:color="auto"/>
            </w:tcBorders>
          </w:tcPr>
          <w:p>
            <w:pPr>
              <w:spacing w:after="0"/>
              <w:rPr>
                <w:sz w:val="23"/>
                <w:szCs w:val="23"/>
                <w:color w:val="auto"/>
              </w:rPr>
            </w:pPr>
          </w:p>
        </w:tc>
        <w:tc>
          <w:tcPr>
            <w:tcW w:w="2440" w:type="dxa"/>
            <w:vAlign w:val="bottom"/>
          </w:tcPr>
          <w:p>
            <w:pPr>
              <w:spacing w:after="0"/>
              <w:rPr>
                <w:sz w:val="23"/>
                <w:szCs w:val="23"/>
                <w:color w:val="auto"/>
              </w:rPr>
            </w:pP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12"/>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Scott D. Irwin</w:t>
            </w: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w w:val="98"/>
              </w:rPr>
              <w:t>Executive Vice President,</w:t>
            </w:r>
          </w:p>
        </w:tc>
        <w:tc>
          <w:tcPr>
            <w:tcW w:w="2540" w:type="dxa"/>
            <w:vAlign w:val="bottom"/>
            <w:tcBorders>
              <w:right w:val="single" w:sz="8" w:color="auto"/>
            </w:tcBorders>
          </w:tcPr>
          <w:p>
            <w:pPr>
              <w:ind w:left="200"/>
              <w:spacing w:after="0"/>
              <w:rPr>
                <w:sz w:val="20"/>
                <w:szCs w:val="20"/>
                <w:color w:val="auto"/>
              </w:rPr>
            </w:pPr>
            <w:r>
              <w:rPr>
                <w:rFonts w:ascii="Arial" w:cs="Arial" w:eastAsia="Arial" w:hAnsi="Arial"/>
                <w:sz w:val="21"/>
                <w:szCs w:val="21"/>
                <w:color w:val="auto"/>
              </w:rPr>
              <w:t>General Counsel and</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$334,750</w:t>
            </w:r>
          </w:p>
        </w:tc>
      </w:tr>
      <w:tr>
        <w:trPr>
          <w:trHeight w:val="267"/>
        </w:trPr>
        <w:tc>
          <w:tcPr>
            <w:tcW w:w="4080" w:type="dxa"/>
            <w:vAlign w:val="bottom"/>
            <w:tcBorders>
              <w:left w:val="single" w:sz="8" w:color="auto"/>
              <w:right w:val="single" w:sz="8" w:color="auto"/>
            </w:tcBorders>
          </w:tcPr>
          <w:p>
            <w:pPr>
              <w:spacing w:after="0"/>
              <w:rPr>
                <w:sz w:val="23"/>
                <w:szCs w:val="23"/>
                <w:color w:val="auto"/>
              </w:rPr>
            </w:pP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rPr>
              <w:t>Secretary</w:t>
            </w:r>
          </w:p>
        </w:tc>
        <w:tc>
          <w:tcPr>
            <w:tcW w:w="2540" w:type="dxa"/>
            <w:vAlign w:val="bottom"/>
            <w:tcBorders>
              <w:right w:val="single" w:sz="8" w:color="auto"/>
            </w:tcBorders>
          </w:tcPr>
          <w:p>
            <w:pPr>
              <w:spacing w:after="0"/>
              <w:rPr>
                <w:sz w:val="23"/>
                <w:szCs w:val="23"/>
                <w:color w:val="auto"/>
              </w:rPr>
            </w:pPr>
          </w:p>
        </w:tc>
        <w:tc>
          <w:tcPr>
            <w:tcW w:w="2440" w:type="dxa"/>
            <w:vAlign w:val="bottom"/>
          </w:tcPr>
          <w:p>
            <w:pPr>
              <w:spacing w:after="0"/>
              <w:rPr>
                <w:sz w:val="23"/>
                <w:szCs w:val="23"/>
                <w:color w:val="auto"/>
              </w:rPr>
            </w:pP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60" w:type="dxa"/>
            <w:vAlign w:val="bottom"/>
            <w:tcBorders>
              <w:bottom w:val="single" w:sz="8" w:color="auto"/>
              <w:right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43"/>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Lucibeth N. Mayberry</w:t>
            </w:r>
          </w:p>
        </w:tc>
        <w:tc>
          <w:tcPr>
            <w:tcW w:w="5000" w:type="dxa"/>
            <w:vAlign w:val="bottom"/>
            <w:tcBorders>
              <w:right w:val="single" w:sz="8" w:color="auto"/>
            </w:tcBorders>
            <w:gridSpan w:val="4"/>
          </w:tcPr>
          <w:p>
            <w:pPr>
              <w:ind w:left="100"/>
              <w:spacing w:after="0"/>
              <w:rPr>
                <w:sz w:val="20"/>
                <w:szCs w:val="20"/>
                <w:color w:val="auto"/>
              </w:rPr>
            </w:pPr>
            <w:r>
              <w:rPr>
                <w:rFonts w:ascii="Arial" w:cs="Arial" w:eastAsia="Arial" w:hAnsi="Arial"/>
                <w:sz w:val="21"/>
                <w:szCs w:val="21"/>
                <w:color w:val="auto"/>
              </w:rPr>
              <w:t>Executive Vice President, Real Estate</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$398,394</w:t>
            </w: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43"/>
        </w:trPr>
        <w:tc>
          <w:tcPr>
            <w:tcW w:w="4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Kim M. White</w:t>
            </w:r>
          </w:p>
        </w:tc>
        <w:tc>
          <w:tcPr>
            <w:tcW w:w="2460" w:type="dxa"/>
            <w:vAlign w:val="bottom"/>
            <w:gridSpan w:val="3"/>
          </w:tcPr>
          <w:p>
            <w:pPr>
              <w:ind w:left="100"/>
              <w:spacing w:after="0"/>
              <w:rPr>
                <w:sz w:val="20"/>
                <w:szCs w:val="20"/>
                <w:color w:val="auto"/>
              </w:rPr>
            </w:pPr>
            <w:r>
              <w:rPr>
                <w:rFonts w:ascii="Arial" w:cs="Arial" w:eastAsia="Arial" w:hAnsi="Arial"/>
                <w:sz w:val="21"/>
                <w:szCs w:val="21"/>
                <w:color w:val="auto"/>
                <w:w w:val="98"/>
              </w:rPr>
              <w:t>Executive Vice President,</w:t>
            </w:r>
          </w:p>
        </w:tc>
        <w:tc>
          <w:tcPr>
            <w:tcW w:w="254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Human Resources</w:t>
            </w:r>
          </w:p>
        </w:tc>
        <w:tc>
          <w:tcPr>
            <w:tcW w:w="2440" w:type="dxa"/>
            <w:vAlign w:val="bottom"/>
          </w:tcPr>
          <w:p>
            <w:pPr>
              <w:jc w:val="center"/>
              <w:ind w:left="235"/>
              <w:spacing w:after="0"/>
              <w:rPr>
                <w:sz w:val="20"/>
                <w:szCs w:val="20"/>
                <w:color w:val="auto"/>
              </w:rPr>
            </w:pPr>
            <w:r>
              <w:rPr>
                <w:rFonts w:ascii="Arial" w:cs="Arial" w:eastAsia="Arial" w:hAnsi="Arial"/>
                <w:sz w:val="21"/>
                <w:szCs w:val="21"/>
                <w:color w:val="auto"/>
                <w:w w:val="89"/>
              </w:rPr>
              <w:t>$338,195</w:t>
            </w:r>
          </w:p>
        </w:tc>
      </w:tr>
      <w:tr>
        <w:trPr>
          <w:trHeight w:val="95"/>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bl>
    <w:p>
      <w:pPr>
        <w:sectPr>
          <w:pgSz w:w="11900" w:h="16838" w:orient="portrait"/>
          <w:cols w:equalWidth="0" w:num="1">
            <w:col w:w="11520"/>
          </w:cols>
          <w:pgMar w:left="240" w:top="114" w:right="139" w:bottom="1440" w:gutter="0" w:footer="0" w:header="0"/>
        </w:sectPr>
      </w:pPr>
    </w:p>
    <w:bookmarkStart w:id="174" w:name="page175"/>
    <w:bookmarkEnd w:id="174"/>
    <w:p>
      <w:pPr>
        <w:ind w:left="7880"/>
        <w:spacing w:after="0"/>
        <w:rPr>
          <w:sz w:val="20"/>
          <w:szCs w:val="20"/>
          <w:color w:val="auto"/>
        </w:rPr>
      </w:pPr>
      <w:r>
        <w:rPr>
          <w:rFonts w:ascii="Arial" w:cs="Arial" w:eastAsia="Arial" w:hAnsi="Arial"/>
          <w:sz w:val="17"/>
          <w:szCs w:val="17"/>
          <w:b w:val="1"/>
          <w:bCs w:val="1"/>
          <w:color w:val="auto"/>
        </w:rPr>
        <w:t>Exhibit 10.29</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[CoreCivic Letterhead]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December 31, 2017</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Harley G. Lappin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CoreCivic, Inc.</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10 Burton Hills Boulevard</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Nashville, TN 37215</w:t>
      </w: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40"/>
        <w:spacing w:after="0" w:line="278" w:lineRule="auto"/>
        <w:rPr>
          <w:sz w:val="20"/>
          <w:szCs w:val="20"/>
          <w:color w:val="auto"/>
        </w:rPr>
      </w:pPr>
      <w:r>
        <w:rPr>
          <w:rFonts w:ascii="Arial" w:cs="Arial" w:eastAsia="Arial" w:hAnsi="Arial"/>
          <w:sz w:val="19"/>
          <w:szCs w:val="19"/>
          <w:b w:val="1"/>
          <w:bCs w:val="1"/>
          <w:color w:val="auto"/>
        </w:rPr>
        <w:t>Non-Competition, Non-Solicitation and Confidentiality and Non-Disclosure during your “at-will” employment with CoreCivic of Tennessee, LLC ("Employer")</w:t>
      </w:r>
    </w:p>
    <w:p>
      <w:pPr>
        <w:spacing w:after="0" w:line="181" w:lineRule="exact"/>
        <w:rPr>
          <w:sz w:val="20"/>
          <w:szCs w:val="20"/>
          <w:color w:val="auto"/>
        </w:rPr>
      </w:pPr>
    </w:p>
    <w:p>
      <w:pPr>
        <w:sectPr>
          <w:pgSz w:w="11900" w:h="16838" w:orient="portrait"/>
          <w:cols w:equalWidth="0" w:num="2">
            <w:col w:w="1160" w:space="600"/>
            <w:col w:w="9660"/>
          </w:cols>
          <w:pgMar w:left="240" w:top="118" w:right="239" w:bottom="1440" w:gutter="0" w:footer="0" w:header="0"/>
          <w:type w:val="continuous"/>
        </w:sectPr>
      </w:pPr>
    </w:p>
    <w:p>
      <w:pPr>
        <w:spacing w:after="0"/>
        <w:rPr>
          <w:sz w:val="20"/>
          <w:szCs w:val="20"/>
          <w:color w:val="auto"/>
        </w:rPr>
      </w:pPr>
      <w:r>
        <w:rPr>
          <w:rFonts w:ascii="Arial" w:cs="Arial" w:eastAsia="Arial" w:hAnsi="Arial"/>
          <w:sz w:val="19"/>
          <w:szCs w:val="19"/>
          <w:color w:val="auto"/>
        </w:rPr>
        <w:t>Mr. Lappin:</w:t>
      </w:r>
    </w:p>
    <w:p>
      <w:pPr>
        <w:spacing w:after="0" w:line="240" w:lineRule="exact"/>
        <w:rPr>
          <w:sz w:val="20"/>
          <w:szCs w:val="20"/>
          <w:color w:val="auto"/>
        </w:rPr>
      </w:pPr>
    </w:p>
    <w:p>
      <w:pPr>
        <w:ind w:firstLine="878"/>
        <w:spacing w:after="0" w:line="251" w:lineRule="auto"/>
        <w:rPr>
          <w:sz w:val="20"/>
          <w:szCs w:val="20"/>
          <w:color w:val="auto"/>
        </w:rPr>
      </w:pPr>
      <w:r>
        <w:rPr>
          <w:rFonts w:ascii="Arial" w:cs="Arial" w:eastAsia="Arial" w:hAnsi="Arial"/>
          <w:sz w:val="19"/>
          <w:szCs w:val="19"/>
          <w:color w:val="auto"/>
        </w:rPr>
        <w:t>As we've discussed, you previously notified CoreCivic, Inc. ("CoreCivic" and, collectively with Employer, the "Company") of your intention to retire from your position as Executive Vice President and Chief Corrections Officer effective January 1, 2018. Your Employment Agreement with the Company expires effective December 31, 2017. However, notwithstanding the expiration of your Employment Agreement, the Company desires that you continue your employment with Employer as an "at will" employee on terms and conditions established from time to time by the Employer.</w:t>
      </w:r>
    </w:p>
    <w:p>
      <w:pPr>
        <w:spacing w:after="0" w:line="206" w:lineRule="exact"/>
        <w:rPr>
          <w:sz w:val="20"/>
          <w:szCs w:val="20"/>
          <w:color w:val="auto"/>
        </w:rPr>
      </w:pPr>
    </w:p>
    <w:p>
      <w:pPr>
        <w:ind w:right="120" w:firstLine="878"/>
        <w:spacing w:after="0" w:line="253" w:lineRule="auto"/>
        <w:rPr>
          <w:sz w:val="20"/>
          <w:szCs w:val="20"/>
          <w:color w:val="auto"/>
        </w:rPr>
      </w:pPr>
      <w:r>
        <w:rPr>
          <w:rFonts w:ascii="Arial" w:cs="Arial" w:eastAsia="Arial" w:hAnsi="Arial"/>
          <w:sz w:val="19"/>
          <w:szCs w:val="19"/>
          <w:color w:val="auto"/>
        </w:rPr>
        <w:t xml:space="preserve">This letter is to clarify and confirm that, in consideration of Employer continuing your employment on an "at will” basis with an annual salary of $175,000.00, which shall be payable in accordance with Employer’s normal payroll practices, you agree to be bound by and to comply with the provisions regarding non-competition, non-solicitation and confidentiality and non-disclosure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accompanying this letter.</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Please confirm your acknowledgement of and agreement with the foregoing by reviewing and signing this letter in the space provided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below.</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Very truly yours,</w:t>
      </w:r>
    </w:p>
    <w:p>
      <w:pPr>
        <w:spacing w:after="0" w:line="227"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CORECIVIC, INC.</w:t>
      </w:r>
    </w:p>
    <w:p>
      <w:pPr>
        <w:spacing w:after="0" w:line="200" w:lineRule="exact"/>
        <w:rPr>
          <w:sz w:val="20"/>
          <w:szCs w:val="20"/>
          <w:color w:val="auto"/>
        </w:rPr>
      </w:pPr>
    </w:p>
    <w:p>
      <w:pPr>
        <w:spacing w:after="0" w:line="262"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By: /s/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13335</wp:posOffset>
            </wp:positionV>
            <wp:extent cx="25609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Damon T. Hininger</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Confirmed and Agreed as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of the date written above: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/s/ Harley G. Lappin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Harley G. Lappin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630555</wp:posOffset>
            </wp:positionV>
            <wp:extent cx="729297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5" w:name="page176"/>
    <w:bookmarkEnd w:id="175"/>
    <w:p>
      <w:pPr>
        <w:jc w:val="center"/>
        <w:ind w:right="-14"/>
        <w:spacing w:after="0"/>
        <w:rPr>
          <w:sz w:val="20"/>
          <w:szCs w:val="20"/>
          <w:color w:val="auto"/>
        </w:rPr>
      </w:pPr>
      <w:r>
        <w:rPr>
          <w:rFonts w:ascii="Arial" w:cs="Arial" w:eastAsia="Arial" w:hAnsi="Arial"/>
          <w:sz w:val="19"/>
          <w:szCs w:val="19"/>
          <w:b w:val="1"/>
          <w:bCs w:val="1"/>
          <w:color w:val="auto"/>
        </w:rPr>
        <w:t>Exhibit A</w:t>
      </w:r>
    </w:p>
    <w:p>
      <w:pPr>
        <w:spacing w:after="0" w:line="240" w:lineRule="exact"/>
        <w:rPr>
          <w:sz w:val="20"/>
          <w:szCs w:val="20"/>
          <w:color w:val="auto"/>
        </w:rPr>
      </w:pPr>
    </w:p>
    <w:p>
      <w:pPr>
        <w:jc w:val="center"/>
        <w:ind w:right="-14"/>
        <w:spacing w:after="0"/>
        <w:rPr>
          <w:sz w:val="20"/>
          <w:szCs w:val="20"/>
          <w:color w:val="auto"/>
        </w:rPr>
      </w:pPr>
      <w:r>
        <w:rPr>
          <w:rFonts w:ascii="Arial" w:cs="Arial" w:eastAsia="Arial" w:hAnsi="Arial"/>
          <w:sz w:val="19"/>
          <w:szCs w:val="19"/>
          <w:b w:val="1"/>
          <w:bCs w:val="1"/>
          <w:u w:val="single" w:color="auto"/>
          <w:color w:val="auto"/>
        </w:rPr>
        <w:t>Non-Competition, Non-Solicitation and Confidentiality and Non-Disclosure</w:t>
      </w:r>
    </w:p>
    <w:p>
      <w:pPr>
        <w:spacing w:after="0" w:line="246" w:lineRule="exact"/>
        <w:rPr>
          <w:sz w:val="20"/>
          <w:szCs w:val="20"/>
          <w:color w:val="auto"/>
        </w:rPr>
      </w:pPr>
    </w:p>
    <w:p>
      <w:pPr>
        <w:ind w:left="-5" w:firstLine="5"/>
        <w:spacing w:after="0" w:line="247" w:lineRule="auto"/>
        <w:tabs>
          <w:tab w:leader="none" w:pos="7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Business Considerations</w:t>
      </w:r>
      <w:r>
        <w:rPr>
          <w:rFonts w:ascii="Arial" w:cs="Arial" w:eastAsia="Arial" w:hAnsi="Arial"/>
          <w:sz w:val="19"/>
          <w:szCs w:val="19"/>
          <w:color w:val="auto"/>
        </w:rPr>
        <w:t>. All confidential or proprietary information, including but not limited to, any programs, plans or designs whether in hard copy or electronic format developed by, at the direction of, or with the assistance and/or collaboration of Harley G. Lappin ("Employee") during his employment with CoreCivic of Tennessee, LLC (together with its parent, subsidiaries and affiliates, the "Company"), contract terms, financial information, operating data, staffing patterns, wage levels, quality assurance audit materials and techniques, customer lists, supplier lists, pricing policies, marketing plans, business plans or models, marketing or lobbying information and all other information (the “Confidential &amp; Proprietary Information”), and all other tangible or intangible items or ideas making up the Confidential &amp; Proprietary Information owned or developed by or related to the Company, and the goodwill associated with them, which (i) is or was obtained or created by Employee in whole or in part as a result of his employment with the Company, and (ii) is not generally available to the public, shall remain the sole and exclusive property of the Company.</w:t>
      </w:r>
    </w:p>
    <w:p>
      <w:pPr>
        <w:spacing w:after="0" w:line="215" w:lineRule="exact"/>
        <w:rPr>
          <w:rFonts w:ascii="Arial" w:cs="Arial" w:eastAsia="Arial" w:hAnsi="Arial"/>
          <w:sz w:val="19"/>
          <w:szCs w:val="19"/>
          <w:color w:val="auto"/>
        </w:rPr>
      </w:pPr>
    </w:p>
    <w:p>
      <w:pPr>
        <w:ind w:left="-5" w:right="20" w:firstLine="5"/>
        <w:spacing w:after="0" w:line="260" w:lineRule="auto"/>
        <w:tabs>
          <w:tab w:leader="none" w:pos="76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Employee hereby covenants and agrees that during the term of Employee’s employment with the Company and for a period of one (1) year thereafter, Employee shall not, directly or indirectly: (i) own any interest in, operate, join, control or participate as a partner, director, principal, officer or agent of, enter into the employment of, act as a consultant to, or perform any services for any entity (each a “</w:t>
      </w:r>
      <w:r>
        <w:rPr>
          <w:rFonts w:ascii="Arial" w:cs="Arial" w:eastAsia="Arial" w:hAnsi="Arial"/>
          <w:sz w:val="18"/>
          <w:szCs w:val="18"/>
          <w:u w:val="single" w:color="auto"/>
          <w:color w:val="auto"/>
        </w:rPr>
        <w:t>Competing Entity</w:t>
      </w:r>
      <w:r>
        <w:rPr>
          <w:rFonts w:ascii="Arial" w:cs="Arial" w:eastAsia="Arial" w:hAnsi="Arial"/>
          <w:sz w:val="18"/>
          <w:szCs w:val="18"/>
          <w:color w:val="auto"/>
        </w:rPr>
        <w:t xml:space="preserve">”) which has material operations which compete with any business in which the Company or any of its subsidiaries is then engaged or, to the then existing knowledge of Employee, proposes to engage; (ii) solicit any customer or client of the Company or any of its subsidiaries, affiliates, (other than on behalf of the Company) with respect to any business in which the Company or any of its subsidiaries or affiliates is then engaged or, to the then existing knowledge of Employee, proposes to engage; or (iii) induce or encourage any employee of the Company or any of its subsidiaries to leave the employ of the Company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that Employee may, solely as an investment, hold not more than five percent (5%) of the combined voting securities of any publicly-traded corporation or other business entity. The foregoing covenants and agreements of Employee are referred to herein as the “</w:t>
      </w:r>
      <w:r>
        <w:rPr>
          <w:rFonts w:ascii="Arial" w:cs="Arial" w:eastAsia="Arial" w:hAnsi="Arial"/>
          <w:sz w:val="18"/>
          <w:szCs w:val="18"/>
          <w:u w:val="single" w:color="auto"/>
          <w:color w:val="auto"/>
        </w:rPr>
        <w:t>Restrictive Covenant</w:t>
      </w:r>
      <w:r>
        <w:rPr>
          <w:rFonts w:ascii="Arial" w:cs="Arial" w:eastAsia="Arial" w:hAnsi="Arial"/>
          <w:sz w:val="18"/>
          <w:szCs w:val="18"/>
          <w:color w:val="auto"/>
        </w:rPr>
        <w:t xml:space="preserve">.” Employee acknowledges that Employee has carefully read and considered the provisions of the Restrictive Covenant and, having done so, agrees that the restrictions set forth herein , including without limitation the time period of restriction set forth above, are fair and reasonable and are reasonably required for the protection of the legitimate business and economic interests of the Company. Employee further acknowledges that the Company would not have continued Employee's employment with the Company on an "at will" basis absent Employee’s agreement to the foregoing. In the event that, notwithstanding the foregoing, any of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parts hereof shall be held to be invalid or unenforceable, the remaining provisions or parts hereof shall nevertheless continue to be valid and enforceable as though the invalid or unenforceable portions or parts had not been included herein. In the event that any provision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relating to the time period and/or the area of restriction, if any, and/or related aspects shall be declared by a court of competent jurisdiction to exceed the maximum restrictiveness such court deems reasonable and enforceable, the time period and/or area of restriction and/or related aspects deemed reasonable and enforceable by such court shall become and thereafter be the maximum restrictions in such regard, and the provisions of the Restrictive Covenant shall remain enforceable to the fullest extent deemed reasonable by such court.</w:t>
      </w:r>
    </w:p>
    <w:p>
      <w:pPr>
        <w:spacing w:after="0" w:line="201" w:lineRule="exact"/>
        <w:rPr>
          <w:rFonts w:ascii="Arial" w:cs="Arial" w:eastAsia="Arial" w:hAnsi="Arial"/>
          <w:sz w:val="18"/>
          <w:szCs w:val="18"/>
          <w:color w:val="auto"/>
        </w:rPr>
      </w:pPr>
    </w:p>
    <w:p>
      <w:pPr>
        <w:ind w:left="-5" w:right="60" w:firstLine="5"/>
        <w:spacing w:after="0" w:line="258" w:lineRule="auto"/>
        <w:tabs>
          <w:tab w:leader="none" w:pos="7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Confidentiality and Non-Disclosure</w:t>
      </w:r>
      <w:r>
        <w:rPr>
          <w:rFonts w:ascii="Arial" w:cs="Arial" w:eastAsia="Arial" w:hAnsi="Arial"/>
          <w:sz w:val="19"/>
          <w:szCs w:val="19"/>
          <w:color w:val="auto"/>
        </w:rPr>
        <w:t>. In consideration of the continuation of Employee's employment with the Company on an "at will" basis, Employee agrees that during the term of employment with the Company and thereafter to hold in confidence the Company's Confidential and Proprietary Information, whether communicated orally or in documentary or other tangible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315595</wp:posOffset>
            </wp:positionV>
            <wp:extent cx="729297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395"/>
          </w:cols>
          <w:pgMar w:left="245" w:top="562" w:right="259" w:bottom="1440" w:gutter="0" w:footer="0" w:header="0"/>
        </w:sectPr>
      </w:pPr>
    </w:p>
    <w:bookmarkStart w:id="176" w:name="page177"/>
    <w:bookmarkEnd w:id="176"/>
    <w:p>
      <w:pPr>
        <w:ind w:right="180"/>
        <w:spacing w:after="0" w:line="266" w:lineRule="auto"/>
        <w:rPr>
          <w:sz w:val="20"/>
          <w:szCs w:val="20"/>
          <w:color w:val="auto"/>
        </w:rPr>
      </w:pPr>
      <w:r>
        <w:rPr>
          <w:rFonts w:ascii="Arial" w:cs="Arial" w:eastAsia="Arial" w:hAnsi="Arial"/>
          <w:sz w:val="18"/>
          <w:szCs w:val="18"/>
          <w:color w:val="auto"/>
        </w:rPr>
        <w:t xml:space="preserve">Employee recognizes that the Company has invested considerable amounts of time and money in attaining and developing all of the information described above, and any unauthorized disclosure or release of such Confidential and Proprietary Information in any form would irreparably harm the Company. Notwithstanding the foregoing, nothing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limits rights of Employee to file a charge or complaint with or from participating in an investigation or proceeding conducted by the Equal Employment Opportunity Commission, National Labor Relations Board, Occupational Safety and Health Administration, the Securities and Exchange Commission, or any other any federal, state or local agency charged with the enforcement of any laws, including providing documents or any other information.</w:t>
      </w:r>
    </w:p>
    <w:p>
      <w:pPr>
        <w:spacing w:after="0" w:line="195" w:lineRule="exact"/>
        <w:rPr>
          <w:sz w:val="20"/>
          <w:szCs w:val="20"/>
          <w:color w:val="auto"/>
        </w:rPr>
      </w:pPr>
    </w:p>
    <w:p>
      <w:pPr>
        <w:ind w:firstLine="5"/>
        <w:spacing w:after="0" w:line="284" w:lineRule="auto"/>
        <w:tabs>
          <w:tab w:leader="none" w:pos="77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xml:space="preserve">. Employee agrees that it would be impossible to adequately compensate the Company and its subsidiaries for the damage suffered by the Company or its subsidiaries as a result of Employee’s breach of any of the covenants and obligations set forth in this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Accordingly, Employee agrees that if Employee breaches any such covenants and obligations, the Company or its subsidiaries may, in addition to any other right or remedy available, obtain an injunction from a court of competent jurisdiction restraining such breach or threatened breach and to specific performance of any such provision of this </w:t>
      </w:r>
      <w:r>
        <w:rPr>
          <w:rFonts w:ascii="Arial" w:cs="Arial" w:eastAsia="Arial" w:hAnsi="Arial"/>
          <w:sz w:val="17"/>
          <w:szCs w:val="17"/>
          <w:u w:val="single" w:color="auto"/>
          <w:color w:val="auto"/>
        </w:rPr>
        <w:t>Exhibit A</w:t>
      </w:r>
      <w:r>
        <w:rPr>
          <w:rFonts w:ascii="Arial" w:cs="Arial" w:eastAsia="Arial" w:hAnsi="Arial"/>
          <w:sz w:val="17"/>
          <w:szCs w:val="17"/>
          <w:color w:val="auto"/>
        </w:rPr>
        <w:t>. Employee further agrees that no bond or other security shall be required in obtaining such equitable relief and Employee hereby consents to the issuance of such injunction and to the ordering of specific performance.</w:t>
      </w:r>
    </w:p>
    <w:p>
      <w:pPr>
        <w:sectPr>
          <w:pgSz w:w="11900" w:h="16838" w:orient="portrait"/>
          <w:cols w:equalWidth="0" w:num="1">
            <w:col w:w="11400"/>
          </w:cols>
          <w:pgMar w:left="240" w:top="568" w:right="25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LIST OF SUBSIDIARIES OF CORECIVIC,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ACS Corrections of Texas, L.L.C., a Texas limited liability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Avalon Corpus Christi Transitional Center,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Correctional Services, Inc., a Nevada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Transitional Center Dallas,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Tulsa,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Carver Transitional Center,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Health Services,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International,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South Texas,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(UK) Ltd., a United Kingdom limited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Government Solutions,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of Tennessee,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TRS,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Correctional Alternatives, LLC, a California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Correctional Management, Inc., a Colorado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EP Horizon Management,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Fort Worth Transitional Center,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Green Level Realty, LLC, a Colorado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Prison Realty Management,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Southern Corrections System of Wyoming,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Technical and Business Institute of America,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Time To Change, Inc., a Colorado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TransCor America,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TransCor Puerto Rico, Inc., a Puerto Rico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Turley Residential Center, L.L.C., an Oklahoma limited liability company</w:t>
      </w:r>
    </w:p>
    <w:p>
      <w:pPr>
        <w:sectPr>
          <w:pgSz w:w="11900" w:h="16838" w:orient="portrait"/>
          <w:cols w:equalWidth="0" w:num="1">
            <w:col w:w="11420"/>
          </w:cols>
          <w:pgMar w:left="240" w:top="33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50" w:lineRule="exact"/>
        <w:rPr>
          <w:sz w:val="20"/>
          <w:szCs w:val="20"/>
          <w:color w:val="auto"/>
        </w:rPr>
      </w:pPr>
    </w:p>
    <w:p>
      <w:pPr>
        <w:ind w:left="840" w:hanging="416"/>
        <w:spacing w:after="0" w:line="289"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333-69352) pertaining to the Corrections Corporation of America Amended and Restated 2000 Stock Incentive Plan,</w:t>
      </w:r>
    </w:p>
    <w:p>
      <w:pPr>
        <w:spacing w:after="0" w:line="183"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333-115492) pertaining to the registration of additional shares for the Corrections Corporation of America Amended and Restated 2000 Stock Incentive Plan,</w:t>
      </w:r>
    </w:p>
    <w:p>
      <w:pPr>
        <w:spacing w:after="0" w:line="183"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333-115493) pertaining to the Corrections Corporation of America Non-Employee Directors’ Compensation Plan,</w:t>
      </w:r>
    </w:p>
    <w:p>
      <w:pPr>
        <w:spacing w:after="0" w:line="183" w:lineRule="exact"/>
        <w:rPr>
          <w:rFonts w:ascii="Arial" w:cs="Arial" w:eastAsia="Arial" w:hAnsi="Arial"/>
          <w:sz w:val="17"/>
          <w:szCs w:val="17"/>
          <w:color w:val="auto"/>
        </w:rPr>
      </w:pPr>
    </w:p>
    <w:p>
      <w:pPr>
        <w:ind w:left="840" w:hanging="416"/>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333-69358) pertaining to the Corrections Corporation of America 401(k) Savings and Retirement Plan,</w:t>
      </w:r>
    </w:p>
    <w:p>
      <w:pPr>
        <w:spacing w:after="0" w:line="249" w:lineRule="exact"/>
        <w:rPr>
          <w:rFonts w:ascii="Arial" w:cs="Arial" w:eastAsia="Arial" w:hAnsi="Arial"/>
          <w:sz w:val="17"/>
          <w:szCs w:val="17"/>
          <w:color w:val="auto"/>
        </w:rPr>
      </w:pPr>
    </w:p>
    <w:p>
      <w:pPr>
        <w:ind w:left="840" w:hanging="416"/>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333-143046) pertaining to the Corrections Corporation of America 2008 Stock Incentive Plan,</w:t>
      </w:r>
    </w:p>
    <w:p>
      <w:pPr>
        <w:spacing w:after="0" w:line="249"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S-8 No. 333-176140) pertaining to the registration of additional shares for the Corrections Corporation of America Amended and Restated 2008 Stock Incentive Plan; and</w:t>
      </w:r>
    </w:p>
    <w:p>
      <w:pPr>
        <w:spacing w:after="0" w:line="157"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Registration Statement (Form S-3 No. 333-204234) pertaining to a shelf registration of debt securities, guarantees of debt securities, preferred stock, common stock, warrants, or units;</w:t>
      </w:r>
    </w:p>
    <w:p>
      <w:pPr>
        <w:spacing w:after="0" w:line="18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of our reports dated February 22, 2018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2017.</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Ernst &amp; Young LLP</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2018</w:t>
      </w:r>
    </w:p>
    <w:p>
      <w:pPr>
        <w:sectPr>
          <w:pgSz w:w="11900" w:h="16838" w:orient="portrait"/>
          <w:cols w:equalWidth="0" w:num="1">
            <w:col w:w="11420"/>
          </w:cols>
          <w:pgMar w:left="240" w:top="33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31.1</w:t>
      </w:r>
    </w:p>
    <w:p>
      <w:pPr>
        <w:spacing w:after="0" w:line="241"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auto"/>
        </w:rPr>
        <w:t>CERTIFICATION OF THE CEO PURSUANT TO SECURITIES EXCHANGE ACT RULES 13a-14(a) AND 15d-14(a) 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 Damon T. Hininger, certify that:</w:t>
      </w:r>
    </w:p>
    <w:p>
      <w:pPr>
        <w:spacing w:after="0" w:line="241" w:lineRule="exact"/>
        <w:rPr>
          <w:sz w:val="20"/>
          <w:szCs w:val="20"/>
          <w:color w:val="auto"/>
        </w:rPr>
      </w:pPr>
    </w:p>
    <w:p>
      <w:pPr>
        <w:ind w:left="840" w:hanging="416"/>
        <w:spacing w:after="0"/>
        <w:tabs>
          <w:tab w:leader="none" w:pos="8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CoreCivic, Inc.;</w:t>
      </w:r>
    </w:p>
    <w:p>
      <w:pPr>
        <w:spacing w:after="0" w:line="241"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95"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5"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20"/>
          <w:szCs w:val="20"/>
          <w:color w:val="auto"/>
        </w:rPr>
      </w:pPr>
    </w:p>
    <w:p>
      <w:pPr>
        <w:jc w:val="both"/>
        <w:ind w:left="1700" w:hanging="412"/>
        <w:spacing w:after="0" w:line="255" w:lineRule="auto"/>
        <w:tabs>
          <w:tab w:leader="none" w:pos="1700" w:val="left"/>
        </w:tabs>
        <w:numPr>
          <w:ilvl w:val="1"/>
          <w:numId w:val="8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Arial" w:cs="Arial" w:eastAsia="Arial" w:hAnsi="Arial"/>
          <w:sz w:val="20"/>
          <w:szCs w:val="20"/>
          <w:color w:val="auto"/>
        </w:rPr>
      </w:pPr>
    </w:p>
    <w:p>
      <w:pPr>
        <w:jc w:val="both"/>
        <w:ind w:left="1700" w:hanging="412"/>
        <w:spacing w:after="0" w:line="302" w:lineRule="auto"/>
        <w:tabs>
          <w:tab w:leader="none" w:pos="1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1700" w:hanging="412"/>
        <w:spacing w:after="0" w:line="260" w:lineRule="auto"/>
        <w:tabs>
          <w:tab w:leader="none" w:pos="1700" w:val="left"/>
        </w:tabs>
        <w:numPr>
          <w:ilvl w:val="1"/>
          <w:numId w:val="8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95" w:lineRule="exact"/>
        <w:rPr>
          <w:rFonts w:ascii="Arial" w:cs="Arial" w:eastAsia="Arial" w:hAnsi="Arial"/>
          <w:sz w:val="20"/>
          <w:szCs w:val="20"/>
          <w:color w:val="auto"/>
        </w:rPr>
      </w:pPr>
    </w:p>
    <w:p>
      <w:pPr>
        <w:jc w:val="both"/>
        <w:ind w:left="1700" w:hanging="412"/>
        <w:spacing w:after="0" w:line="255" w:lineRule="auto"/>
        <w:tabs>
          <w:tab w:leader="none" w:pos="1700" w:val="left"/>
        </w:tabs>
        <w:numPr>
          <w:ilvl w:val="1"/>
          <w:numId w:val="83"/>
        </w:numPr>
        <w:rPr>
          <w:rFonts w:ascii="Arial" w:cs="Arial" w:eastAsia="Arial" w:hAnsi="Arial"/>
          <w:sz w:val="20"/>
          <w:szCs w:val="20"/>
          <w:color w:val="auto"/>
        </w:rPr>
      </w:pPr>
      <w:r>
        <w:rPr>
          <w:rFonts w:ascii="Arial" w:cs="Arial" w:eastAsia="Arial" w:hAnsi="Arial"/>
          <w:sz w:val="20"/>
          <w:szCs w:val="20"/>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29297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0" w:name="page181"/>
    <w:bookmarkEnd w:id="180"/>
    <w:p>
      <w:pPr>
        <w:jc w:val="both"/>
        <w:ind w:left="840" w:hanging="416"/>
        <w:spacing w:after="0" w:line="260" w:lineRule="auto"/>
        <w:tabs>
          <w:tab w:leader="none" w:pos="8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20"/>
          <w:szCs w:val="20"/>
          <w:color w:val="auto"/>
        </w:rPr>
      </w:pPr>
    </w:p>
    <w:p>
      <w:pPr>
        <w:jc w:val="both"/>
        <w:ind w:left="1700" w:hanging="412"/>
        <w:spacing w:after="0" w:line="260" w:lineRule="auto"/>
        <w:tabs>
          <w:tab w:leader="none" w:pos="17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20"/>
          <w:szCs w:val="20"/>
          <w:color w:val="auto"/>
        </w:rPr>
      </w:pPr>
    </w:p>
    <w:p>
      <w:pPr>
        <w:ind w:left="1700" w:hanging="412"/>
        <w:spacing w:after="0" w:line="274" w:lineRule="auto"/>
        <w:tabs>
          <w:tab w:leader="none" w:pos="17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22, 2018</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8936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Damon T. Hininger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President and Chief Executive Officer</w:t>
      </w:r>
    </w:p>
    <w:p>
      <w:pPr>
        <w:sectPr>
          <w:pgSz w:w="11900" w:h="16838" w:orient="portrait"/>
          <w:cols w:equalWidth="0" w:num="1">
            <w:col w:w="11420"/>
          </w:cols>
          <w:pgMar w:left="240" w:top="33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31.2</w:t>
      </w:r>
    </w:p>
    <w:p>
      <w:pPr>
        <w:spacing w:after="0" w:line="241"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auto"/>
        </w:rPr>
        <w:t>CERTIFICATION OF THE CFO PURSUANT TO SECURITIES EXCHANGE ACT RULES 13a-14(a) AND 15d-14(a) 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 David M. Garfinkle, certify that:</w:t>
      </w:r>
    </w:p>
    <w:p>
      <w:pPr>
        <w:spacing w:after="0" w:line="241" w:lineRule="exact"/>
        <w:rPr>
          <w:sz w:val="20"/>
          <w:szCs w:val="20"/>
          <w:color w:val="auto"/>
        </w:rPr>
      </w:pPr>
    </w:p>
    <w:p>
      <w:pPr>
        <w:ind w:left="840" w:hanging="416"/>
        <w:spacing w:after="0"/>
        <w:tabs>
          <w:tab w:leader="none" w:pos="8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CoreCivic, Inc.;</w:t>
      </w:r>
    </w:p>
    <w:p>
      <w:pPr>
        <w:spacing w:after="0" w:line="241"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95"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5" w:lineRule="exact"/>
        <w:rPr>
          <w:rFonts w:ascii="Arial" w:cs="Arial" w:eastAsia="Arial" w:hAnsi="Arial"/>
          <w:sz w:val="20"/>
          <w:szCs w:val="20"/>
          <w:color w:val="auto"/>
        </w:rPr>
      </w:pPr>
    </w:p>
    <w:p>
      <w:pPr>
        <w:jc w:val="both"/>
        <w:ind w:left="840" w:hanging="416"/>
        <w:spacing w:after="0" w:line="260" w:lineRule="auto"/>
        <w:tabs>
          <w:tab w:leader="none" w:pos="8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20"/>
          <w:szCs w:val="20"/>
          <w:color w:val="auto"/>
        </w:rPr>
      </w:pPr>
    </w:p>
    <w:p>
      <w:pPr>
        <w:jc w:val="both"/>
        <w:ind w:left="1700" w:hanging="412"/>
        <w:spacing w:after="0" w:line="255" w:lineRule="auto"/>
        <w:tabs>
          <w:tab w:leader="none" w:pos="17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Arial" w:cs="Arial" w:eastAsia="Arial" w:hAnsi="Arial"/>
          <w:sz w:val="20"/>
          <w:szCs w:val="20"/>
          <w:color w:val="auto"/>
        </w:rPr>
      </w:pPr>
    </w:p>
    <w:p>
      <w:pPr>
        <w:jc w:val="both"/>
        <w:ind w:left="1700" w:hanging="412"/>
        <w:spacing w:after="0" w:line="302"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1700" w:hanging="412"/>
        <w:spacing w:after="0" w:line="260" w:lineRule="auto"/>
        <w:tabs>
          <w:tab w:leader="none" w:pos="17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95" w:lineRule="exact"/>
        <w:rPr>
          <w:rFonts w:ascii="Arial" w:cs="Arial" w:eastAsia="Arial" w:hAnsi="Arial"/>
          <w:sz w:val="20"/>
          <w:szCs w:val="20"/>
          <w:color w:val="auto"/>
        </w:rPr>
      </w:pPr>
    </w:p>
    <w:p>
      <w:pPr>
        <w:jc w:val="both"/>
        <w:ind w:left="1700" w:hanging="412"/>
        <w:spacing w:after="0" w:line="255" w:lineRule="auto"/>
        <w:tabs>
          <w:tab w:leader="none" w:pos="17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29297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729297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2" w:name="page183"/>
    <w:bookmarkEnd w:id="182"/>
    <w:p>
      <w:pPr>
        <w:jc w:val="both"/>
        <w:ind w:left="840" w:hanging="416"/>
        <w:spacing w:after="0" w:line="260" w:lineRule="auto"/>
        <w:tabs>
          <w:tab w:leader="none" w:pos="8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20"/>
          <w:szCs w:val="20"/>
          <w:color w:val="auto"/>
        </w:rPr>
      </w:pPr>
    </w:p>
    <w:p>
      <w:pPr>
        <w:jc w:val="both"/>
        <w:ind w:left="1700" w:hanging="412"/>
        <w:spacing w:after="0" w:line="260" w:lineRule="auto"/>
        <w:tabs>
          <w:tab w:leader="none" w:pos="17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20"/>
          <w:szCs w:val="20"/>
          <w:color w:val="auto"/>
        </w:rPr>
      </w:pPr>
    </w:p>
    <w:p>
      <w:pPr>
        <w:ind w:left="1700" w:hanging="412"/>
        <w:spacing w:after="0" w:line="274" w:lineRule="auto"/>
        <w:tabs>
          <w:tab w:leader="none" w:pos="17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22, 2018</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28936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David M. Garfinkle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Chief</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Financial Officer, and Principal</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Accounting Officer</w:t>
      </w:r>
    </w:p>
    <w:p>
      <w:pPr>
        <w:sectPr>
          <w:pgSz w:w="11900" w:h="16838" w:orient="portrait"/>
          <w:cols w:equalWidth="0" w:num="1">
            <w:col w:w="11420"/>
          </w:cols>
          <w:pgMar w:left="240" w:top="33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CoreCivic, Inc. (the "Company") on Form 10-K for the period ending December 31, 2017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66" w:lineRule="exact"/>
        <w:rPr>
          <w:sz w:val="20"/>
          <w:szCs w:val="20"/>
          <w:color w:val="auto"/>
        </w:rPr>
      </w:pPr>
    </w:p>
    <w:p>
      <w:pPr>
        <w:ind w:left="1160" w:hanging="579"/>
        <w:spacing w:after="0"/>
        <w:tabs>
          <w:tab w:leader="none" w:pos="11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Damon T. Hininger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Executive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February 22, 2018</w:t>
      </w:r>
    </w:p>
    <w:p>
      <w:pPr>
        <w:sectPr>
          <w:pgSz w:w="11900" w:h="16838" w:orient="portrait"/>
          <w:cols w:equalWidth="0" w:num="1">
            <w:col w:w="11420"/>
          </w:cols>
          <w:pgMar w:left="240" w:top="33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Annual Report of CoreCivic, Inc. (the "Company") on Form 10-K for the period ending December 31, 2017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50" w:lineRule="exact"/>
        <w:rPr>
          <w:sz w:val="20"/>
          <w:szCs w:val="20"/>
          <w:color w:val="auto"/>
        </w:rPr>
      </w:pPr>
    </w:p>
    <w:p>
      <w:pPr>
        <w:ind w:left="1900" w:hanging="494"/>
        <w:spacing w:after="0"/>
        <w:tabs>
          <w:tab w:leader="none" w:pos="1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1900" w:hanging="494"/>
        <w:spacing w:after="0" w:line="289" w:lineRule="auto"/>
        <w:tabs>
          <w:tab w:leader="none" w:pos="1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David M. Garfinkle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Chief</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Financial Officer, and Principal</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Accounting Officer</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February 22, 2018</w:t>
      </w:r>
    </w:p>
    <w:sectPr>
      <w:pgSz w:w="11900" w:h="16838" w:orient="portrait"/>
      <w:cols w:equalWidth="0" w:num="1">
        <w:col w:w="11420"/>
      </w:cols>
      <w:pgMar w:left="240" w:top="3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5"/>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upperLetter"/>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lowerRoman"/>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3"/>
    </w:lvl>
  </w:abstractNum>
  <w:abstractNum w:abstractNumId="19">
    <w:nsid w:val="374A3FE6"/>
    <w:multiLevelType w:val="hybridMultilevel"/>
    <w:lvl w:ilvl="0">
      <w:lvlJc w:val="left"/>
      <w:lvlText w:val="%1."/>
      <w:numFmt w:val="decimal"/>
      <w:start w:val="4"/>
    </w:lvl>
  </w:abstractNum>
  <w:abstractNum w:abstractNumId="20">
    <w:nsid w:val="4F4EF005"/>
    <w:multiLevelType w:val="hybridMultilevel"/>
    <w:lvl w:ilvl="0">
      <w:lvlJc w:val="left"/>
      <w:lvlText w:val="%1."/>
      <w:numFmt w:val="decimal"/>
      <w:start w:val="11"/>
    </w:lvl>
  </w:abstractNum>
  <w:abstractNum w:abstractNumId="21">
    <w:nsid w:val="23F9C13C"/>
    <w:multiLevelType w:val="hybridMultilevel"/>
    <w:lvl w:ilvl="0">
      <w:lvlJc w:val="left"/>
      <w:lvlText w:val="%1."/>
      <w:numFmt w:val="decimal"/>
      <w:start w:val="5"/>
    </w:lvl>
  </w:abstractNum>
  <w:abstractNum w:abstractNumId="22">
    <w:nsid w:val="649BB77C"/>
    <w:multiLevelType w:val="hybridMultilevel"/>
    <w:lvl w:ilvl="0">
      <w:lvlJc w:val="left"/>
      <w:lvlText w:val="%1."/>
      <w:numFmt w:val="decimal"/>
      <w:start w:val="6"/>
    </w:lvl>
  </w:abstractNum>
  <w:abstractNum w:abstractNumId="23">
    <w:nsid w:val="275AC794"/>
    <w:multiLevelType w:val="hybridMultilevel"/>
    <w:lvl w:ilvl="0">
      <w:lvlJc w:val="left"/>
      <w:lvlText w:val="%1."/>
      <w:numFmt w:val="decimal"/>
      <w:start w:val="7"/>
    </w:lvl>
  </w:abstractNum>
  <w:abstractNum w:abstractNumId="24">
    <w:nsid w:val="39386575"/>
    <w:multiLevelType w:val="hybridMultilevel"/>
    <w:lvl w:ilvl="0">
      <w:lvlJc w:val="left"/>
      <w:lvlText w:val="%1."/>
      <w:numFmt w:val="decimal"/>
      <w:start w:val="9"/>
    </w:lvl>
  </w:abstractNum>
  <w:abstractNum w:abstractNumId="25">
    <w:nsid w:val="1CF10FD8"/>
    <w:multiLevelType w:val="hybridMultilevel"/>
    <w:lvl w:ilvl="0">
      <w:lvlJc w:val="left"/>
      <w:lvlText w:val="%1."/>
      <w:numFmt w:val="decimal"/>
      <w:start w:val="11"/>
    </w:lvl>
  </w:abstractNum>
  <w:abstractNum w:abstractNumId="26">
    <w:nsid w:val="180115BE"/>
    <w:multiLevelType w:val="hybridMultilevel"/>
    <w:lvl w:ilvl="0">
      <w:lvlJc w:val="left"/>
      <w:lvlText w:val="%1."/>
      <w:numFmt w:val="decimal"/>
      <w:start w:val="13"/>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1."/>
      <w:numFmt w:val="decimal"/>
      <w:start w:val="14"/>
    </w:lvl>
  </w:abstractNum>
  <w:abstractNum w:abstractNumId="29">
    <w:nsid w:val="354FE9F9"/>
    <w:multiLevelType w:val="hybridMultilevel"/>
    <w:lvl w:ilvl="0">
      <w:lvlJc w:val="left"/>
      <w:lvlText w:val="%1."/>
      <w:numFmt w:val="decimal"/>
      <w:start w:val="15"/>
    </w:lvl>
  </w:abstractNum>
  <w:abstractNum w:abstractNumId="30">
    <w:nsid w:val="15B5AF5C"/>
    <w:multiLevelType w:val="hybridMultilevel"/>
    <w:lvl w:ilvl="0">
      <w:lvlJc w:val="left"/>
      <w:lvlText w:val="%1."/>
      <w:numFmt w:val="decimal"/>
      <w:start w:val="16"/>
    </w:lvl>
  </w:abstractNum>
  <w:abstractNum w:abstractNumId="31">
    <w:nsid w:val="741226BB"/>
    <w:multiLevelType w:val="hybridMultilevel"/>
    <w:lvl w:ilvl="0">
      <w:lvlJc w:val="left"/>
      <w:lvlText w:val="%1."/>
      <w:numFmt w:val="decimal"/>
      <w:start w:val="17"/>
    </w:lvl>
  </w:abstractNum>
  <w:abstractNum w:abstractNumId="32">
    <w:nsid w:val="D34B6A8"/>
    <w:multiLevelType w:val="hybridMultilevel"/>
    <w:lvl w:ilvl="0">
      <w:lvlJc w:val="left"/>
      <w:lvlText w:val="%1."/>
      <w:numFmt w:val="decimal"/>
      <w:start w:val="19"/>
    </w:lvl>
  </w:abstractNum>
  <w:abstractNum w:abstractNumId="33">
    <w:nsid w:val="10233C99"/>
    <w:multiLevelType w:val="hybridMultilevel"/>
    <w:lvl w:ilvl="0">
      <w:lvlJc w:val="left"/>
      <w:lvlText w:val="(%1)"/>
      <w:numFmt w:val="upperLetter"/>
      <w:start w:val="1"/>
    </w:lvl>
  </w:abstractNum>
  <w:abstractNum w:abstractNumId="34">
    <w:nsid w:val="3F6AB60F"/>
    <w:multiLevelType w:val="hybridMultilevel"/>
    <w:lvl w:ilvl="0">
      <w:lvlJc w:val="left"/>
      <w:lvlText w:val="(%1)"/>
      <w:numFmt w:val="lowerLetter"/>
      <w:start w:val="2"/>
    </w:lvl>
  </w:abstractNum>
  <w:abstractNum w:abstractNumId="35">
    <w:nsid w:val="61574095"/>
    <w:multiLevelType w:val="hybridMultilevel"/>
    <w:lvl w:ilvl="0">
      <w:lvlJc w:val="left"/>
      <w:lvlText w:val="(%1)"/>
      <w:numFmt w:val="decimal"/>
      <w:start w:val="3"/>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lowerLetter"/>
      <w:start w:val="2"/>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2"/>
    </w:lvl>
  </w:abstractNum>
  <w:abstractNum w:abstractNumId="40">
    <w:nsid w:val="5FF87E05"/>
    <w:multiLevelType w:val="hybridMultilevel"/>
    <w:lvl w:ilvl="0">
      <w:lvlJc w:val="left"/>
      <w:lvlText w:val="(%1)"/>
      <w:numFmt w:val="decimal"/>
      <w:start w:val="4"/>
    </w:lvl>
  </w:abstractNum>
  <w:abstractNum w:abstractNumId="41">
    <w:nsid w:val="2F305DEF"/>
    <w:multiLevelType w:val="hybridMultilevel"/>
    <w:lvl w:ilvl="0">
      <w:lvlJc w:val="left"/>
      <w:lvlText w:val="(%1)"/>
      <w:numFmt w:val="decimal"/>
      <w:start w:val="3"/>
    </w:lvl>
  </w:abstractNum>
  <w:abstractNum w:abstractNumId="42">
    <w:nsid w:val="25A70BF7"/>
    <w:multiLevelType w:val="hybridMultilevel"/>
    <w:lvl w:ilvl="0">
      <w:lvlJc w:val="left"/>
      <w:lvlText w:val="(%1)"/>
      <w:numFmt w:val="upperLetter"/>
      <w:start w:val="2"/>
    </w:lvl>
    <w:lvl w:ilvl="1">
      <w:lvlJc w:val="left"/>
      <w:lvlText w:val="%2"/>
      <w:numFmt w:val="upperLetter"/>
      <w:start w:val="1"/>
    </w:lvl>
  </w:abstractNum>
  <w:abstractNum w:abstractNumId="43">
    <w:nsid w:val="1DBABF00"/>
    <w:multiLevelType w:val="hybridMultilevel"/>
    <w:lvl w:ilvl="0">
      <w:lvlJc w:val="left"/>
      <w:lvlText w:val="(%1)"/>
      <w:numFmt w:val="upperLetter"/>
      <w:start w:val="5"/>
    </w:lvl>
    <w:lvl w:ilvl="1">
      <w:lvlJc w:val="left"/>
      <w:lvlText w:val="%2"/>
      <w:numFmt w:val="upperLetter"/>
      <w:start w:val="1"/>
    </w:lvl>
  </w:abstractNum>
  <w:abstractNum w:abstractNumId="44">
    <w:nsid w:val="4AD084E9"/>
    <w:multiLevelType w:val="hybridMultilevel"/>
    <w:lvl w:ilvl="0">
      <w:lvlJc w:val="left"/>
      <w:lvlText w:val="(%1)"/>
      <w:numFmt w:val="decimal"/>
      <w:start w:val="5"/>
    </w:lvl>
  </w:abstractNum>
  <w:abstractNum w:abstractNumId="45">
    <w:nsid w:val="1F48EAA1"/>
    <w:multiLevelType w:val="hybridMultilevel"/>
    <w:lvl w:ilvl="0">
      <w:lvlJc w:val="left"/>
      <w:lvlText w:val="(%1)"/>
      <w:numFmt w:val="lowerRoman"/>
      <w:start w:val="1"/>
    </w:lvl>
  </w:abstractNum>
  <w:abstractNum w:abstractNumId="46">
    <w:nsid w:val="1381823A"/>
    <w:multiLevelType w:val="hybridMultilevel"/>
    <w:lvl w:ilvl="0">
      <w:lvlJc w:val="left"/>
      <w:lvlText w:val="(%1)"/>
      <w:numFmt w:val="decimal"/>
      <w:start w:val="6"/>
    </w:lvl>
  </w:abstractNum>
  <w:abstractNum w:abstractNumId="47">
    <w:nsid w:val="5DB70AE5"/>
    <w:multiLevelType w:val="hybridMultilevel"/>
    <w:lvl w:ilvl="0">
      <w:lvlJc w:val="left"/>
      <w:lvlText w:val="(%1)"/>
      <w:numFmt w:val="decimal"/>
      <w:start w:val="7"/>
    </w:lvl>
  </w:abstractNum>
  <w:abstractNum w:abstractNumId="48">
    <w:nsid w:val="100F8FCA"/>
    <w:multiLevelType w:val="hybridMultilevel"/>
    <w:lvl w:ilvl="0">
      <w:lvlJc w:val="left"/>
      <w:lvlText w:val="(%1)"/>
      <w:numFmt w:val="lowerRoman"/>
      <w:start w:val="2"/>
    </w:lvl>
  </w:abstractNum>
  <w:abstractNum w:abstractNumId="49">
    <w:nsid w:val="6590700B"/>
    <w:multiLevelType w:val="hybridMultilevel"/>
    <w:lvl w:ilvl="0">
      <w:lvlJc w:val="left"/>
      <w:lvlText w:val="(%1)"/>
      <w:numFmt w:val="lowerRoman"/>
      <w:start w:val="1"/>
    </w:lvl>
  </w:abstractNum>
  <w:abstractNum w:abstractNumId="50">
    <w:nsid w:val="15014ACB"/>
    <w:multiLevelType w:val="hybridMultilevel"/>
    <w:lvl w:ilvl="0">
      <w:lvlJc w:val="left"/>
      <w:lvlText w:val="(%1)"/>
      <w:numFmt w:val="decimal"/>
      <w:start w:val="9"/>
    </w:lvl>
  </w:abstractNum>
  <w:abstractNum w:abstractNumId="51">
    <w:nsid w:val="5F5E7FD0"/>
    <w:multiLevelType w:val="hybridMultilevel"/>
    <w:lvl w:ilvl="0">
      <w:lvlJc w:val="left"/>
      <w:lvlText w:val="(%1)"/>
      <w:numFmt w:val="decimal"/>
      <w:start w:val="10"/>
    </w:lvl>
  </w:abstractNum>
  <w:abstractNum w:abstractNumId="52">
    <w:nsid w:val="98A3148"/>
    <w:multiLevelType w:val="hybridMultilevel"/>
    <w:lvl w:ilvl="0">
      <w:lvlJc w:val="left"/>
      <w:lvlText w:val="(%1)"/>
      <w:numFmt w:val="lowerRoman"/>
      <w:start w:val="2"/>
    </w:lvl>
  </w:abstractNum>
  <w:abstractNum w:abstractNumId="53">
    <w:nsid w:val="799D0247"/>
    <w:multiLevelType w:val="hybridMultilevel"/>
    <w:lvl w:ilvl="0">
      <w:lvlJc w:val="left"/>
      <w:lvlText w:val="(%1)"/>
      <w:numFmt w:val="lowerRoman"/>
      <w:start w:val="3"/>
    </w:lvl>
  </w:abstractNum>
  <w:abstractNum w:abstractNumId="54">
    <w:nsid w:val="6B94764"/>
    <w:multiLevelType w:val="hybridMultilevel"/>
    <w:lvl w:ilvl="0">
      <w:lvlJc w:val="left"/>
      <w:lvlText w:val="(%1)"/>
      <w:numFmt w:val="lowerLetter"/>
      <w:start w:val="4"/>
    </w:lvl>
    <w:lvl w:ilvl="1">
      <w:lvlJc w:val="left"/>
      <w:lvlText w:val="(%2)"/>
      <w:numFmt w:val="decimal"/>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decimal"/>
      <w:start w:val="1"/>
    </w:lvl>
    <w:lvl w:ilvl="1">
      <w:lvlJc w:val="left"/>
      <w:lvlText w:val="(%2)"/>
      <w:numFmt w:val="decimal"/>
      <w:start w:val="1"/>
    </w:lvl>
  </w:abstractNum>
  <w:abstractNum w:abstractNumId="57">
    <w:nsid w:val="1EBA5D23"/>
    <w:multiLevelType w:val="hybridMultilevel"/>
    <w:lvl w:ilvl="0">
      <w:lvlJc w:val="left"/>
      <w:lvlText w:val="(%1)"/>
      <w:numFmt w:val="decimal"/>
      <w:start w:val="2"/>
    </w:lvl>
    <w:lvl w:ilvl="1">
      <w:lvlJc w:val="left"/>
      <w:lvlText w:val="(%2)"/>
      <w:numFmt w:val="decimal"/>
      <w:start w:val="3"/>
    </w:lvl>
  </w:abstractNum>
  <w:abstractNum w:abstractNumId="58">
    <w:nsid w:val="661E3F1E"/>
    <w:multiLevelType w:val="hybridMultilevel"/>
    <w:lvl w:ilvl="0">
      <w:lvlJc w:val="left"/>
      <w:lvlText w:val="(%1)"/>
      <w:numFmt w:val="upperLetter"/>
      <w:start w:val="1"/>
    </w:lvl>
  </w:abstractNum>
  <w:abstractNum w:abstractNumId="59">
    <w:nsid w:val="5DC79EA8"/>
    <w:multiLevelType w:val="hybridMultilevel"/>
    <w:lvl w:ilvl="0">
      <w:lvlJc w:val="left"/>
      <w:lvlText w:val="(%1)"/>
      <w:numFmt w:val="lowerRoman"/>
      <w:start w:val="2"/>
    </w:lvl>
  </w:abstractNum>
  <w:abstractNum w:abstractNumId="60">
    <w:nsid w:val="540A471C"/>
    <w:multiLevelType w:val="hybridMultilevel"/>
    <w:lvl w:ilvl="0">
      <w:lvlJc w:val="left"/>
      <w:lvlText w:val="(%1)"/>
      <w:numFmt w:val="upperLetter"/>
      <w:start w:val="3"/>
    </w:lvl>
  </w:abstractNum>
  <w:abstractNum w:abstractNumId="61">
    <w:nsid w:val="7BD3EE7B"/>
    <w:multiLevelType w:val="hybridMultilevel"/>
    <w:lvl w:ilvl="0">
      <w:lvlJc w:val="left"/>
      <w:lvlText w:val="(%1)"/>
      <w:numFmt w:val="upperLetter"/>
      <w:start w:val="6"/>
    </w:lvl>
  </w:abstractNum>
  <w:abstractNum w:abstractNumId="62">
    <w:nsid w:val="51D9C564"/>
    <w:multiLevelType w:val="hybridMultilevel"/>
    <w:lvl w:ilvl="0">
      <w:lvlJc w:val="left"/>
      <w:lvlText w:val="(%1)"/>
      <w:numFmt w:val="lowerRoman"/>
      <w:start w:val="2"/>
    </w:lvl>
  </w:abstractNum>
  <w:abstractNum w:abstractNumId="63">
    <w:nsid w:val="613EFDC5"/>
    <w:multiLevelType w:val="hybridMultilevel"/>
    <w:lvl w:ilvl="0">
      <w:lvlJc w:val="left"/>
      <w:lvlText w:val="(%1)"/>
      <w:numFmt w:val="lowerRoman"/>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2"/>
    </w:lvl>
  </w:abstractNum>
  <w:abstractNum w:abstractNumId="66">
    <w:nsid w:val="42963E5A"/>
    <w:multiLevelType w:val="hybridMultilevel"/>
    <w:lvl w:ilvl="0">
      <w:lvlJc w:val="left"/>
      <w:lvlText w:val="(%1)"/>
      <w:numFmt w:val="lowerRoman"/>
      <w:start w:val="2"/>
    </w:lvl>
  </w:abstractNum>
  <w:abstractNum w:abstractNumId="67">
    <w:nsid w:val="A0382C5"/>
    <w:multiLevelType w:val="hybridMultilevel"/>
    <w:lvl w:ilvl="0">
      <w:lvlJc w:val="left"/>
      <w:lvlText w:val="%1."/>
      <w:numFmt w:val="decimal"/>
      <w:start w:val="5"/>
    </w:lvl>
  </w:abstractNum>
  <w:abstractNum w:abstractNumId="68">
    <w:nsid w:val="8F2B15E"/>
    <w:multiLevelType w:val="hybridMultilevel"/>
    <w:lvl w:ilvl="0">
      <w:lvlJc w:val="left"/>
      <w:lvlText w:val="(%1)"/>
      <w:numFmt w:val="decimal"/>
      <w:start w:val="12"/>
    </w:lvl>
  </w:abstractNum>
  <w:abstractNum w:abstractNumId="69">
    <w:nsid w:val="1A32234B"/>
    <w:multiLevelType w:val="hybridMultilevel"/>
    <w:lvl w:ilvl="0">
      <w:lvlJc w:val="left"/>
      <w:lvlText w:val="(%1)"/>
      <w:numFmt w:val="lowerRoman"/>
      <w:start w:val="2"/>
    </w:lvl>
  </w:abstractNum>
  <w:abstractNum w:abstractNumId="70">
    <w:nsid w:val="3B0FD379"/>
    <w:multiLevelType w:val="hybridMultilevel"/>
    <w:lvl w:ilvl="0">
      <w:lvlJc w:val="left"/>
      <w:lvlText w:val="(%1)"/>
      <w:numFmt w:val="lowerRoman"/>
      <w:start w:val="1"/>
    </w:lvl>
  </w:abstractNum>
  <w:abstractNum w:abstractNumId="71">
    <w:nsid w:val="68EB2F63"/>
    <w:multiLevelType w:val="hybridMultilevel"/>
    <w:lvl w:ilvl="0">
      <w:lvlJc w:val="left"/>
      <w:lvlText w:val="%1"/>
      <w:numFmt w:val="lowerRoman"/>
      <w:start w:val="1"/>
    </w:lvl>
    <w:lvl w:ilvl="1">
      <w:lvlJc w:val="left"/>
      <w:lvlText w:val="(%2)"/>
      <w:numFmt w:val="lowerRoman"/>
      <w:start w:val="2"/>
    </w:lvl>
  </w:abstractNum>
  <w:abstractNum w:abstractNumId="72">
    <w:nsid w:val="4962813B"/>
    <w:multiLevelType w:val="hybridMultilevel"/>
    <w:lvl w:ilvl="0">
      <w:lvlJc w:val="left"/>
      <w:lvlText w:val="(%1)"/>
      <w:numFmt w:val="lowerRoman"/>
      <w:start w:val="1"/>
    </w:lvl>
    <w:lvl w:ilvl="1">
      <w:lvlJc w:val="left"/>
      <w:lvlText w:val="%2"/>
      <w:numFmt w:val="lowerRoman"/>
      <w:start w:val="1"/>
    </w:lvl>
  </w:abstractNum>
  <w:abstractNum w:abstractNumId="73">
    <w:nsid w:val="60B6DF70"/>
    <w:multiLevelType w:val="hybridMultilevel"/>
    <w:lvl w:ilvl="0">
      <w:lvlJc w:val="left"/>
      <w:lvlText w:val="%1"/>
      <w:numFmt w:val="decimal"/>
      <w:start w:val="1"/>
    </w:lvl>
    <w:lvl w:ilvl="1">
      <w:lvlJc w:val="left"/>
      <w:lvlText w:val="(%2)"/>
      <w:numFmt w:val="lowerRoman"/>
      <w:start w:val="6"/>
    </w:lvl>
  </w:abstractNum>
  <w:abstractNum w:abstractNumId="74">
    <w:nsid w:val="6A5EE64"/>
    <w:multiLevelType w:val="hybridMultilevel"/>
    <w:lvl w:ilvl="0">
      <w:lvlJc w:val="left"/>
      <w:lvlText w:val="%1."/>
      <w:numFmt w:val="decimal"/>
      <w:start w:val="6"/>
    </w:lvl>
    <w:lvl w:ilvl="1">
      <w:lvlJc w:val="left"/>
      <w:lvlText w:val="%2"/>
      <w:numFmt w:val="lowerRoman"/>
      <w:start w:val="1"/>
    </w:lvl>
  </w:abstractNum>
  <w:abstractNum w:abstractNumId="75">
    <w:nsid w:val="14330624"/>
    <w:multiLevelType w:val="hybridMultilevel"/>
    <w:lvl w:ilvl="0">
      <w:lvlJc w:val="left"/>
      <w:lvlText w:val="%1."/>
      <w:numFmt w:val="decimal"/>
      <w:start w:val="2"/>
    </w:lvl>
    <w:lvl w:ilvl="1">
      <w:lvlJc w:val="left"/>
      <w:lvlText w:val="(%2)"/>
      <w:numFmt w:val="lowerLetter"/>
      <w:start w:val="1"/>
    </w:lvl>
  </w:abstractNum>
  <w:abstractNum w:abstractNumId="76">
    <w:nsid w:val="7FFFCA11"/>
    <w:multiLevelType w:val="hybridMultilevel"/>
    <w:lvl w:ilvl="0">
      <w:lvlJc w:val="left"/>
      <w:lvlText w:val="(%1)"/>
      <w:numFmt w:val="lowerLetter"/>
      <w:start w:val="6"/>
    </w:lvl>
  </w:abstractNum>
  <w:abstractNum w:abstractNumId="77">
    <w:nsid w:val="1A27709E"/>
    <w:multiLevelType w:val="hybridMultilevel"/>
    <w:lvl w:ilvl="0">
      <w:lvlJc w:val="left"/>
      <w:lvlText w:val="(%1)"/>
      <w:numFmt w:val="lowerLetter"/>
      <w:start w:val="8"/>
    </w:lvl>
  </w:abstractNum>
  <w:abstractNum w:abstractNumId="78">
    <w:nsid w:val="71EA1109"/>
    <w:multiLevelType w:val="hybridMultilevel"/>
    <w:lvl w:ilvl="0">
      <w:lvlJc w:val="left"/>
      <w:lvlText w:val="%1."/>
      <w:numFmt w:val="decimal"/>
      <w:start w:val="12"/>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4"/>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5"/>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5"/>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1"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103" Type="http://schemas.openxmlformats.org/officeDocument/2006/relationships/hyperlink" Target="http://www.sec.gov/Archives/edgar/data/1070985/000119312513228077/d541213dex31.htm" TargetMode="External"/><Relationship Id="rId104" Type="http://schemas.openxmlformats.org/officeDocument/2006/relationships/hyperlink" Target="http://www.sec.gov/Archives/edgar/data/1070985/000119312516764788/d256269dex31.htm" TargetMode="External"/><Relationship Id="rId105" Type="http://schemas.openxmlformats.org/officeDocument/2006/relationships/hyperlink" Target="http://www.sec.gov/Archives/edgar/data/1070985/000119312516764788/d256269dex41.htm" TargetMode="External"/><Relationship Id="rId106" Type="http://schemas.openxmlformats.org/officeDocument/2006/relationships/hyperlink" Target="http://www.sec.gov/Archives/edgar/data/1070985/000119312513145814/d516910dex42.htm" TargetMode="External"/><Relationship Id="rId107" Type="http://schemas.openxmlformats.org/officeDocument/2006/relationships/hyperlink" Target="http://www.sec.gov/Archives/edgar/data/1070985/000119312513145814/d516910dex43.htm" TargetMode="External"/><Relationship Id="rId108" Type="http://schemas.openxmlformats.org/officeDocument/2006/relationships/hyperlink" Target="http://www.sec.gov/Archives/edgar/data/1070985/000119312515328313/d93789dex41.htm" TargetMode="External"/><Relationship Id="rId109" Type="http://schemas.openxmlformats.org/officeDocument/2006/relationships/hyperlink" Target="http://www.sec.gov/Archives/edgar/data/1070985/000119312515328313/d93789dex42.htm" TargetMode="External"/><Relationship Id="rId110" Type="http://schemas.openxmlformats.org/officeDocument/2006/relationships/hyperlink" Target="http://www.sec.gov/Archives/edgar/data/1070985/000119312517309897/d449092dex42.htm" TargetMode="External"/><Relationship Id="rId112" Type="http://schemas.openxmlformats.org/officeDocument/2006/relationships/hyperlink" Target="http://www.sec.gov/Archives/edgar/data/1070985/000119312513432385/d609078dex41.htm" TargetMode="External"/><Relationship Id="rId113" Type="http://schemas.openxmlformats.org/officeDocument/2006/relationships/hyperlink" Target="http://www.sec.gov/Archives/edgar/data/1070985/000119312513432385/d609078dex42.htm" TargetMode="External"/><Relationship Id="rId114" Type="http://schemas.openxmlformats.org/officeDocument/2006/relationships/hyperlink" Target="http://www.sec.gov/Archives/edgar/data/1070985/000119312516477634/d121974dex411.htm" TargetMode="External"/><Relationship Id="rId115" Type="http://schemas.openxmlformats.org/officeDocument/2006/relationships/hyperlink" Target="http://www.sec.gov/Archives/edgar/data/1070985/000119312516477634/d121974dex412.htm" TargetMode="External"/><Relationship Id="rId116" Type="http://schemas.openxmlformats.org/officeDocument/2006/relationships/hyperlink" Target="http://www.sec.gov/Archives/edgar/data/1070985/000119312516477634/d121974dex413.htm" TargetMode="External"/><Relationship Id="rId117" Type="http://schemas.openxmlformats.org/officeDocument/2006/relationships/hyperlink" Target="http://www.sec.gov/Archives/edgar/data/1070985/000119312512007644/d280228dex101.htm" TargetMode="External"/><Relationship Id="rId118" Type="http://schemas.openxmlformats.org/officeDocument/2006/relationships/hyperlink" Target="http://www.sec.gov/Archives/edgar/data/1070985/000119312513124565/d508719dex101.htm" TargetMode="External"/><Relationship Id="rId119" Type="http://schemas.openxmlformats.org/officeDocument/2006/relationships/hyperlink" Target="http://www.sec.gov/Archives/edgar/data/1070985/000119312515261432/d78836dex101.htm" TargetMode="External"/><Relationship Id="rId120" Type="http://schemas.openxmlformats.org/officeDocument/2006/relationships/hyperlink" Target="http://www.sec.gov/Archives/edgar/data/1070985/000119312515338832/d52952dex101.htm" TargetMode="External"/><Relationship Id="rId123" Type="http://schemas.openxmlformats.org/officeDocument/2006/relationships/hyperlink" Target="http://www.sec.gov/Archives/edgar/data/1070985/000095014404002429/g87666exv10w20.txt" TargetMode="External"/><Relationship Id="rId124" Type="http://schemas.openxmlformats.org/officeDocument/2006/relationships/hyperlink" Target="http://www.sec.gov/Archives/edgar/data/1070985/000095014404010528/g91661exv10w1.txt" TargetMode="External"/><Relationship Id="rId125" Type="http://schemas.openxmlformats.org/officeDocument/2006/relationships/hyperlink" Target="http://www.sec.gov/Archives/edgar/data/1070985/000095014408006181/g14585exv10w1.htm" TargetMode="External"/><Relationship Id="rId126" Type="http://schemas.openxmlformats.org/officeDocument/2006/relationships/hyperlink" Target="http://www.sec.gov/Archives/edgar/data/1070985/000095012309035955/g20232exv10w3.htm" TargetMode="External"/><Relationship Id="rId127" Type="http://schemas.openxmlformats.org/officeDocument/2006/relationships/hyperlink" Target="http://www.sec.gov/Archives/edgar/data/1070985/000095014403004789/g81913dedef14a.htm" TargetMode="External"/><Relationship Id="rId128" Type="http://schemas.openxmlformats.org/officeDocument/2006/relationships/hyperlink" Target="http://www.sec.gov/Archives/edgar/data/1070985/000095014406001892/g99938exv10w15.txt" TargetMode="External"/><Relationship Id="rId129" Type="http://schemas.openxmlformats.org/officeDocument/2006/relationships/hyperlink" Target="http://www.sec.gov/Archives/edgar/data/1070985/000095014407007342/g08776exv10w1.htm" TargetMode="External"/><Relationship Id="rId130" Type="http://schemas.openxmlformats.org/officeDocument/2006/relationships/hyperlink" Target="http://www.sec.gov/Archives/edgar/data/1070985/000095014407004681/g07364exv10w1.htm" TargetMode="External"/><Relationship Id="rId131" Type="http://schemas.openxmlformats.org/officeDocument/2006/relationships/hyperlink" Target="http://www.sec.gov/Archives/edgar/data/1070985/000095014408001266/g11816exv10w2.htm" TargetMode="External"/><Relationship Id="rId132" Type="http://schemas.openxmlformats.org/officeDocument/2006/relationships/hyperlink" Target="http://www.sec.gov/Archives/edgar/data/1070985/000095014409001520/g17702exv10w2.htm" TargetMode="External"/><Relationship Id="rId133" Type="http://schemas.openxmlformats.org/officeDocument/2006/relationships/hyperlink" Target="http://www.sec.gov/Archives/edgar/data/1070985/000095014408001266/g11816exv10w3.htm" TargetMode="External"/><Relationship Id="rId134" Type="http://schemas.openxmlformats.org/officeDocument/2006/relationships/hyperlink" Target="http://www.sec.gov/Archives/edgar/data/1070985/000095012311051326/g27277exv10w1.htm" TargetMode="External"/><Relationship Id="rId135" Type="http://schemas.openxmlformats.org/officeDocument/2006/relationships/hyperlink" Target="http://www.sec.gov/Archives/edgar/data/1070985/000119312512125275/d318887dex101.htm" TargetMode="External"/><Relationship Id="rId138" Type="http://schemas.openxmlformats.org/officeDocument/2006/relationships/hyperlink" Target="http://www.sec.gov/Archives/edgar/data/1070985/000119312512125275/d318887dex102.htm" TargetMode="External"/><Relationship Id="rId139" Type="http://schemas.openxmlformats.org/officeDocument/2006/relationships/hyperlink" Target="http://www.sec.gov/Archives/edgar/data/1070985/000119312512125275/d318887dex103.htm" TargetMode="External"/><Relationship Id="rId140" Type="http://schemas.openxmlformats.org/officeDocument/2006/relationships/hyperlink" Target="http://www.sec.gov/Archives/edgar/data/1070985/000119312513080296/d452767dex1023.htm" TargetMode="External"/><Relationship Id="rId141" Type="http://schemas.openxmlformats.org/officeDocument/2006/relationships/hyperlink" Target="http://www.sec.gov/Archives/edgar/data/1070985/000095014407007953/g08996exv10w1.htm" TargetMode="External"/><Relationship Id="rId142" Type="http://schemas.openxmlformats.org/officeDocument/2006/relationships/hyperlink" Target="http://www.sec.gov/Archives/edgar/data/1070985/000095012310016309/g22193exv10w35.htm" TargetMode="External"/><Relationship Id="rId143" Type="http://schemas.openxmlformats.org/officeDocument/2006/relationships/hyperlink" Target="http://www.sec.gov/Archives/edgar/data/1070985/000095014407007953/g08996exv10w2.htm" TargetMode="External"/><Relationship Id="rId144" Type="http://schemas.openxmlformats.org/officeDocument/2006/relationships/hyperlink" Target="http://www.sec.gov/Archives/edgar/data/1070985/000095012309035955/g20232exv10w1.htm" TargetMode="External"/><Relationship Id="rId145" Type="http://schemas.openxmlformats.org/officeDocument/2006/relationships/hyperlink" Target="http://www.sec.gov/Archives/edgar/data/1070985/000119312515061839/d853180dex1032.htm" TargetMode="External"/><Relationship Id="rId146" Type="http://schemas.openxmlformats.org/officeDocument/2006/relationships/hyperlink" Target="http://www.sec.gov/Archives/edgar/data/1070985/000119312516621639/d214043dex101.htm" TargetMode="External"/><Relationship Id="rId147" Type="http://schemas.openxmlformats.org/officeDocument/2006/relationships/hyperlink" Target="http://www.sec.gov/Archives/edgar/data/1070985/000119312516721624/d4468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2019-12-29T00:53:27Z</dcterms:created>
  <dcterms:modified xsi:type="dcterms:W3CDTF">2019-12-29T00:53:27Z</dcterms:modified>
</cp:coreProperties>
</file>