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ind w:left="2640"/>
        <w:spacing w:after="0" w:line="238" w:lineRule="auto"/>
        <w:rPr>
          <w:sz w:val="20"/>
          <w:szCs w:val="20"/>
          <w:color w:val="auto"/>
        </w:rPr>
      </w:pPr>
      <w:r>
        <w:rPr>
          <w:rFonts w:ascii="Courier New" w:cs="Courier New" w:eastAsia="Courier New" w:hAnsi="Courier New"/>
          <w:sz w:val="18"/>
          <w:szCs w:val="18"/>
          <w:color w:val="auto"/>
        </w:rPr>
        <w:t>Amendment #1</w:t>
      </w:r>
    </w:p>
    <w:p>
      <w:pPr>
        <w:spacing w:after="0" w:line="202"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Prison Realty Trust, Inc.</w:t>
      </w:r>
    </w:p>
    <w:p>
      <w:pPr>
        <w:ind w:left="254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$.01 par value</w:t>
      </w:r>
    </w:p>
    <w:p>
      <w:pPr>
        <w:ind w:left="200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72424N-10-5</w:t>
      </w:r>
    </w:p>
    <w:p>
      <w:pPr>
        <w:ind w:left="26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Marc Weingarten, Esq.</w:t>
      </w:r>
    </w:p>
    <w:p>
      <w:pPr>
        <w:ind w:left="2220"/>
        <w:spacing w:after="0" w:line="238" w:lineRule="auto"/>
        <w:rPr>
          <w:sz w:val="20"/>
          <w:szCs w:val="20"/>
          <w:color w:val="auto"/>
        </w:rPr>
      </w:pPr>
      <w:r>
        <w:rPr>
          <w:rFonts w:ascii="Courier New" w:cs="Courier New" w:eastAsia="Courier New" w:hAnsi="Courier New"/>
          <w:sz w:val="18"/>
          <w:szCs w:val="18"/>
          <w:color w:val="auto"/>
        </w:rPr>
        <w:t>Schulte Roth &amp; Zabel LLP</w:t>
      </w:r>
    </w:p>
    <w:p>
      <w:pPr>
        <w:ind w:left="2640"/>
        <w:spacing w:after="0"/>
        <w:rPr>
          <w:sz w:val="20"/>
          <w:szCs w:val="20"/>
          <w:color w:val="auto"/>
        </w:rPr>
      </w:pPr>
      <w:r>
        <w:rPr>
          <w:rFonts w:ascii="Courier New" w:cs="Courier New" w:eastAsia="Courier New" w:hAnsi="Courier New"/>
          <w:sz w:val="18"/>
          <w:szCs w:val="18"/>
          <w:color w:val="auto"/>
        </w:rPr>
        <w:t>900 Third Avenue</w:t>
      </w:r>
    </w:p>
    <w:p>
      <w:pPr>
        <w:ind w:left="2120"/>
        <w:spacing w:after="0"/>
        <w:tabs>
          <w:tab w:leader="none" w:pos="42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10022</w:t>
      </w:r>
    </w:p>
    <w:p>
      <w:pPr>
        <w:ind w:left="2640"/>
        <w:spacing w:after="0" w:line="238" w:lineRule="auto"/>
        <w:rPr>
          <w:sz w:val="20"/>
          <w:szCs w:val="20"/>
          <w:color w:val="auto"/>
        </w:rPr>
      </w:pPr>
      <w:r>
        <w:rPr>
          <w:rFonts w:ascii="Courier New" w:cs="Courier New" w:eastAsia="Courier New" w:hAnsi="Courier New"/>
          <w:sz w:val="18"/>
          <w:szCs w:val="18"/>
          <w:color w:val="auto"/>
        </w:rPr>
        <w:t>(212) 756-2000</w:t>
      </w:r>
    </w:p>
    <w:p>
      <w:pPr>
        <w:jc w:val="center"/>
        <w:ind w:right="3359"/>
        <w:spacing w:after="0"/>
        <w:rPr>
          <w:sz w:val="20"/>
          <w:szCs w:val="20"/>
          <w:color w:val="auto"/>
        </w:rPr>
      </w:pPr>
      <w:r>
        <w:rPr>
          <w:rFonts w:ascii="Courier New" w:cs="Courier New" w:eastAsia="Courier New" w:hAnsi="Courier New"/>
          <w:sz w:val="18"/>
          <w:szCs w:val="18"/>
          <w:color w:val="auto"/>
        </w:rPr>
        <w:t>(Name, address and telephone number of person authorized to</w:t>
      </w:r>
    </w:p>
    <w:p>
      <w:pPr>
        <w:jc w:val="center"/>
        <w:ind w:right="3359"/>
        <w:spacing w:after="0" w:line="237" w:lineRule="auto"/>
        <w:rPr>
          <w:sz w:val="20"/>
          <w:szCs w:val="20"/>
          <w:color w:val="auto"/>
        </w:rPr>
      </w:pPr>
      <w:r>
        <w:rPr>
          <w:rFonts w:ascii="Courier New" w:cs="Courier New" w:eastAsia="Courier New" w:hAnsi="Courier New"/>
          <w:sz w:val="18"/>
          <w:szCs w:val="18"/>
          <w:color w:val="auto"/>
        </w:rPr>
        <w:t>receive notices and communications)</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March 31, 2000</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the statement</w:t>
      </w:r>
    </w:p>
    <w:p>
      <w:pPr>
        <w:spacing w:after="0" w:line="4" w:lineRule="exact"/>
        <w:rPr>
          <w:sz w:val="24"/>
          <w:szCs w:val="24"/>
          <w:color w:val="auto"/>
        </w:rPr>
      </w:pPr>
    </w:p>
    <w:p>
      <w:pPr>
        <w:ind w:right="335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3"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w:t>
      </w:r>
    </w:p>
    <w:p>
      <w:pPr>
        <w:spacing w:after="0" w:line="4" w:lineRule="exact"/>
        <w:rPr>
          <w:rFonts w:ascii="Courier New" w:cs="Courier New" w:eastAsia="Courier New" w:hAnsi="Courier New"/>
          <w:sz w:val="18"/>
          <w:szCs w:val="18"/>
          <w:color w:val="auto"/>
        </w:rPr>
      </w:pPr>
    </w:p>
    <w:p>
      <w:pPr>
        <w:ind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4"/>
          <w:szCs w:val="24"/>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2 of 10 Pages</w:t>
      </w:r>
    </w:p>
    <w:p>
      <w:pPr>
        <w:spacing w:after="0" w:line="201" w:lineRule="exact"/>
        <w:rPr>
          <w:sz w:val="24"/>
          <w:szCs w:val="24"/>
          <w:color w:val="auto"/>
        </w:rPr>
      </w:pPr>
    </w:p>
    <w:p>
      <w:pPr>
        <w:ind w:left="1580" w:hanging="940"/>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2120" w:right="3479" w:hanging="532"/>
        <w:spacing w:after="0" w:line="235"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Gotham Partners, L.P.</w:t>
      </w:r>
    </w:p>
    <w:p>
      <w:pPr>
        <w:spacing w:after="0" w:line="203"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20" w:type="dxa"/>
            <w:vAlign w:val="bottom"/>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1" w:lineRule="exact"/>
        <w:rPr>
          <w:sz w:val="24"/>
          <w:szCs w:val="24"/>
          <w:color w:val="auto"/>
        </w:rPr>
      </w:pPr>
    </w:p>
    <w:p>
      <w:pPr>
        <w:ind w:left="1580" w:hanging="940"/>
        <w:spacing w:after="0"/>
        <w:tabs>
          <w:tab w:leader="none" w:pos="15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ind w:left="2120" w:right="6939" w:hanging="1480"/>
        <w:spacing w:after="0" w:line="235"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ectPr>
          <w:pgSz w:w="11900" w:h="16838" w:orient="portrait"/>
          <w:cols w:equalWidth="0" w:num="1">
            <w:col w:w="10219"/>
          </w:cols>
          <w:pgMar w:left="240" w:top="1055" w:right="1440" w:bottom="0" w:gutter="0" w:footer="0" w:header="0"/>
        </w:sectPr>
      </w:pPr>
    </w:p>
    <w:bookmarkStart w:id="1" w:name="page2"/>
    <w:bookmarkEnd w:id="1"/>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ITEMS 2(d) or 2(e)</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120" w:right="4839" w:hanging="1480"/>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5,215,451</w:t>
            </w:r>
          </w:p>
        </w:tc>
      </w:tr>
      <w:tr>
        <w:trPr>
          <w:trHeight w:val="405"/>
        </w:trPr>
        <w:tc>
          <w:tcPr>
            <w:tcW w:w="1540" w:type="dxa"/>
            <w:vAlign w:val="bottom"/>
            <w:gridSpan w:val="2"/>
          </w:tcPr>
          <w:p>
            <w:pPr>
              <w:jc w:val="center"/>
              <w:ind w:right="172"/>
              <w:spacing w:after="0"/>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320" w:right="705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REPORTING5,215,451 PERSON</w:t>
      </w:r>
    </w:p>
    <w:p>
      <w:pPr>
        <w:sectPr>
          <w:pgSz w:w="11900" w:h="16838" w:orient="portrait"/>
          <w:cols w:equalWidth="0" w:num="1">
            <w:col w:w="10219"/>
          </w:cols>
          <w:pgMar w:left="240" w:top="339" w:right="1440" w:bottom="1440" w:gutter="0" w:footer="0" w:header="0"/>
        </w:sectPr>
      </w:pP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SHARED DISPOSITIVE POWER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860" w:space="720"/>
            <w:col w:w="8639"/>
          </w:cols>
          <w:pgMar w:left="240" w:top="339" w:right="1440" w:bottom="1440" w:gutter="0" w:footer="0" w:header="0"/>
          <w:type w:val="continuous"/>
        </w:sectPr>
      </w:pPr>
    </w:p>
    <w:p>
      <w:pPr>
        <w:spacing w:after="0" w:line="7" w:lineRule="exact"/>
        <w:rPr>
          <w:sz w:val="20"/>
          <w:szCs w:val="20"/>
          <w:color w:val="auto"/>
        </w:rPr>
      </w:pPr>
    </w:p>
    <w:p>
      <w:pPr>
        <w:ind w:left="1580" w:right="4099" w:hanging="1045"/>
        <w:spacing w:after="0" w:line="235"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5,215,451</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580" w:right="3899" w:hanging="1045"/>
        <w:spacing w:after="0" w:line="235" w:lineRule="auto"/>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4.41%</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120"/>
        <w:spacing w:after="0" w:line="238" w:lineRule="auto"/>
        <w:rPr>
          <w:sz w:val="20"/>
          <w:szCs w:val="20"/>
          <w:color w:val="auto"/>
        </w:rPr>
      </w:pPr>
      <w:r>
        <w:rPr>
          <w:rFonts w:ascii="Courier New" w:cs="Courier New" w:eastAsia="Courier New" w:hAnsi="Courier New"/>
          <w:sz w:val="18"/>
          <w:szCs w:val="18"/>
          <w:color w:val="auto"/>
        </w:rPr>
        <w:t>PN</w:t>
      </w:r>
    </w:p>
    <w:p>
      <w:pPr>
        <w:sectPr>
          <w:pgSz w:w="11900" w:h="16838" w:orient="portrait"/>
          <w:cols w:equalWidth="0" w:num="1">
            <w:col w:w="10219"/>
          </w:cols>
          <w:pgMar w:left="240" w:top="339" w:right="1440" w:bottom="1440" w:gutter="0" w:footer="0" w:header="0"/>
          <w:type w:val="continuous"/>
        </w:sectPr>
      </w:pPr>
    </w:p>
    <w:bookmarkStart w:id="2" w:name="page3"/>
    <w:bookmarkEnd w:id="2"/>
    <w:p>
      <w:pPr>
        <w:jc w:val="center"/>
        <w:ind w:right="3039"/>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3 of 10 Pages</w:t>
      </w:r>
    </w:p>
    <w:p>
      <w:pPr>
        <w:spacing w:after="0" w:line="201" w:lineRule="exact"/>
        <w:rPr>
          <w:sz w:val="20"/>
          <w:szCs w:val="20"/>
          <w:color w:val="auto"/>
        </w:rPr>
      </w:pPr>
    </w:p>
    <w:p>
      <w:pPr>
        <w:ind w:left="1580" w:hanging="940"/>
        <w:spacing w:after="0"/>
        <w:tabs>
          <w:tab w:leader="none" w:pos="15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2120" w:right="3479" w:hanging="532"/>
        <w:spacing w:after="0" w:line="235" w:lineRule="auto"/>
        <w:tabs>
          <w:tab w:leader="none" w:pos="212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Gotham Partners III, L.P.</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20" w:type="dxa"/>
            <w:vAlign w:val="bottom"/>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1" w:lineRule="exact"/>
        <w:rPr>
          <w:sz w:val="20"/>
          <w:szCs w:val="20"/>
          <w:color w:val="auto"/>
        </w:rPr>
      </w:pPr>
    </w:p>
    <w:p>
      <w:pPr>
        <w:ind w:left="1580" w:hanging="940"/>
        <w:spacing w:after="0"/>
        <w:tabs>
          <w:tab w:leader="none" w:pos="1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120" w:right="6939" w:hanging="1480"/>
        <w:spacing w:after="0" w:line="235" w:lineRule="auto"/>
        <w:tabs>
          <w:tab w:leader="none" w:pos="15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ITEMS 2(d) or 2(e)</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120" w:right="4839" w:hanging="1480"/>
        <w:spacing w:after="0" w:line="235" w:lineRule="auto"/>
        <w:tabs>
          <w:tab w:leader="none" w:pos="15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233,962</w:t>
            </w:r>
          </w:p>
        </w:tc>
      </w:tr>
      <w:tr>
        <w:trPr>
          <w:trHeight w:val="405"/>
        </w:trPr>
        <w:tc>
          <w:tcPr>
            <w:tcW w:w="1540" w:type="dxa"/>
            <w:vAlign w:val="bottom"/>
            <w:gridSpan w:val="2"/>
          </w:tcPr>
          <w:p>
            <w:pPr>
              <w:jc w:val="center"/>
              <w:ind w:right="172"/>
              <w:spacing w:after="0"/>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320" w:right="725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REPORTING233,962 PERSON</w:t>
      </w:r>
    </w:p>
    <w:p>
      <w:pPr>
        <w:sectPr>
          <w:pgSz w:w="11900" w:h="16838" w:orient="portrait"/>
          <w:cols w:equalWidth="0" w:num="1">
            <w:col w:w="10219"/>
          </w:cols>
          <w:pgMar w:left="240" w:top="1325" w:right="1440" w:bottom="1440" w:gutter="0" w:footer="0" w:header="0"/>
        </w:sectPr>
      </w:pP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SHARED DISPOSITIVE POWER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860" w:space="720"/>
            <w:col w:w="8639"/>
          </w:cols>
          <w:pgMar w:left="240" w:top="1325" w:right="1440" w:bottom="1440" w:gutter="0" w:footer="0" w:header="0"/>
          <w:type w:val="continuous"/>
        </w:sectPr>
      </w:pPr>
    </w:p>
    <w:p>
      <w:pPr>
        <w:spacing w:after="0" w:line="7" w:lineRule="exact"/>
        <w:rPr>
          <w:sz w:val="20"/>
          <w:szCs w:val="20"/>
          <w:color w:val="auto"/>
        </w:rPr>
      </w:pPr>
    </w:p>
    <w:p>
      <w:pPr>
        <w:ind w:left="1580" w:right="4099" w:hanging="1045"/>
        <w:spacing w:after="0" w:line="235" w:lineRule="auto"/>
        <w:tabs>
          <w:tab w:leader="none" w:pos="158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233,962</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580" w:right="3899" w:hanging="1045"/>
        <w:spacing w:after="0" w:line="235"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120"/>
        <w:spacing w:after="0" w:line="238" w:lineRule="auto"/>
        <w:rPr>
          <w:sz w:val="20"/>
          <w:szCs w:val="20"/>
          <w:color w:val="auto"/>
        </w:rPr>
      </w:pPr>
      <w:r>
        <w:rPr>
          <w:rFonts w:ascii="Courier New" w:cs="Courier New" w:eastAsia="Courier New" w:hAnsi="Courier New"/>
          <w:sz w:val="18"/>
          <w:szCs w:val="18"/>
          <w:color w:val="auto"/>
        </w:rPr>
        <w:t>PN</w:t>
      </w:r>
    </w:p>
    <w:p>
      <w:pPr>
        <w:sectPr>
          <w:pgSz w:w="11900" w:h="16838" w:orient="portrait"/>
          <w:cols w:equalWidth="0" w:num="1">
            <w:col w:w="10219"/>
          </w:cols>
          <w:pgMar w:left="240" w:top="1325" w:right="1440" w:bottom="1440" w:gutter="0" w:footer="0" w:header="0"/>
          <w:type w:val="continuous"/>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4 of 10 Pages</w:t>
      </w:r>
    </w:p>
    <w:p>
      <w:pPr>
        <w:spacing w:after="0" w:line="201" w:lineRule="exact"/>
        <w:rPr>
          <w:sz w:val="20"/>
          <w:szCs w:val="20"/>
          <w:color w:val="auto"/>
        </w:rPr>
      </w:pPr>
    </w:p>
    <w:p>
      <w:pPr>
        <w:ind w:left="1580" w:hanging="940"/>
        <w:spacing w:after="0"/>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2120" w:right="3479" w:hanging="532"/>
        <w:spacing w:after="0" w:line="290" w:lineRule="auto"/>
        <w:tabs>
          <w:tab w:leader="none" w:pos="2120"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 I.R.S. IDENTIFICATION NO. OF ABOVE PERSON Gotham International Advisors, L.L.C.</w:t>
      </w:r>
    </w:p>
    <w:p>
      <w:pPr>
        <w:spacing w:after="0" w:line="16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20" w:type="dxa"/>
            <w:vAlign w:val="bottom"/>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1" w:lineRule="exact"/>
        <w:rPr>
          <w:sz w:val="20"/>
          <w:szCs w:val="20"/>
          <w:color w:val="auto"/>
        </w:rPr>
      </w:pPr>
    </w:p>
    <w:p>
      <w:pPr>
        <w:ind w:left="1580" w:hanging="940"/>
        <w:spacing w:after="0"/>
        <w:tabs>
          <w:tab w:leader="none" w:pos="15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120" w:right="6939" w:hanging="1480"/>
        <w:spacing w:after="0" w:line="235"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ITEMS 2(d) or 2(e)</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120" w:right="4839" w:hanging="1480"/>
        <w:spacing w:after="0" w:line="235"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2,204,086</w:t>
            </w:r>
          </w:p>
        </w:tc>
      </w:tr>
      <w:tr>
        <w:trPr>
          <w:trHeight w:val="405"/>
        </w:trPr>
        <w:tc>
          <w:tcPr>
            <w:tcW w:w="1540" w:type="dxa"/>
            <w:vAlign w:val="bottom"/>
            <w:gridSpan w:val="2"/>
          </w:tcPr>
          <w:p>
            <w:pPr>
              <w:jc w:val="center"/>
              <w:ind w:right="172"/>
              <w:spacing w:after="0"/>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320" w:right="705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REPORTING2,204,086 PERSON</w:t>
      </w:r>
    </w:p>
    <w:p>
      <w:pPr>
        <w:sectPr>
          <w:pgSz w:w="11900" w:h="16838" w:orient="portrait"/>
          <w:cols w:equalWidth="0" w:num="1">
            <w:col w:w="10219"/>
          </w:cols>
          <w:pgMar w:left="240" w:top="1325" w:right="1440" w:bottom="1440" w:gutter="0" w:footer="0" w:header="0"/>
        </w:sectPr>
      </w:pP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SHARED DISPOSITIVE POWER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860" w:space="720"/>
            <w:col w:w="8639"/>
          </w:cols>
          <w:pgMar w:left="240" w:top="1325" w:right="1440" w:bottom="1440" w:gutter="0" w:footer="0" w:header="0"/>
          <w:type w:val="continuous"/>
        </w:sectPr>
      </w:pPr>
    </w:p>
    <w:p>
      <w:pPr>
        <w:spacing w:after="0" w:line="7" w:lineRule="exact"/>
        <w:rPr>
          <w:sz w:val="20"/>
          <w:szCs w:val="20"/>
          <w:color w:val="auto"/>
        </w:rPr>
      </w:pPr>
    </w:p>
    <w:p>
      <w:pPr>
        <w:ind w:left="1580" w:right="4099" w:hanging="1045"/>
        <w:spacing w:after="0" w:line="235"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2,204,086</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580" w:right="3899" w:hanging="1045"/>
        <w:spacing w:after="0" w:line="235" w:lineRule="auto"/>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1.86%</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120"/>
        <w:spacing w:after="0" w:line="238" w:lineRule="auto"/>
        <w:rPr>
          <w:sz w:val="20"/>
          <w:szCs w:val="20"/>
          <w:color w:val="auto"/>
        </w:rPr>
      </w:pPr>
      <w:r>
        <w:rPr>
          <w:rFonts w:ascii="Courier New" w:cs="Courier New" w:eastAsia="Courier New" w:hAnsi="Courier New"/>
          <w:sz w:val="18"/>
          <w:szCs w:val="18"/>
          <w:color w:val="auto"/>
        </w:rPr>
        <w:t>OO; IA</w:t>
      </w:r>
    </w:p>
    <w:p>
      <w:pPr>
        <w:sectPr>
          <w:pgSz w:w="11900" w:h="16838" w:orient="portrait"/>
          <w:cols w:equalWidth="0" w:num="1">
            <w:col w:w="10219"/>
          </w:cols>
          <w:pgMar w:left="240" w:top="1325"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SCHEDULE 13D/A</w:t>
      </w:r>
    </w:p>
    <w:p>
      <w:pPr>
        <w:spacing w:after="0" w:line="201" w:lineRule="exact"/>
        <w:rPr>
          <w:sz w:val="20"/>
          <w:szCs w:val="20"/>
          <w:color w:val="auto"/>
        </w:rPr>
      </w:pPr>
    </w:p>
    <w:p>
      <w:pPr>
        <w:spacing w:after="0"/>
        <w:tabs>
          <w:tab w:leader="none" w:pos="5360" w:val="left"/>
        </w:tabs>
        <w:rPr>
          <w:sz w:val="20"/>
          <w:szCs w:val="20"/>
          <w:color w:val="auto"/>
        </w:rPr>
      </w:pPr>
      <w:r>
        <w:rPr>
          <w:rFonts w:ascii="Courier New" w:cs="Courier New" w:eastAsia="Courier New" w:hAnsi="Courier New"/>
          <w:sz w:val="18"/>
          <w:szCs w:val="18"/>
          <w:color w:val="auto"/>
        </w:rPr>
        <w:t>CUSIP No. 72424N-10-5</w:t>
      </w:r>
      <w:r>
        <w:rPr>
          <w:sz w:val="20"/>
          <w:szCs w:val="20"/>
          <w:color w:val="auto"/>
        </w:rPr>
        <w:tab/>
      </w:r>
      <w:r>
        <w:rPr>
          <w:rFonts w:ascii="Courier New" w:cs="Courier New" w:eastAsia="Courier New" w:hAnsi="Courier New"/>
          <w:sz w:val="16"/>
          <w:szCs w:val="16"/>
          <w:color w:val="auto"/>
        </w:rPr>
        <w:t>Page 5 of 10 Pages</w:t>
      </w:r>
    </w:p>
    <w:p>
      <w:pPr>
        <w:spacing w:after="0" w:line="201" w:lineRule="exact"/>
        <w:rPr>
          <w:sz w:val="20"/>
          <w:szCs w:val="20"/>
          <w:color w:val="auto"/>
        </w:rPr>
      </w:pPr>
    </w:p>
    <w:p>
      <w:pPr>
        <w:ind w:left="1580" w:hanging="940"/>
        <w:spacing w:after="0"/>
        <w:tabs>
          <w:tab w:leader="none" w:pos="1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2120" w:right="3479" w:hanging="532"/>
        <w:spacing w:after="0" w:line="235" w:lineRule="auto"/>
        <w:tabs>
          <w:tab w:leader="none" w:pos="212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Gotham Holdings II, L.L.C.</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2</w:t>
            </w:r>
          </w:p>
        </w:tc>
        <w:tc>
          <w:tcPr>
            <w:tcW w:w="5060" w:type="dxa"/>
            <w:vAlign w:val="bottom"/>
          </w:tcPr>
          <w:p>
            <w:pPr>
              <w:ind w:left="420"/>
              <w:spacing w:after="0"/>
              <w:rPr>
                <w:sz w:val="20"/>
                <w:szCs w:val="20"/>
                <w:color w:val="auto"/>
              </w:rPr>
            </w:pPr>
            <w:r>
              <w:rPr>
                <w:rFonts w:ascii="Courier New" w:cs="Courier New" w:eastAsia="Courier New" w:hAnsi="Courier New"/>
                <w:sz w:val="18"/>
                <w:szCs w:val="18"/>
                <w:color w:val="auto"/>
              </w:rPr>
              <w:t>CHECK THE APPROPRIATE BOX IF A MEMBER OF A</w:t>
            </w:r>
          </w:p>
        </w:tc>
        <w:tc>
          <w:tcPr>
            <w:tcW w:w="580" w:type="dxa"/>
            <w:vAlign w:val="bottom"/>
          </w:tcPr>
          <w:p>
            <w:pPr>
              <w:ind w:left="220"/>
              <w:spacing w:after="0"/>
              <w:rPr>
                <w:sz w:val="20"/>
                <w:szCs w:val="20"/>
                <w:color w:val="auto"/>
              </w:rPr>
            </w:pPr>
            <w:r>
              <w:rPr>
                <w:rFonts w:ascii="Courier New" w:cs="Courier New" w:eastAsia="Courier New" w:hAnsi="Courier New"/>
                <w:sz w:val="18"/>
                <w:szCs w:val="18"/>
                <w:color w:val="auto"/>
              </w:rPr>
              <w:t>(a)</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w w:val="92"/>
              </w:rPr>
              <w:t>[x]</w:t>
            </w:r>
          </w:p>
        </w:tc>
      </w:tr>
      <w:tr>
        <w:trPr>
          <w:trHeight w:val="203"/>
        </w:trPr>
        <w:tc>
          <w:tcPr>
            <w:tcW w:w="520" w:type="dxa"/>
            <w:vAlign w:val="bottom"/>
          </w:tcPr>
          <w:p>
            <w:pPr>
              <w:spacing w:after="0"/>
              <w:rPr>
                <w:sz w:val="17"/>
                <w:szCs w:val="17"/>
                <w:color w:val="auto"/>
              </w:rPr>
            </w:pPr>
          </w:p>
        </w:tc>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GROUP*</w:t>
            </w:r>
          </w:p>
        </w:tc>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 ]</w:t>
            </w:r>
          </w:p>
        </w:tc>
      </w:tr>
    </w:tbl>
    <w:p>
      <w:pPr>
        <w:spacing w:after="0" w:line="201" w:lineRule="exact"/>
        <w:rPr>
          <w:sz w:val="20"/>
          <w:szCs w:val="20"/>
          <w:color w:val="auto"/>
        </w:rPr>
      </w:pPr>
    </w:p>
    <w:p>
      <w:pPr>
        <w:ind w:left="1580" w:hanging="940"/>
        <w:spacing w:after="0"/>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ind w:left="2120" w:right="6939" w:hanging="1480"/>
        <w:spacing w:after="0" w:line="235" w:lineRule="auto"/>
        <w:tabs>
          <w:tab w:leader="none" w:pos="159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WC</w:t>
      </w:r>
    </w:p>
    <w:p>
      <w:pPr>
        <w:spacing w:after="0" w:line="203"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5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73"/>
              </w:rPr>
              <w:t>5</w:t>
            </w:r>
          </w:p>
        </w:tc>
        <w:tc>
          <w:tcPr>
            <w:tcW w:w="290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DISCLOSURE</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OF LEGAL PROCEEDINGS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520" w:type="dxa"/>
            <w:vAlign w:val="bottom"/>
          </w:tcPr>
          <w:p>
            <w:pPr>
              <w:spacing w:after="0"/>
              <w:rPr>
                <w:sz w:val="17"/>
                <w:szCs w:val="17"/>
                <w:color w:val="auto"/>
              </w:rPr>
            </w:pPr>
          </w:p>
        </w:tc>
        <w:tc>
          <w:tcPr>
            <w:tcW w:w="2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IS REQUIRED PURSUANT TO</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ITEMS 2(d) or 2(e)</w:t>
            </w:r>
          </w:p>
        </w:tc>
        <w:tc>
          <w:tcPr>
            <w:tcW w:w="640" w:type="dxa"/>
            <w:vAlign w:val="bottom"/>
          </w:tcPr>
          <w:p>
            <w:pPr>
              <w:spacing w:after="0"/>
              <w:rPr>
                <w:sz w:val="17"/>
                <w:szCs w:val="17"/>
                <w:color w:val="auto"/>
              </w:rPr>
            </w:pPr>
          </w:p>
        </w:tc>
      </w:tr>
    </w:tbl>
    <w:p>
      <w:pPr>
        <w:spacing w:after="0" w:line="207" w:lineRule="exact"/>
        <w:rPr>
          <w:sz w:val="20"/>
          <w:szCs w:val="20"/>
          <w:color w:val="auto"/>
        </w:rPr>
      </w:pPr>
    </w:p>
    <w:p>
      <w:pPr>
        <w:ind w:left="2120" w:right="4839" w:hanging="1480"/>
        <w:spacing w:after="0" w:line="235" w:lineRule="auto"/>
        <w:tabs>
          <w:tab w:leader="none" w:pos="1593"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w:t>
            </w:r>
          </w:p>
        </w:tc>
        <w:tc>
          <w:tcPr>
            <w:tcW w:w="5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960" w:type="dxa"/>
            <w:vAlign w:val="bottom"/>
          </w:tcPr>
          <w:p>
            <w:pPr>
              <w:jc w:val="center"/>
              <w:ind w:left="2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392,601</w:t>
            </w:r>
          </w:p>
        </w:tc>
      </w:tr>
      <w:tr>
        <w:trPr>
          <w:trHeight w:val="405"/>
        </w:trPr>
        <w:tc>
          <w:tcPr>
            <w:tcW w:w="1540" w:type="dxa"/>
            <w:vAlign w:val="bottom"/>
            <w:gridSpan w:val="2"/>
          </w:tcPr>
          <w:p>
            <w:pPr>
              <w:jc w:val="center"/>
              <w:ind w:right="172"/>
              <w:spacing w:after="0"/>
              <w:rPr>
                <w:sz w:val="20"/>
                <w:szCs w:val="20"/>
                <w:color w:val="auto"/>
              </w:rPr>
            </w:pPr>
            <w:r>
              <w:rPr>
                <w:rFonts w:ascii="Courier New" w:cs="Courier New" w:eastAsia="Courier New" w:hAnsi="Courier New"/>
                <w:sz w:val="18"/>
                <w:szCs w:val="18"/>
                <w:color w:val="auto"/>
                <w:w w:val="98"/>
              </w:rPr>
              <w:t>BENEFICIALLY</w:t>
            </w: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160" w:type="dxa"/>
            <w:vAlign w:val="bottom"/>
          </w:tcPr>
          <w:p>
            <w:pPr>
              <w:ind w:left="160"/>
              <w:spacing w:after="0"/>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9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spacing w:after="0"/>
              <w:rPr>
                <w:sz w:val="17"/>
                <w:szCs w:val="17"/>
                <w:color w:val="auto"/>
              </w:rPr>
            </w:pPr>
          </w:p>
        </w:tc>
        <w:tc>
          <w:tcPr>
            <w:tcW w:w="2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bl>
    <w:p>
      <w:pPr>
        <w:ind w:left="2120" w:hanging="427"/>
        <w:spacing w:after="0" w:line="238" w:lineRule="auto"/>
        <w:tabs>
          <w:tab w:leader="none" w:pos="21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pacing w:after="0" w:line="4" w:lineRule="exact"/>
        <w:rPr>
          <w:rFonts w:ascii="Courier New" w:cs="Courier New" w:eastAsia="Courier New" w:hAnsi="Courier New"/>
          <w:sz w:val="18"/>
          <w:szCs w:val="18"/>
          <w:color w:val="auto"/>
        </w:rPr>
      </w:pPr>
    </w:p>
    <w:p>
      <w:pPr>
        <w:ind w:left="320" w:right="7259" w:hanging="10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REPORTING392,601 PERSON</w:t>
      </w:r>
    </w:p>
    <w:p>
      <w:pPr>
        <w:sectPr>
          <w:pgSz w:w="11900" w:h="16838" w:orient="portrait"/>
          <w:cols w:equalWidth="0" w:num="1">
            <w:col w:w="10219"/>
          </w:cols>
          <w:pgMar w:left="240" w:top="717" w:right="1440" w:bottom="1440" w:gutter="0" w:footer="0" w:header="0"/>
        </w:sectPr>
      </w:pPr>
    </w:p>
    <w:p>
      <w:pPr>
        <w:spacing w:after="0" w:line="19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SHARED DISPOSITIVE POWER</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860" w:space="720"/>
            <w:col w:w="8639"/>
          </w:cols>
          <w:pgMar w:left="240" w:top="717" w:right="1440" w:bottom="1440" w:gutter="0" w:footer="0" w:header="0"/>
          <w:type w:val="continuous"/>
        </w:sectPr>
      </w:pPr>
    </w:p>
    <w:p>
      <w:pPr>
        <w:spacing w:after="0" w:line="7" w:lineRule="exact"/>
        <w:rPr>
          <w:sz w:val="20"/>
          <w:szCs w:val="20"/>
          <w:color w:val="auto"/>
        </w:rPr>
      </w:pPr>
    </w:p>
    <w:p>
      <w:pPr>
        <w:ind w:left="1580" w:right="4099" w:hanging="1045"/>
        <w:spacing w:after="0" w:line="235" w:lineRule="auto"/>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392,601</w:t>
      </w: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6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83"/>
              </w:rPr>
              <w:t>12</w:t>
            </w:r>
          </w:p>
        </w:tc>
        <w:tc>
          <w:tcPr>
            <w:tcW w:w="2160" w:type="dxa"/>
            <w:vAlign w:val="bottom"/>
          </w:tcPr>
          <w:p>
            <w:pPr>
              <w:ind w:left="420"/>
              <w:spacing w:after="0"/>
              <w:rPr>
                <w:sz w:val="20"/>
                <w:szCs w:val="20"/>
                <w:color w:val="auto"/>
              </w:rPr>
            </w:pPr>
            <w:r>
              <w:rPr>
                <w:rFonts w:ascii="Courier New" w:cs="Courier New" w:eastAsia="Courier New" w:hAnsi="Courier New"/>
                <w:sz w:val="18"/>
                <w:szCs w:val="18"/>
                <w:color w:val="auto"/>
                <w:w w:val="99"/>
              </w:rPr>
              <w:t>CHECK BOX IF THE</w:t>
            </w:r>
          </w:p>
        </w:tc>
        <w:tc>
          <w:tcPr>
            <w:tcW w:w="3280" w:type="dxa"/>
            <w:vAlign w:val="bottom"/>
          </w:tcPr>
          <w:p>
            <w:pPr>
              <w:ind w:left="60"/>
              <w:spacing w:after="0"/>
              <w:rPr>
                <w:sz w:val="20"/>
                <w:szCs w:val="20"/>
                <w:color w:val="auto"/>
              </w:rPr>
            </w:pPr>
            <w:r>
              <w:rPr>
                <w:rFonts w:ascii="Courier New" w:cs="Courier New" w:eastAsia="Courier New" w:hAnsi="Courier New"/>
                <w:sz w:val="18"/>
                <w:szCs w:val="18"/>
                <w:color w:val="auto"/>
              </w:rPr>
              <w:t>AGGREGATE AMOUNT IN ROW (11)</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620" w:type="dxa"/>
            <w:vAlign w:val="bottom"/>
          </w:tcPr>
          <w:p>
            <w:pPr>
              <w:spacing w:after="0"/>
              <w:rPr>
                <w:sz w:val="17"/>
                <w:szCs w:val="17"/>
                <w:color w:val="auto"/>
              </w:rPr>
            </w:pPr>
          </w:p>
        </w:tc>
        <w:tc>
          <w:tcPr>
            <w:tcW w:w="2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EXCLUDES CERTAIN</w:t>
            </w:r>
          </w:p>
        </w:tc>
        <w:tc>
          <w:tcPr>
            <w:tcW w:w="3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left="1580" w:right="3899" w:hanging="1045"/>
        <w:spacing w:after="0" w:line="235"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1" w:lineRule="exact"/>
        <w:rPr>
          <w:rFonts w:ascii="Courier New" w:cs="Courier New" w:eastAsia="Courier New" w:hAnsi="Courier New"/>
          <w:sz w:val="18"/>
          <w:szCs w:val="18"/>
          <w:color w:val="auto"/>
        </w:rPr>
      </w:pP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w:t>
      </w:r>
    </w:p>
    <w:p>
      <w:pPr>
        <w:spacing w:after="0" w:line="201"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120"/>
        <w:spacing w:after="0" w:line="238" w:lineRule="auto"/>
        <w:rPr>
          <w:sz w:val="20"/>
          <w:szCs w:val="20"/>
          <w:color w:val="auto"/>
        </w:rPr>
      </w:pPr>
      <w:r>
        <w:rPr>
          <w:rFonts w:ascii="Courier New" w:cs="Courier New" w:eastAsia="Courier New" w:hAnsi="Courier New"/>
          <w:sz w:val="18"/>
          <w:szCs w:val="18"/>
          <w:color w:val="auto"/>
        </w:rPr>
        <w:t>OO; PN</w:t>
      </w:r>
    </w:p>
    <w:p>
      <w:pPr>
        <w:sectPr>
          <w:pgSz w:w="11900" w:h="16838" w:orient="portrait"/>
          <w:cols w:equalWidth="0" w:num="1">
            <w:col w:w="10219"/>
          </w:cols>
          <w:pgMar w:left="240" w:top="717" w:right="1440" w:bottom="1440" w:gutter="0" w:footer="0" w:header="0"/>
          <w:type w:val="continuous"/>
        </w:sectPr>
      </w:pPr>
    </w:p>
    <w:bookmarkStart w:id="5" w:name="page6"/>
    <w:bookmarkEnd w:id="5"/>
    <w:p>
      <w:pPr>
        <w:ind w:left="6220"/>
        <w:spacing w:after="0"/>
        <w:rPr>
          <w:sz w:val="20"/>
          <w:szCs w:val="20"/>
          <w:color w:val="auto"/>
        </w:rPr>
      </w:pPr>
      <w:r>
        <w:rPr>
          <w:rFonts w:ascii="Courier New" w:cs="Courier New" w:eastAsia="Courier New" w:hAnsi="Courier New"/>
          <w:sz w:val="18"/>
          <w:szCs w:val="18"/>
          <w:color w:val="auto"/>
        </w:rPr>
        <w:t>Page 6 of 10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Amendment #1 amends and supplements the statement on Schedule 13D (the "Statement") as it relates to the Common Stock, $.01 par value ("Common Stock"), of Prison Realty Trust, Inc., a Maryland corporation (the "Company"). The principal executive offices of the Company are located at 10 Burton Hills Boulevard, Suite 100, Nashville, Tennessee 37215.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is hereby amended to add the following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This Statement is being filed by Gotham Partners, L.P., a New York limited partnership ("Gotham"), with respect to shares of Common Stock owned by it, Gotham Partners III, L.P., a New York limited partnership</w:t>
      </w:r>
    </w:p>
    <w:p>
      <w:pPr>
        <w:spacing w:after="0" w:line="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("Gotham III"), with respect to shares of Common Stock owned by it, Gotham Holdings II, L.L.C., a Delaware limited liability company ("Holdings") with respect to shares of Common Stock owned by it and Gotham International Advisors, L.L.C., a Delaware limited liability company ("Gotham Advisors"), with respect to shares of Common Stock owned by Gotham Partners International, Ltd. ("Gotham International"), a Cayman exempted company. Gotham, Gotham III, Holdings II and Advisors are together the "Reporting Persons".</w:t>
      </w:r>
    </w:p>
    <w:p>
      <w:pPr>
        <w:spacing w:after="0" w:line="212"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February 17, 2000, Gotham distributed 392,601 shares of common stock to a limited partner of Gotham, in connection with such limited partner's withdrawal from Gotham. The common stock had a deemed value of $5.0625 per share as of January 1, 2000, the effective date of the withdrawal of such limited partner. Subsequently, an affiliate of such limited partner recontributed an identical number of shares of common stock to Holdings in consideration of an ownership interest in Holdings.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Each of Gotham and Gotham III was formed to</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engage</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in the</w:t>
            </w:r>
          </w:p>
        </w:tc>
        <w:tc>
          <w:tcPr>
            <w:tcW w:w="1520" w:type="dxa"/>
            <w:vAlign w:val="bottom"/>
          </w:tcPr>
          <w:p>
            <w:pPr>
              <w:ind w:left="40"/>
              <w:spacing w:after="0"/>
              <w:rPr>
                <w:sz w:val="20"/>
                <w:szCs w:val="20"/>
                <w:color w:val="auto"/>
              </w:rPr>
            </w:pPr>
            <w:r>
              <w:rPr>
                <w:rFonts w:ascii="Courier New" w:cs="Courier New" w:eastAsia="Courier New" w:hAnsi="Courier New"/>
                <w:sz w:val="18"/>
                <w:szCs w:val="18"/>
                <w:color w:val="auto"/>
              </w:rPr>
              <w:t>buying</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and selling of securities for investment for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its</w:t>
            </w:r>
          </w:p>
        </w:tc>
        <w:tc>
          <w:tcPr>
            <w:tcW w:w="14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own account.</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Each of Gotham</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Advisors and Gotham Holdings Management LLC,</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a Delaware</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limited liability</w:t>
            </w:r>
          </w:p>
        </w:tc>
      </w:tr>
      <w:tr>
        <w:trPr>
          <w:trHeight w:val="203"/>
        </w:trPr>
        <w:tc>
          <w:tcPr>
            <w:tcW w:w="47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company ("Gotham Management") was formed for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purpose of providing a full</w:t>
            </w:r>
          </w:p>
        </w:tc>
      </w:tr>
      <w:tr>
        <w:trPr>
          <w:trHeight w:val="203"/>
        </w:trPr>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range of investment advisory services, including</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acting</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the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w:t>
            </w:r>
          </w:p>
        </w:tc>
      </w:tr>
      <w:tr>
        <w:trPr>
          <w:trHeight w:val="203"/>
        </w:trPr>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manager of one or more investment funds or other</w:t>
            </w:r>
          </w:p>
        </w:tc>
        <w:tc>
          <w:tcPr>
            <w:tcW w:w="30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similar entities, including</w:t>
            </w:r>
          </w:p>
        </w:tc>
      </w:tr>
      <w:tr>
        <w:trPr>
          <w:trHeight w:val="203"/>
        </w:trPr>
        <w:tc>
          <w:tcPr>
            <w:tcW w:w="5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Gotham International and Holdings, respectively.</w:t>
            </w: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H Partners, L.P., a New York limited partnership ("Section H"), is the sole general partner of Gotham and Gotham III. Karenina Corp., a New York corporation ("Karenina"), and DPB Corp., a New York corporation ("DPB"), are the sole general partners of Section H. Karenina is wholly owned by Mr. William A. Ackman. DPB is wholly owned by Mr. David P. Berkowitz. Gotham Management is the manager of Holdings. Pursuant to an investment management agreement (the "Investment Management Agreement"), Gotham Advisors has the power to vote and dispose of the shares of Common Stock held for the account of Gotham International and, accordingly, may be deemed the "beneficial owner" of such shares. Messrs. Ackman and Berkowitz are the Senior Managing Members of Gotham advisors and Holdings.</w:t>
      </w:r>
    </w:p>
    <w:p>
      <w:pPr>
        <w:sectPr>
          <w:pgSz w:w="11900" w:h="16838" w:orient="portrait"/>
          <w:cols w:equalWidth="0" w:num="1">
            <w:col w:w="10219"/>
          </w:cols>
          <w:pgMar w:left="240" w:top="1122" w:right="1440" w:bottom="1440" w:gutter="0" w:footer="0" w:header="0"/>
        </w:sectPr>
      </w:pPr>
    </w:p>
    <w:bookmarkStart w:id="6" w:name="page7"/>
    <w:bookmarkEnd w:id="6"/>
    <w:p>
      <w:pPr>
        <w:ind w:left="5480"/>
        <w:spacing w:after="0"/>
        <w:rPr>
          <w:sz w:val="20"/>
          <w:szCs w:val="20"/>
          <w:color w:val="auto"/>
        </w:rPr>
      </w:pPr>
      <w:r>
        <w:rPr>
          <w:rFonts w:ascii="Courier New" w:cs="Courier New" w:eastAsia="Courier New" w:hAnsi="Courier New"/>
          <w:sz w:val="18"/>
          <w:szCs w:val="18"/>
          <w:color w:val="auto"/>
        </w:rPr>
        <w:t>Page 7 of 10 Pages</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Messrs. Ackman and Berkowitz are citizens of the United States of America, and the principal occupation of each of them is managing the affairs of (i) Karenina and DPB, respectively, and through such entities the affairs of Section H, Gotham, Gotham III, Holdings and (ii) Gotham Advisors, and throughsuch entity the affairs of Gotham International. The business address of each of Gotham, Gotham III, Holdings, Gotham Advisors, Section H, Gotham Management, Karenina, DPB and Messrs. Ackman and Berkowitz is 110 East 42nd Street, 18th Floor, New York, New York 10017. The business address of Gotham International is c/o Goldman Sachs (Cayman) Trust, Limited, Harbour Centre, 2nd Floor, P.O. Box 896, George Town, Grand Cayman, Cayman Islands, British West Indies.</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the last five years, none of Gotham, Gotham III, Holdings, Gotham Advisors, Gotham International, Section H, Gotham Management, Karenina, DPB, Mr. Ackman or Mr. Berkowitz (i) has been convicted in a criminal proceeding (excluding traffic violations or similar misdemeanors) or (ii)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is hereby amended to add the following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7"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The aggregate purchase price of the Common Stock purchased by Gotham was $3,993,827, the aggregate purchase price of the Common Stock purchased</w:t>
      </w:r>
    </w:p>
    <w:p>
      <w:pPr>
        <w:jc w:val="both"/>
        <w:ind w:right="1999"/>
        <w:spacing w:after="0" w:line="237" w:lineRule="auto"/>
        <w:rPr>
          <w:sz w:val="20"/>
          <w:szCs w:val="20"/>
          <w:color w:val="auto"/>
        </w:rPr>
      </w:pPr>
      <w:r>
        <w:rPr>
          <w:rFonts w:ascii="Courier New" w:cs="Courier New" w:eastAsia="Courier New" w:hAnsi="Courier New"/>
          <w:sz w:val="18"/>
          <w:szCs w:val="18"/>
          <w:color w:val="auto"/>
        </w:rPr>
        <w:t>by Gotham III was $43,065 and the aggregate purchase price of the Common Stock purchased by Gotham International was $518,988. All of the funds required for these purchases were obtained from the general funds of Gotham, Gotham III and Gotham International,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is hereby amended to add the following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4" w:lineRule="exact"/>
        <w:rPr>
          <w:sz w:val="20"/>
          <w:szCs w:val="20"/>
          <w:color w:val="auto"/>
        </w:rPr>
      </w:pPr>
    </w:p>
    <w:p>
      <w:pPr>
        <w:ind w:right="1879" w:firstLine="535"/>
        <w:spacing w:after="0" w:line="238"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Gotham owns 5,215,451 shares of Common Stock as of the date of this Statement, representing an aggregate of approximately 4.41% of the outstanding Common Stock of the Company. Gotham III owns 233,962 shares of Common Stock as of the date of this Statement, representing an aggregate of approximately .20% of the outstanding Common Stock of the Company. Holdings owns 392,601 shares of Common Stock as of the date of this Statement, representing an aggregate of approximately .33% of the outstanding Common Stock of the Company. Gotham International owns 2,204,086 shares of Common Stock as of the date of this Statement, representing an aggregate of approximately 1.86% of the outstanding Common Stock of the Company. The percentages in this paragraph are calculated based upon 118,381,951 shares of Common Stock issued and outstanding as of November 08, 1999 as reflected in the Company's form 10-Q for the period ending September 30, 1999. None of Gotham Advisors, Section H, Gotham Management, Karenina, DPB, Mr. Ackman or Mr. Berkowitz beneficially own any Common Stock (other than the Common Stock beneficially owned by Gotham, Gotham III, Holdings and Gotham International).</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Gotham, Gotham III, and Holdings has sole power to vote and to dispose of all of the Common Stock beneficially owned by it. Pursuant to the Investment Management Agreement, Gotham Advisors currently has the power to vote and to dispose of all of the Common Stock beneficially owned by Gotham International.</w:t>
      </w:r>
    </w:p>
    <w:p>
      <w:pPr>
        <w:sectPr>
          <w:pgSz w:w="11900" w:h="16838" w:orient="portrait"/>
          <w:cols w:equalWidth="0" w:num="1">
            <w:col w:w="10219"/>
          </w:cols>
          <w:pgMar w:left="240" w:top="312" w:right="1440" w:bottom="1440" w:gutter="0" w:footer="0" w:header="0"/>
        </w:sectPr>
      </w:pPr>
    </w:p>
    <w:bookmarkStart w:id="7" w:name="page8"/>
    <w:bookmarkEnd w:id="7"/>
    <w:p>
      <w:pPr>
        <w:ind w:left="6220"/>
        <w:spacing w:after="0"/>
        <w:rPr>
          <w:sz w:val="20"/>
          <w:szCs w:val="20"/>
          <w:color w:val="auto"/>
        </w:rPr>
      </w:pPr>
      <w:r>
        <w:rPr>
          <w:rFonts w:ascii="Courier New" w:cs="Courier New" w:eastAsia="Courier New" w:hAnsi="Courier New"/>
          <w:sz w:val="18"/>
          <w:szCs w:val="18"/>
          <w:color w:val="auto"/>
        </w:rPr>
        <w:t>Page 8 of 10 Pages</w:t>
      </w:r>
    </w:p>
    <w:p>
      <w:pPr>
        <w:spacing w:after="0" w:line="207" w:lineRule="exact"/>
        <w:rPr>
          <w:sz w:val="20"/>
          <w:szCs w:val="20"/>
          <w:color w:val="auto"/>
        </w:rPr>
      </w:pPr>
    </w:p>
    <w:p>
      <w:pPr>
        <w:ind w:right="1879" w:firstLine="535"/>
        <w:spacing w:after="0" w:line="275" w:lineRule="auto"/>
        <w:tabs>
          <w:tab w:leader="none" w:pos="94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tables below set forth information with respect to all purchases and sales of Common Stock by Gotham, Gotham III, Holdings and Gotham International. In each case, the transactions took place on the New York Stock Exchange, except for the transfer(*) arising from the transaction in Item 2.</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w:t>
            </w:r>
          </w:p>
        </w:tc>
        <w:tc>
          <w:tcPr>
            <w:tcW w:w="338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608"/>
        </w:trPr>
        <w:tc>
          <w:tcPr>
            <w:tcW w:w="2640" w:type="dxa"/>
            <w:vAlign w:val="bottom"/>
          </w:tcPr>
          <w:p>
            <w:pPr>
              <w:spacing w:after="0"/>
              <w:rPr>
                <w:sz w:val="24"/>
                <w:szCs w:val="24"/>
                <w:color w:val="auto"/>
              </w:rPr>
            </w:pPr>
          </w:p>
        </w:tc>
        <w:tc>
          <w:tcPr>
            <w:tcW w:w="33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Shares of Common Stock</w:t>
            </w:r>
          </w:p>
        </w:tc>
        <w:tc>
          <w:tcPr>
            <w:tcW w:w="2100" w:type="dxa"/>
            <w:vAlign w:val="bottom"/>
          </w:tcPr>
          <w:p>
            <w:pPr>
              <w:spacing w:after="0"/>
              <w:rPr>
                <w:sz w:val="24"/>
                <w:szCs w:val="24"/>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Purchased/(Sold)</w:t>
            </w:r>
          </w:p>
        </w:tc>
        <w:tc>
          <w:tcPr>
            <w:tcW w:w="2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Price per Share</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02/17/00</w:t>
            </w:r>
          </w:p>
        </w:tc>
        <w:tc>
          <w:tcPr>
            <w:tcW w:w="338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(392,601)*</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5.0625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447,000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02/25/00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110,800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3.7592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02/24/00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51,800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3.6550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02/25/00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4.2175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03/30/00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100,000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3.3525</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03/31/00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291,000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3.0274</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 III</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12/27/99</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78,000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5.0517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12/28/99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19,500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5.2524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12/29/99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5.2929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12/30/99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4,700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5.0386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01/03/00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01/06/00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01/07/00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3,600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9,700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01/28/00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2,744</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5,268</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4.2900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8,800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4.3512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02/02/00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4.3337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60,000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4.2003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3.9150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Gotham International</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12/27/99</w:t>
            </w:r>
          </w:p>
        </w:tc>
        <w:tc>
          <w:tcPr>
            <w:tcW w:w="338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853,000</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5.0517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12/28/99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213,200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5.2524</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12/29/99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111,000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5.2929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12/30/99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51,800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5.1338</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12/31/99</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53,100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5.0386</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01/03/00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53,000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5.0371</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12,800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4.9150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01/05/00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33,850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01/06/00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6,850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5.0600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01/07/00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38,000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5.2900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102,300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5.0400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01/28/00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34,986</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4.3067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01/31/00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43,900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4.2900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02/01/00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112,300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4.3512</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02/02/00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65,500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4.3337</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02/08/00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286,000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4.2003</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02/14/00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500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4.4150</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02/18/00</w:t>
            </w:r>
          </w:p>
        </w:tc>
        <w:tc>
          <w:tcPr>
            <w:tcW w:w="33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132,000</w:t>
            </w:r>
          </w:p>
        </w:tc>
        <w:tc>
          <w:tcPr>
            <w:tcW w:w="21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3.9150</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Holdings</w:t>
            </w:r>
          </w:p>
        </w:tc>
        <w:tc>
          <w:tcPr>
            <w:tcW w:w="338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02/17/00</w:t>
            </w:r>
          </w:p>
        </w:tc>
        <w:tc>
          <w:tcPr>
            <w:tcW w:w="338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392,601*</w:t>
            </w:r>
          </w:p>
        </w:tc>
        <w:tc>
          <w:tcPr>
            <w:tcW w:w="210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5.0625</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Except as described above, none of Gotham, Gotham III, Gotham International, Gotham Advisors, Holdings, Section H, Karenina, DPB, Mr. Ackman or Mr. Berkowitz has effected any transactions in the securities of the Company during the past sixty days.</w:t>
      </w:r>
    </w:p>
    <w:p>
      <w:pPr>
        <w:spacing w:after="0" w:line="202" w:lineRule="exact"/>
        <w:rPr>
          <w:sz w:val="20"/>
          <w:szCs w:val="20"/>
          <w:color w:val="auto"/>
        </w:rPr>
      </w:pPr>
    </w:p>
    <w:p>
      <w:pPr>
        <w:ind w:left="540"/>
        <w:spacing w:after="0"/>
        <w:tabs>
          <w:tab w:leader="none" w:pos="1980" w:val="left"/>
        </w:tabs>
        <w:rPr>
          <w:sz w:val="20"/>
          <w:szCs w:val="20"/>
          <w:color w:val="auto"/>
        </w:rPr>
      </w:pPr>
      <w:r>
        <w:rPr>
          <w:rFonts w:ascii="Courier New" w:cs="Courier New" w:eastAsia="Courier New" w:hAnsi="Courier New"/>
          <w:sz w:val="18"/>
          <w:szCs w:val="18"/>
          <w:color w:val="auto"/>
        </w:rPr>
        <w:t>(d) and (e).</w:t>
      </w:r>
      <w:r>
        <w:rPr>
          <w:sz w:val="20"/>
          <w:szCs w:val="20"/>
          <w:color w:val="auto"/>
        </w:rPr>
        <w:tab/>
      </w:r>
      <w:r>
        <w:rPr>
          <w:rFonts w:ascii="Courier New" w:cs="Courier New" w:eastAsia="Courier New" w:hAnsi="Courier New"/>
          <w:sz w:val="16"/>
          <w:szCs w:val="16"/>
          <w:color w:val="auto"/>
        </w:rPr>
        <w:t>Not applicable.</w:t>
      </w:r>
    </w:p>
    <w:p>
      <w:pPr>
        <w:sectPr>
          <w:pgSz w:w="11900" w:h="16838" w:orient="portrait"/>
          <w:cols w:equalWidth="0" w:num="1">
            <w:col w:w="10219"/>
          </w:cols>
          <w:pgMar w:left="240" w:top="1122" w:right="1440" w:bottom="0" w:gutter="0" w:footer="0" w:header="0"/>
        </w:sectPr>
      </w:pPr>
    </w:p>
    <w:bookmarkStart w:id="8" w:name="page9"/>
    <w:bookmarkEnd w:id="8"/>
    <w:p>
      <w:pPr>
        <w:ind w:right="209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08"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Except as described above, none of Gotham, Gotham III, Gotham International, Holdings, Gotham Advisors, Section H, Gotham Management, Karenina, DPB, Mr. Ackman or Mr. Berkowitz is a party to any contract, arrangement, understanding or relationship with respect to any securities of the Company, including but not limited to transfer or voting of any of the securities, finder's fees, joint ventures, loan or option agreements, puts or calls, guarantees of profits, divisions of profit or losses or the giving or withholding of proxies.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 is being filed with this Schedule:</w:t>
      </w:r>
    </w:p>
    <w:p>
      <w:pPr>
        <w:spacing w:after="0" w:line="207"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Exhibit 1 A written agreement relating to the filing of joint acquisition statements as required by Rule 13d-1(f)(1) promulgated under the Securities Exchange Act of 1934, as amended.</w:t>
      </w:r>
    </w:p>
    <w:p>
      <w:pPr>
        <w:sectPr>
          <w:pgSz w:w="11900" w:h="16838" w:orient="portrait"/>
          <w:cols w:equalWidth="0" w:num="1">
            <w:col w:w="10219"/>
          </w:cols>
          <w:pgMar w:left="240" w:top="142" w:right="1440" w:bottom="1440" w:gutter="0" w:footer="0" w:header="0"/>
        </w:sectPr>
      </w:pPr>
    </w:p>
    <w:bookmarkStart w:id="9" w:name="page10"/>
    <w:bookmarkEnd w:id="9"/>
    <w:p>
      <w:pPr>
        <w:ind w:left="5800"/>
        <w:spacing w:after="0"/>
        <w:rPr>
          <w:sz w:val="20"/>
          <w:szCs w:val="20"/>
          <w:color w:val="auto"/>
        </w:rPr>
      </w:pPr>
      <w:r>
        <w:rPr>
          <w:rFonts w:ascii="Courier New" w:cs="Courier New" w:eastAsia="Courier New" w:hAnsi="Courier New"/>
          <w:sz w:val="18"/>
          <w:szCs w:val="18"/>
          <w:color w:val="auto"/>
        </w:rPr>
        <w:t>Page 9 of 10 Pages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the undersigned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3,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Section H Partners, L.P.</w:t>
      </w:r>
    </w:p>
    <w:p>
      <w:pPr>
        <w:ind w:left="2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ind w:left="3160"/>
        <w:spacing w:after="0" w:line="238" w:lineRule="auto"/>
        <w:rPr>
          <w:sz w:val="20"/>
          <w:szCs w:val="20"/>
          <w:color w:val="auto"/>
        </w:rPr>
      </w:pPr>
      <w:r>
        <w:rPr>
          <w:rFonts w:ascii="Courier New" w:cs="Courier New" w:eastAsia="Courier New" w:hAnsi="Courier New"/>
          <w:sz w:val="18"/>
          <w:szCs w:val="18"/>
          <w:color w:val="auto"/>
        </w:rPr>
        <w:t>a general partner of Section H Partners, L.P.</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III,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Section H Partners, L.P.</w:t>
      </w:r>
    </w:p>
    <w:p>
      <w:pPr>
        <w:ind w:left="2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ind w:left="3160"/>
        <w:spacing w:after="0" w:line="238" w:lineRule="auto"/>
        <w:rPr>
          <w:sz w:val="20"/>
          <w:szCs w:val="20"/>
          <w:color w:val="auto"/>
        </w:rPr>
      </w:pPr>
      <w:r>
        <w:rPr>
          <w:rFonts w:ascii="Courier New" w:cs="Courier New" w:eastAsia="Courier New" w:hAnsi="Courier New"/>
          <w:sz w:val="18"/>
          <w:szCs w:val="18"/>
          <w:color w:val="auto"/>
        </w:rPr>
        <w:t>a general partner of Section H Partners, L.P.</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INTERNATIONAL ADVISORS, L.L.C.</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 David P. Berkowitz</w:t>
      </w:r>
    </w:p>
    <w:p>
      <w:pPr>
        <w:ind w:left="2740"/>
        <w:spacing w:after="0" w:line="238" w:lineRule="auto"/>
        <w:rPr>
          <w:sz w:val="20"/>
          <w:szCs w:val="20"/>
          <w:color w:val="auto"/>
        </w:rPr>
      </w:pPr>
      <w:r>
        <w:rPr>
          <w:rFonts w:ascii="Courier New" w:cs="Courier New" w:eastAsia="Courier New" w:hAnsi="Courier New"/>
          <w:sz w:val="18"/>
          <w:szCs w:val="18"/>
          <w:color w:val="auto"/>
        </w:rPr>
        <w:t>David P. Berkowitz</w:t>
      </w:r>
    </w:p>
    <w:p>
      <w:pPr>
        <w:ind w:left="2740"/>
        <w:spacing w:after="0"/>
        <w:rPr>
          <w:sz w:val="20"/>
          <w:szCs w:val="20"/>
          <w:color w:val="auto"/>
        </w:rPr>
      </w:pPr>
      <w:r>
        <w:rPr>
          <w:rFonts w:ascii="Courier New" w:cs="Courier New" w:eastAsia="Courier New" w:hAnsi="Courier New"/>
          <w:sz w:val="18"/>
          <w:szCs w:val="18"/>
          <w:color w:val="auto"/>
        </w:rPr>
        <w:t>Senior Managing Member</w:t>
      </w:r>
    </w:p>
    <w:p>
      <w:pPr>
        <w:spacing w:after="0" w:line="200" w:lineRule="exact"/>
        <w:rPr>
          <w:sz w:val="20"/>
          <w:szCs w:val="20"/>
          <w:color w:val="auto"/>
        </w:rPr>
      </w:pP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GOTHAM HOLDINGS II,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Gotham Holdings Management LLC,</w:t>
      </w:r>
    </w:p>
    <w:p>
      <w:pPr>
        <w:ind w:left="2860"/>
        <w:spacing w:after="0" w:line="238" w:lineRule="auto"/>
        <w:rPr>
          <w:sz w:val="20"/>
          <w:szCs w:val="20"/>
          <w:color w:val="auto"/>
        </w:rPr>
      </w:pPr>
      <w:r>
        <w:rPr>
          <w:rFonts w:ascii="Courier New" w:cs="Courier New" w:eastAsia="Courier New" w:hAnsi="Courier New"/>
          <w:sz w:val="18"/>
          <w:szCs w:val="18"/>
          <w:color w:val="auto"/>
        </w:rPr>
        <w:t>the Manager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Senior Managing Member</w:t>
      </w:r>
    </w:p>
    <w:p>
      <w:pPr>
        <w:sectPr>
          <w:pgSz w:w="11900" w:h="16838" w:orient="portrait"/>
          <w:cols w:equalWidth="0" w:num="1">
            <w:col w:w="10219"/>
          </w:cols>
          <w:pgMar w:left="240" w:top="1325" w:right="1440" w:bottom="1440" w:gutter="0" w:footer="0" w:header="0"/>
        </w:sectPr>
      </w:pPr>
    </w:p>
    <w:bookmarkStart w:id="10" w:name="page11"/>
    <w:bookmarkEnd w:id="10"/>
    <w:p>
      <w:pPr>
        <w:jc w:val="right"/>
        <w:ind w:right="1999"/>
        <w:spacing w:after="0"/>
        <w:rPr>
          <w:sz w:val="20"/>
          <w:szCs w:val="20"/>
          <w:color w:val="auto"/>
        </w:rPr>
      </w:pPr>
      <w:r>
        <w:rPr>
          <w:rFonts w:ascii="Courier New" w:cs="Courier New" w:eastAsia="Courier New" w:hAnsi="Courier New"/>
          <w:sz w:val="18"/>
          <w:szCs w:val="18"/>
          <w:color w:val="auto"/>
        </w:rPr>
        <w:t>Page 10 of 10 Pages</w:t>
      </w:r>
    </w:p>
    <w:p>
      <w:pPr>
        <w:ind w:left="2640"/>
        <w:spacing w:after="0" w:line="238" w:lineRule="auto"/>
        <w:rPr>
          <w:sz w:val="20"/>
          <w:szCs w:val="20"/>
          <w:color w:val="auto"/>
        </w:rPr>
      </w:pPr>
      <w:r>
        <w:rPr>
          <w:rFonts w:ascii="Courier New" w:cs="Courier New" w:eastAsia="Courier New" w:hAnsi="Courier New"/>
          <w:sz w:val="18"/>
          <w:szCs w:val="18"/>
          <w:color w:val="auto"/>
        </w:rPr>
        <w:t>EXHIBIT 2</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JOINT ACQUISITION STATEMENT</w:t>
      </w:r>
    </w:p>
    <w:p>
      <w:pPr>
        <w:ind w:left="1900"/>
        <w:spacing w:after="0" w:line="238" w:lineRule="auto"/>
        <w:rPr>
          <w:sz w:val="20"/>
          <w:szCs w:val="20"/>
          <w:color w:val="auto"/>
        </w:rPr>
      </w:pPr>
      <w:r>
        <w:rPr>
          <w:rFonts w:ascii="Courier New" w:cs="Courier New" w:eastAsia="Courier New" w:hAnsi="Courier New"/>
          <w:sz w:val="18"/>
          <w:szCs w:val="18"/>
          <w:color w:val="auto"/>
        </w:rPr>
        <w:t>PURSUANT TO RULE 13d-1(f)1</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rPr>
        <w:t>The undersigned acknowledge and agree that the foregoing statement on Schedule 13D, as amended, is filed on behalf of each of the undersigned and that all subsequent amendments to this statement on Schedule 13D, as amended,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 except to the extent that he or it knows or has reason to believe that such information is inaccurate.</w:t>
      </w:r>
    </w:p>
    <w:p>
      <w:pPr>
        <w:spacing w:after="0" w:line="18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April 3, 2000</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Section H Partners, L.P.</w:t>
      </w:r>
    </w:p>
    <w:p>
      <w:pPr>
        <w:ind w:left="2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ind w:left="3160"/>
        <w:spacing w:after="0" w:line="238" w:lineRule="auto"/>
        <w:rPr>
          <w:sz w:val="20"/>
          <w:szCs w:val="20"/>
          <w:color w:val="auto"/>
        </w:rPr>
      </w:pPr>
      <w:r>
        <w:rPr>
          <w:rFonts w:ascii="Courier New" w:cs="Courier New" w:eastAsia="Courier New" w:hAnsi="Courier New"/>
          <w:sz w:val="18"/>
          <w:szCs w:val="18"/>
          <w:color w:val="auto"/>
        </w:rPr>
        <w:t>a general partner of Section H Partners, L.P.</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PARTNERS III, L.P.</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Section H Partners, L.P.</w:t>
      </w:r>
    </w:p>
    <w:p>
      <w:pPr>
        <w:ind w:left="274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DPB Corporation,</w:t>
      </w:r>
    </w:p>
    <w:p>
      <w:pPr>
        <w:ind w:left="3160"/>
        <w:spacing w:after="0" w:line="238" w:lineRule="auto"/>
        <w:rPr>
          <w:sz w:val="20"/>
          <w:szCs w:val="20"/>
          <w:color w:val="auto"/>
        </w:rPr>
      </w:pPr>
      <w:r>
        <w:rPr>
          <w:rFonts w:ascii="Courier New" w:cs="Courier New" w:eastAsia="Courier New" w:hAnsi="Courier New"/>
          <w:sz w:val="18"/>
          <w:szCs w:val="18"/>
          <w:color w:val="auto"/>
        </w:rPr>
        <w:t>a general partner of Section H Partners, L.P.</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INTERNATIONAL ADVISORS, L.L.C.</w:t>
      </w:r>
    </w:p>
    <w:p>
      <w:pPr>
        <w:spacing w:after="0" w:line="201" w:lineRule="exact"/>
        <w:rPr>
          <w:sz w:val="20"/>
          <w:szCs w:val="20"/>
          <w:color w:val="auto"/>
        </w:rPr>
      </w:pPr>
    </w:p>
    <w:p>
      <w:pPr>
        <w:ind w:left="2120"/>
        <w:spacing w:after="0"/>
        <w:tabs>
          <w:tab w:leader="none" w:pos="2720" w:val="left"/>
        </w:tabs>
        <w:rPr>
          <w:sz w:val="20"/>
          <w:szCs w:val="20"/>
          <w:color w:val="auto"/>
        </w:rPr>
      </w:pPr>
      <w:r>
        <w:rPr>
          <w:rFonts w:ascii="Courier New" w:cs="Courier New" w:eastAsia="Courier New" w:hAnsi="Courier New"/>
          <w:sz w:val="18"/>
          <w:szCs w:val="18"/>
          <w:color w:val="auto"/>
        </w:rPr>
        <w:t>By:</w:t>
        <w:tab/>
        <w:t>/s/ David P. Berkowitz</w:t>
      </w:r>
    </w:p>
    <w:p>
      <w:pPr>
        <w:ind w:left="2740"/>
        <w:spacing w:after="0" w:line="238" w:lineRule="auto"/>
        <w:rPr>
          <w:sz w:val="20"/>
          <w:szCs w:val="20"/>
          <w:color w:val="auto"/>
        </w:rPr>
      </w:pPr>
      <w:r>
        <w:rPr>
          <w:rFonts w:ascii="Courier New" w:cs="Courier New" w:eastAsia="Courier New" w:hAnsi="Courier New"/>
          <w:sz w:val="18"/>
          <w:szCs w:val="18"/>
          <w:color w:val="auto"/>
        </w:rPr>
        <w:t>David P. Berkowitz</w:t>
      </w:r>
    </w:p>
    <w:p>
      <w:pPr>
        <w:ind w:left="2740"/>
        <w:spacing w:after="0"/>
        <w:rPr>
          <w:sz w:val="20"/>
          <w:szCs w:val="20"/>
          <w:color w:val="auto"/>
        </w:rPr>
      </w:pPr>
      <w:r>
        <w:rPr>
          <w:rFonts w:ascii="Courier New" w:cs="Courier New" w:eastAsia="Courier New" w:hAnsi="Courier New"/>
          <w:sz w:val="18"/>
          <w:szCs w:val="18"/>
          <w:color w:val="auto"/>
        </w:rPr>
        <w:t>Senior Managing Member</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GOTHAM HOLDINGS II, L.L.C.</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Gotham Holdings Management LLC,</w:t>
      </w:r>
    </w:p>
    <w:p>
      <w:pPr>
        <w:ind w:left="2860"/>
        <w:spacing w:after="0" w:line="238" w:lineRule="auto"/>
        <w:rPr>
          <w:sz w:val="20"/>
          <w:szCs w:val="20"/>
          <w:color w:val="auto"/>
        </w:rPr>
      </w:pPr>
      <w:r>
        <w:rPr>
          <w:rFonts w:ascii="Courier New" w:cs="Courier New" w:eastAsia="Courier New" w:hAnsi="Courier New"/>
          <w:sz w:val="18"/>
          <w:szCs w:val="18"/>
          <w:color w:val="auto"/>
        </w:rPr>
        <w:t>the Manager</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 /s/ David P. Berkowitz</w:t>
      </w:r>
    </w:p>
    <w:p>
      <w:pPr>
        <w:ind w:left="3160"/>
        <w:spacing w:after="0" w:line="238" w:lineRule="auto"/>
        <w:rPr>
          <w:sz w:val="20"/>
          <w:szCs w:val="20"/>
          <w:color w:val="auto"/>
        </w:rPr>
      </w:pPr>
      <w:r>
        <w:rPr>
          <w:rFonts w:ascii="Courier New" w:cs="Courier New" w:eastAsia="Courier New" w:hAnsi="Courier New"/>
          <w:sz w:val="18"/>
          <w:szCs w:val="18"/>
          <w:color w:val="auto"/>
        </w:rPr>
        <w:t>David P. Berkowitz</w:t>
      </w:r>
    </w:p>
    <w:p>
      <w:pPr>
        <w:ind w:left="3160"/>
        <w:spacing w:after="0"/>
        <w:rPr>
          <w:sz w:val="20"/>
          <w:szCs w:val="20"/>
          <w:color w:val="auto"/>
        </w:rPr>
      </w:pPr>
      <w:r>
        <w:rPr>
          <w:rFonts w:ascii="Courier New" w:cs="Courier New" w:eastAsia="Courier New" w:hAnsi="Courier New"/>
          <w:sz w:val="18"/>
          <w:szCs w:val="18"/>
          <w:color w:val="auto"/>
        </w:rPr>
        <w:t>Senior Managing Member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bullet"/>
      <w:start w:val="1"/>
    </w:lvl>
    <w:lvl w:ilvl="1">
      <w:lvlJc w:val="left"/>
      <w:lvlText w:val="S.%2."/>
      <w:numFmt w:val="upperLetter"/>
      <w:start w:val="19"/>
    </w:lvl>
  </w:abstractNum>
  <w:abstractNum w:abstractNumId="3">
    <w:nsid w:val="431BD7B7"/>
    <w:multiLevelType w:val="hybridMultilevel"/>
    <w:lvl w:ilvl="0">
      <w:lvlJc w:val="left"/>
      <w:lvlText w:val="3"/>
      <w:numFmt w:val="bullet"/>
      <w:start w:val="1"/>
    </w:lvl>
  </w:abstractNum>
  <w:abstractNum w:abstractNumId="4">
    <w:nsid w:val="3F2DBA31"/>
    <w:multiLevelType w:val="hybridMultilevel"/>
    <w:lvl w:ilvl="0">
      <w:lvlJc w:val="left"/>
      <w:lvlText w:val="4"/>
      <w:numFmt w:val="bullet"/>
      <w:start w:val="1"/>
    </w:lvl>
  </w:abstractNum>
  <w:abstractNum w:abstractNumId="5">
    <w:nsid w:val="7C83E458"/>
    <w:multiLevelType w:val="hybridMultilevel"/>
    <w:lvl w:ilvl="0">
      <w:lvlJc w:val="left"/>
      <w:lvlText w:val="6"/>
      <w:numFmt w:val="bullet"/>
      <w:start w:val="1"/>
    </w:lvl>
  </w:abstractNum>
  <w:abstractNum w:abstractNumId="6">
    <w:nsid w:val="257130A3"/>
    <w:multiLevelType w:val="hybridMultilevel"/>
    <w:lvl w:ilvl="0">
      <w:lvlJc w:val="left"/>
      <w:lvlText w:val="9"/>
      <w:numFmt w:val="bullet"/>
      <w:start w:val="1"/>
    </w:lvl>
  </w:abstractNum>
  <w:abstractNum w:abstractNumId="7">
    <w:nsid w:val="62BBD95A"/>
    <w:multiLevelType w:val="hybridMultilevel"/>
    <w:lvl w:ilvl="0">
      <w:lvlJc w:val="left"/>
      <w:lvlText w:val="%1"/>
      <w:numFmt w:val="decimal"/>
      <w:start w:val="11"/>
    </w:lvl>
  </w:abstractNum>
  <w:abstractNum w:abstractNumId="8">
    <w:nsid w:val="436C6125"/>
    <w:multiLevelType w:val="hybridMultilevel"/>
    <w:lvl w:ilvl="0">
      <w:lvlJc w:val="left"/>
      <w:lvlText w:val="%1"/>
      <w:numFmt w:val="decimal"/>
      <w:start w:val="13"/>
    </w:lvl>
  </w:abstractNum>
  <w:abstractNum w:abstractNumId="9">
    <w:nsid w:val="628C895D"/>
    <w:multiLevelType w:val="hybridMultilevel"/>
    <w:lvl w:ilvl="0">
      <w:lvlJc w:val="left"/>
      <w:lvlText w:val="1"/>
      <w:numFmt w:val="bullet"/>
      <w:start w:val="1"/>
    </w:lvl>
    <w:lvl w:ilvl="1">
      <w:lvlJc w:val="left"/>
      <w:lvlText w:val="S.%2."/>
      <w:numFmt w:val="upperLetter"/>
      <w:start w:val="19"/>
    </w:lvl>
  </w:abstractNum>
  <w:abstractNum w:abstractNumId="10">
    <w:nsid w:val="333AB105"/>
    <w:multiLevelType w:val="hybridMultilevel"/>
    <w:lvl w:ilvl="0">
      <w:lvlJc w:val="left"/>
      <w:lvlText w:val="3"/>
      <w:numFmt w:val="bullet"/>
      <w:start w:val="1"/>
    </w:lvl>
  </w:abstractNum>
  <w:abstractNum w:abstractNumId="11">
    <w:nsid w:val="721DA317"/>
    <w:multiLevelType w:val="hybridMultilevel"/>
    <w:lvl w:ilvl="0">
      <w:lvlJc w:val="left"/>
      <w:lvlText w:val="4"/>
      <w:numFmt w:val="bullet"/>
      <w:start w:val="1"/>
    </w:lvl>
  </w:abstractNum>
  <w:abstractNum w:abstractNumId="12">
    <w:nsid w:val="2443A858"/>
    <w:multiLevelType w:val="hybridMultilevel"/>
    <w:lvl w:ilvl="0">
      <w:lvlJc w:val="left"/>
      <w:lvlText w:val="6"/>
      <w:numFmt w:val="bullet"/>
      <w:start w:val="1"/>
    </w:lvl>
  </w:abstractNum>
  <w:abstractNum w:abstractNumId="13">
    <w:nsid w:val="2D1D5AE9"/>
    <w:multiLevelType w:val="hybridMultilevel"/>
    <w:lvl w:ilvl="0">
      <w:lvlJc w:val="left"/>
      <w:lvlText w:val="9"/>
      <w:numFmt w:val="bullet"/>
      <w:start w:val="1"/>
    </w:lvl>
  </w:abstractNum>
  <w:abstractNum w:abstractNumId="14">
    <w:nsid w:val="6763845E"/>
    <w:multiLevelType w:val="hybridMultilevel"/>
    <w:lvl w:ilvl="0">
      <w:lvlJc w:val="left"/>
      <w:lvlText w:val="%1"/>
      <w:numFmt w:val="decimal"/>
      <w:start w:val="11"/>
    </w:lvl>
  </w:abstractNum>
  <w:abstractNum w:abstractNumId="15">
    <w:nsid w:val="75A2A8D4"/>
    <w:multiLevelType w:val="hybridMultilevel"/>
    <w:lvl w:ilvl="0">
      <w:lvlJc w:val="left"/>
      <w:lvlText w:val="%1"/>
      <w:numFmt w:val="decimal"/>
      <w:start w:val="13"/>
    </w:lvl>
  </w:abstractNum>
  <w:abstractNum w:abstractNumId="16">
    <w:nsid w:val="8EDBDAB"/>
    <w:multiLevelType w:val="hybridMultilevel"/>
    <w:lvl w:ilvl="0">
      <w:lvlJc w:val="left"/>
      <w:lvlText w:val="1"/>
      <w:numFmt w:val="bullet"/>
      <w:start w:val="1"/>
    </w:lvl>
    <w:lvl w:ilvl="1">
      <w:lvlJc w:val="left"/>
      <w:lvlText w:val="S.%2."/>
      <w:numFmt w:val="upperLetter"/>
      <w:start w:val="19"/>
    </w:lvl>
  </w:abstractNum>
  <w:abstractNum w:abstractNumId="17">
    <w:nsid w:val="79838CB2"/>
    <w:multiLevelType w:val="hybridMultilevel"/>
    <w:lvl w:ilvl="0">
      <w:lvlJc w:val="left"/>
      <w:lvlText w:val="3"/>
      <w:numFmt w:val="bullet"/>
      <w:start w:val="1"/>
    </w:lvl>
  </w:abstractNum>
  <w:abstractNum w:abstractNumId="18">
    <w:nsid w:val="4353D0CD"/>
    <w:multiLevelType w:val="hybridMultilevel"/>
    <w:lvl w:ilvl="0">
      <w:lvlJc w:val="left"/>
      <w:lvlText w:val="4"/>
      <w:numFmt w:val="bullet"/>
      <w:start w:val="1"/>
    </w:lvl>
  </w:abstractNum>
  <w:abstractNum w:abstractNumId="19">
    <w:nsid w:val="B03E0C6"/>
    <w:multiLevelType w:val="hybridMultilevel"/>
    <w:lvl w:ilvl="0">
      <w:lvlJc w:val="left"/>
      <w:lvlText w:val="6"/>
      <w:numFmt w:val="bullet"/>
      <w:start w:val="1"/>
    </w:lvl>
  </w:abstractNum>
  <w:abstractNum w:abstractNumId="20">
    <w:nsid w:val="189A769B"/>
    <w:multiLevelType w:val="hybridMultilevel"/>
    <w:lvl w:ilvl="0">
      <w:lvlJc w:val="left"/>
      <w:lvlText w:val="9"/>
      <w:numFmt w:val="bullet"/>
      <w:start w:val="1"/>
    </w:lvl>
  </w:abstractNum>
  <w:abstractNum w:abstractNumId="21">
    <w:nsid w:val="54E49EB4"/>
    <w:multiLevelType w:val="hybridMultilevel"/>
    <w:lvl w:ilvl="0">
      <w:lvlJc w:val="left"/>
      <w:lvlText w:val="%1"/>
      <w:numFmt w:val="decimal"/>
      <w:start w:val="11"/>
    </w:lvl>
  </w:abstractNum>
  <w:abstractNum w:abstractNumId="22">
    <w:nsid w:val="71F32454"/>
    <w:multiLevelType w:val="hybridMultilevel"/>
    <w:lvl w:ilvl="0">
      <w:lvlJc w:val="left"/>
      <w:lvlText w:val="%1"/>
      <w:numFmt w:val="decimal"/>
      <w:start w:val="13"/>
    </w:lvl>
  </w:abstractNum>
  <w:abstractNum w:abstractNumId="23">
    <w:nsid w:val="2CA88611"/>
    <w:multiLevelType w:val="hybridMultilevel"/>
    <w:lvl w:ilvl="0">
      <w:lvlJc w:val="left"/>
      <w:lvlText w:val="1"/>
      <w:numFmt w:val="bullet"/>
      <w:start w:val="1"/>
    </w:lvl>
    <w:lvl w:ilvl="1">
      <w:lvlJc w:val="left"/>
      <w:lvlText w:val="S.%2."/>
      <w:numFmt w:val="upperLetter"/>
      <w:start w:val="19"/>
    </w:lvl>
  </w:abstractNum>
  <w:abstractNum w:abstractNumId="24">
    <w:nsid w:val="836C40E"/>
    <w:multiLevelType w:val="hybridMultilevel"/>
    <w:lvl w:ilvl="0">
      <w:lvlJc w:val="left"/>
      <w:lvlText w:val="3"/>
      <w:numFmt w:val="bullet"/>
      <w:start w:val="1"/>
    </w:lvl>
  </w:abstractNum>
  <w:abstractNum w:abstractNumId="25">
    <w:nsid w:val="2901D82"/>
    <w:multiLevelType w:val="hybridMultilevel"/>
    <w:lvl w:ilvl="0">
      <w:lvlJc w:val="left"/>
      <w:lvlText w:val="4"/>
      <w:numFmt w:val="bullet"/>
      <w:start w:val="1"/>
    </w:lvl>
  </w:abstractNum>
  <w:abstractNum w:abstractNumId="26">
    <w:nsid w:val="3A95F874"/>
    <w:multiLevelType w:val="hybridMultilevel"/>
    <w:lvl w:ilvl="0">
      <w:lvlJc w:val="left"/>
      <w:lvlText w:val="6"/>
      <w:numFmt w:val="bullet"/>
      <w:start w:val="1"/>
    </w:lvl>
  </w:abstractNum>
  <w:abstractNum w:abstractNumId="27">
    <w:nsid w:val="8138641"/>
    <w:multiLevelType w:val="hybridMultilevel"/>
    <w:lvl w:ilvl="0">
      <w:lvlJc w:val="left"/>
      <w:lvlText w:val="9"/>
      <w:numFmt w:val="bullet"/>
      <w:start w:val="1"/>
    </w:lvl>
  </w:abstractNum>
  <w:abstractNum w:abstractNumId="28">
    <w:nsid w:val="1E7FF521"/>
    <w:multiLevelType w:val="hybridMultilevel"/>
    <w:lvl w:ilvl="0">
      <w:lvlJc w:val="left"/>
      <w:lvlText w:val="%1"/>
      <w:numFmt w:val="decimal"/>
      <w:start w:val="11"/>
    </w:lvl>
  </w:abstractNum>
  <w:abstractNum w:abstractNumId="29">
    <w:nsid w:val="7C3DBD3D"/>
    <w:multiLevelType w:val="hybridMultilevel"/>
    <w:lvl w:ilvl="0">
      <w:lvlJc w:val="left"/>
      <w:lvlText w:val="%1"/>
      <w:numFmt w:val="decimal"/>
      <w:start w:val="13"/>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2019-12-14T22:04:55Z</dcterms:created>
  <dcterms:modified xsi:type="dcterms:W3CDTF">2019-12-14T22:04:55Z</dcterms:modified>
</cp:coreProperties>
</file>